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trPr>
          <w:cantSplit/>
        </w:trPr>
        <w:tc>
          <w:tcPr>
            <w:tcW w:w="6629" w:type="dxa"/>
          </w:tcPr>
          <w:p w:rsidR="001A16ED" w:rsidRPr="00F04067" w:rsidRDefault="001A16ED" w:rsidP="00251DD4">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(PP-1</w:t>
            </w:r>
            <w:r>
              <w:rPr>
                <w:rFonts w:cs="Times"/>
                <w:b/>
                <w:position w:val="6"/>
                <w:sz w:val="30"/>
                <w:szCs w:val="30"/>
              </w:rPr>
              <w:t>4</w:t>
            </w:r>
            <w:r w:rsidRPr="00936F04">
              <w:rPr>
                <w:rFonts w:cs="Times"/>
                <w:b/>
                <w:position w:val="6"/>
                <w:sz w:val="30"/>
                <w:szCs w:val="30"/>
              </w:rPr>
              <w:t>)</w:t>
            </w:r>
            <w:r w:rsidRPr="00936F04">
              <w:rPr>
                <w:rFonts w:cs="Times"/>
                <w:b/>
                <w:position w:val="6"/>
                <w:sz w:val="26"/>
                <w:szCs w:val="26"/>
              </w:rPr>
              <w:br/>
            </w:r>
            <w:r>
              <w:rPr>
                <w:b/>
                <w:bCs/>
                <w:position w:val="6"/>
                <w:szCs w:val="24"/>
              </w:rPr>
              <w:t>Busan</w:t>
            </w:r>
            <w:r w:rsidRPr="00936F04">
              <w:rPr>
                <w:b/>
                <w:bCs/>
                <w:position w:val="6"/>
                <w:szCs w:val="24"/>
              </w:rPr>
              <w:t>, 2</w:t>
            </w:r>
            <w:r>
              <w:rPr>
                <w:b/>
                <w:bCs/>
                <w:position w:val="6"/>
                <w:szCs w:val="24"/>
              </w:rPr>
              <w:t>0</w:t>
            </w:r>
            <w:r w:rsidRPr="00936F04">
              <w:rPr>
                <w:b/>
                <w:bCs/>
                <w:position w:val="6"/>
                <w:szCs w:val="24"/>
              </w:rPr>
              <w:t xml:space="preserve"> October </w:t>
            </w:r>
            <w:r>
              <w:rPr>
                <w:b/>
                <w:bCs/>
                <w:position w:val="6"/>
                <w:szCs w:val="24"/>
              </w:rPr>
              <w:t>– 7 November 2014</w:t>
            </w:r>
          </w:p>
        </w:tc>
        <w:tc>
          <w:tcPr>
            <w:tcW w:w="3402" w:type="dxa"/>
          </w:tcPr>
          <w:p w:rsidR="001A16ED" w:rsidRPr="00D96B4B" w:rsidRDefault="001A16ED" w:rsidP="00251DD4">
            <w:pPr>
              <w:spacing w:line="240" w:lineRule="atLeast"/>
              <w:rPr>
                <w:rFonts w:cstheme="minorHAnsi"/>
              </w:rPr>
            </w:pPr>
            <w:bookmarkStart w:id="1" w:name="ditulogo"/>
            <w:bookmarkEnd w:id="1"/>
            <w:r w:rsidRPr="00D96B4B">
              <w:rPr>
                <w:rFonts w:cstheme="minorHAnsi"/>
                <w:noProof/>
                <w:lang w:val="en-US"/>
              </w:rPr>
              <w:drawing>
                <wp:inline distT="0" distB="0" distL="0" distR="0" wp14:anchorId="610BCB04" wp14:editId="1C785583">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trPr>
          <w:cantSplit/>
        </w:trPr>
        <w:tc>
          <w:tcPr>
            <w:tcW w:w="6629" w:type="dxa"/>
            <w:tcBorders>
              <w:bottom w:val="single" w:sz="12" w:space="0" w:color="auto"/>
            </w:tcBorders>
          </w:tcPr>
          <w:p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rsidR="001A16ED" w:rsidRPr="00D96B4B" w:rsidRDefault="001A16ED" w:rsidP="003740BC">
            <w:pPr>
              <w:spacing w:before="0"/>
              <w:rPr>
                <w:rFonts w:cstheme="minorHAnsi"/>
                <w:szCs w:val="24"/>
              </w:rPr>
            </w:pPr>
          </w:p>
        </w:tc>
      </w:tr>
      <w:tr w:rsidR="001A16ED" w:rsidRPr="00C324A8">
        <w:trPr>
          <w:cantSplit/>
        </w:trPr>
        <w:tc>
          <w:tcPr>
            <w:tcW w:w="6629" w:type="dxa"/>
            <w:tcBorders>
              <w:top w:val="single" w:sz="12" w:space="0" w:color="auto"/>
            </w:tcBorders>
          </w:tcPr>
          <w:p w:rsidR="001A16ED" w:rsidRPr="00D96B4B" w:rsidRDefault="001A16ED" w:rsidP="003740BC">
            <w:pPr>
              <w:spacing w:before="0"/>
              <w:rPr>
                <w:rFonts w:cstheme="minorHAnsi"/>
                <w:b/>
                <w:smallCaps/>
                <w:sz w:val="20"/>
              </w:rPr>
            </w:pPr>
          </w:p>
        </w:tc>
        <w:tc>
          <w:tcPr>
            <w:tcW w:w="3402" w:type="dxa"/>
            <w:tcBorders>
              <w:top w:val="single" w:sz="12" w:space="0" w:color="auto"/>
            </w:tcBorders>
          </w:tcPr>
          <w:p w:rsidR="001A16ED" w:rsidRPr="00D96B4B" w:rsidRDefault="001A16ED" w:rsidP="003740BC">
            <w:pPr>
              <w:spacing w:before="0"/>
              <w:rPr>
                <w:rFonts w:cstheme="minorHAnsi"/>
                <w:sz w:val="20"/>
              </w:rPr>
            </w:pPr>
          </w:p>
        </w:tc>
      </w:tr>
      <w:tr w:rsidR="001A16ED" w:rsidRPr="00C324A8">
        <w:trPr>
          <w:cantSplit/>
          <w:trHeight w:val="23"/>
        </w:trPr>
        <w:tc>
          <w:tcPr>
            <w:tcW w:w="6629" w:type="dxa"/>
            <w:shd w:val="clear" w:color="auto" w:fill="auto"/>
          </w:tcPr>
          <w:p w:rsidR="001A16ED" w:rsidRPr="00D96B4B" w:rsidRDefault="000F233D" w:rsidP="002E77F4">
            <w:pPr>
              <w:pStyle w:val="Committee"/>
              <w:spacing w:after="0"/>
            </w:pPr>
            <w:bookmarkStart w:id="3" w:name="dnum" w:colFirst="1" w:colLast="1"/>
            <w:bookmarkStart w:id="4" w:name="dmeeting" w:colFirst="0" w:colLast="0"/>
            <w:bookmarkEnd w:id="2"/>
            <w:r>
              <w:t>PLENARY MEETING</w:t>
            </w:r>
          </w:p>
        </w:tc>
        <w:tc>
          <w:tcPr>
            <w:tcW w:w="3402" w:type="dxa"/>
          </w:tcPr>
          <w:p w:rsidR="001A16ED" w:rsidRPr="00F44B1A" w:rsidRDefault="001A16ED" w:rsidP="002460D9">
            <w:pPr>
              <w:tabs>
                <w:tab w:val="left" w:pos="851"/>
              </w:tabs>
              <w:spacing w:before="0"/>
              <w:rPr>
                <w:rFonts w:cstheme="minorHAnsi"/>
                <w:b/>
                <w:szCs w:val="24"/>
              </w:rPr>
            </w:pPr>
            <w:r>
              <w:rPr>
                <w:rFonts w:cstheme="minorHAnsi"/>
                <w:b/>
                <w:szCs w:val="24"/>
              </w:rPr>
              <w:t xml:space="preserve">Document </w:t>
            </w:r>
            <w:r w:rsidR="000F233D">
              <w:rPr>
                <w:rFonts w:cstheme="minorHAnsi"/>
                <w:b/>
                <w:szCs w:val="24"/>
              </w:rPr>
              <w:t>61</w:t>
            </w:r>
            <w:r w:rsidR="00F44B1A" w:rsidRPr="00F44B1A">
              <w:rPr>
                <w:rFonts w:cstheme="minorHAnsi"/>
                <w:b/>
                <w:szCs w:val="24"/>
              </w:rPr>
              <w:t>-E</w:t>
            </w:r>
          </w:p>
        </w:tc>
      </w:tr>
      <w:tr w:rsidR="001A16ED" w:rsidRPr="00C324A8">
        <w:trPr>
          <w:cantSplit/>
          <w:trHeight w:val="23"/>
        </w:trPr>
        <w:tc>
          <w:tcPr>
            <w:tcW w:w="6629" w:type="dxa"/>
            <w:shd w:val="clear" w:color="auto" w:fill="auto"/>
          </w:tcPr>
          <w:p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rsidR="001A16ED" w:rsidRPr="00D96B4B" w:rsidRDefault="007F6070" w:rsidP="003740BC">
            <w:pPr>
              <w:spacing w:before="0"/>
              <w:rPr>
                <w:rFonts w:cstheme="minorHAnsi"/>
                <w:szCs w:val="24"/>
              </w:rPr>
            </w:pPr>
            <w:r>
              <w:rPr>
                <w:rFonts w:cstheme="minorHAnsi"/>
                <w:b/>
                <w:szCs w:val="24"/>
              </w:rPr>
              <w:t>11 August</w:t>
            </w:r>
            <w:r w:rsidR="001A16ED" w:rsidRPr="00D96B4B">
              <w:rPr>
                <w:rFonts w:cstheme="minorHAnsi"/>
                <w:b/>
                <w:szCs w:val="24"/>
              </w:rPr>
              <w:t xml:space="preserve"> 2014</w:t>
            </w:r>
          </w:p>
        </w:tc>
      </w:tr>
      <w:tr w:rsidR="001A16ED" w:rsidRPr="00C324A8">
        <w:trPr>
          <w:cantSplit/>
          <w:trHeight w:val="23"/>
        </w:trPr>
        <w:tc>
          <w:tcPr>
            <w:tcW w:w="6629" w:type="dxa"/>
            <w:shd w:val="clear" w:color="auto" w:fill="auto"/>
          </w:tcPr>
          <w:p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trPr>
          <w:cantSplit/>
          <w:trHeight w:val="23"/>
        </w:trPr>
        <w:tc>
          <w:tcPr>
            <w:tcW w:w="10031" w:type="dxa"/>
            <w:gridSpan w:val="2"/>
            <w:shd w:val="clear" w:color="auto" w:fill="auto"/>
          </w:tcPr>
          <w:p w:rsidR="001A16ED" w:rsidRDefault="000F233D" w:rsidP="000F233D">
            <w:pPr>
              <w:pStyle w:val="Source"/>
              <w:framePr w:hSpace="0" w:wrap="auto" w:hAnchor="text" w:yAlign="inline"/>
            </w:pPr>
            <w:r>
              <w:t>Report</w:t>
            </w:r>
            <w:r w:rsidR="002460D9" w:rsidRPr="002460D9">
              <w:t xml:space="preserve"> by the Secretary-General</w:t>
            </w:r>
          </w:p>
        </w:tc>
      </w:tr>
      <w:tr w:rsidR="001A16ED" w:rsidRPr="00C324A8">
        <w:trPr>
          <w:cantSplit/>
          <w:trHeight w:val="23"/>
        </w:trPr>
        <w:tc>
          <w:tcPr>
            <w:tcW w:w="10031" w:type="dxa"/>
            <w:gridSpan w:val="2"/>
            <w:shd w:val="clear" w:color="auto" w:fill="auto"/>
          </w:tcPr>
          <w:p w:rsidR="001A16ED" w:rsidRDefault="000F233D" w:rsidP="000F233D">
            <w:pPr>
              <w:pStyle w:val="Title1"/>
              <w:framePr w:hSpace="0" w:wrap="auto" w:hAnchor="text" w:yAlign="inline"/>
            </w:pPr>
            <w:r w:rsidRPr="000F233D">
              <w:t>REQUESTS FOR EXEMPTION FROM ANY FINANCIAL CONTRIBUTION TO DEFRAYING EXPENSES RELATING TO PARTICIPATION IN THE WORK OF ITU</w:t>
            </w:r>
          </w:p>
        </w:tc>
      </w:tr>
      <w:tr w:rsidR="001A16ED" w:rsidRPr="00C324A8">
        <w:trPr>
          <w:cantSplit/>
          <w:trHeight w:val="23"/>
        </w:trPr>
        <w:tc>
          <w:tcPr>
            <w:tcW w:w="10031" w:type="dxa"/>
            <w:gridSpan w:val="2"/>
            <w:shd w:val="clear" w:color="auto" w:fill="auto"/>
          </w:tcPr>
          <w:p w:rsidR="001A16ED" w:rsidRDefault="001A16ED" w:rsidP="000F233D">
            <w:pPr>
              <w:pStyle w:val="Title1"/>
              <w:framePr w:hSpace="0" w:wrap="auto" w:hAnchor="text" w:yAlign="inline"/>
            </w:pPr>
          </w:p>
        </w:tc>
      </w:tr>
    </w:tbl>
    <w:tbl>
      <w:tblPr>
        <w:tblW w:w="8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5"/>
      </w:tblGrid>
      <w:tr w:rsidR="000F233D" w:rsidRPr="00AE5AFD">
        <w:trPr>
          <w:trHeight w:val="898"/>
          <w:jc w:val="center"/>
        </w:trPr>
        <w:tc>
          <w:tcPr>
            <w:tcW w:w="8785" w:type="dxa"/>
            <w:tcBorders>
              <w:top w:val="single" w:sz="12" w:space="0" w:color="auto"/>
              <w:left w:val="single" w:sz="12" w:space="0" w:color="auto"/>
              <w:bottom w:val="single" w:sz="12" w:space="0" w:color="auto"/>
              <w:right w:val="single" w:sz="12" w:space="0" w:color="auto"/>
            </w:tcBorders>
          </w:tcPr>
          <w:bookmarkEnd w:id="7"/>
          <w:bookmarkEnd w:id="8"/>
          <w:p w:rsidR="000F233D" w:rsidRPr="000F233D" w:rsidRDefault="000F233D" w:rsidP="000F233D">
            <w:pPr>
              <w:keepNext/>
              <w:keepLines/>
              <w:snapToGrid w:val="0"/>
              <w:spacing w:after="120"/>
              <w:ind w:left="567" w:hanging="567"/>
              <w:outlineLvl w:val="0"/>
              <w:rPr>
                <w:rFonts w:asciiTheme="minorHAnsi" w:hAnsiTheme="minorHAnsi"/>
                <w:b/>
                <w:szCs w:val="24"/>
              </w:rPr>
            </w:pPr>
            <w:r w:rsidRPr="000F233D">
              <w:rPr>
                <w:rFonts w:asciiTheme="minorHAnsi" w:hAnsiTheme="minorHAnsi"/>
                <w:b/>
                <w:szCs w:val="24"/>
              </w:rPr>
              <w:t>Summary</w:t>
            </w:r>
          </w:p>
          <w:p w:rsidR="000F233D" w:rsidRPr="000F233D" w:rsidRDefault="000F233D" w:rsidP="00251DD4">
            <w:pPr>
              <w:snapToGrid w:val="0"/>
              <w:spacing w:after="120"/>
              <w:jc w:val="both"/>
              <w:rPr>
                <w:rFonts w:asciiTheme="minorHAnsi" w:hAnsiTheme="minorHAnsi"/>
                <w:szCs w:val="24"/>
              </w:rPr>
            </w:pPr>
            <w:r w:rsidRPr="000F233D">
              <w:rPr>
                <w:rFonts w:asciiTheme="minorHAnsi" w:hAnsiTheme="minorHAnsi"/>
                <w:szCs w:val="24"/>
              </w:rPr>
              <w:t xml:space="preserve">The requests received from regional and international organizations for exemption from any financial contribution have been examined by the various sessions of the Council in accordance with the procedure established by the Council at its session in 2000. According to that procedure, exemptions granted by the various sessions of the Council are valid up until the following plenipotentiary conference. The </w:t>
            </w:r>
            <w:r w:rsidR="00251DD4">
              <w:rPr>
                <w:rFonts w:asciiTheme="minorHAnsi" w:hAnsiTheme="minorHAnsi"/>
                <w:szCs w:val="24"/>
              </w:rPr>
              <w:t xml:space="preserve">2010 </w:t>
            </w:r>
            <w:r w:rsidRPr="000F233D">
              <w:rPr>
                <w:rFonts w:asciiTheme="minorHAnsi" w:hAnsiTheme="minorHAnsi"/>
                <w:szCs w:val="24"/>
              </w:rPr>
              <w:t>Plenipotentiary Conference (</w:t>
            </w:r>
            <w:r w:rsidR="00251DD4">
              <w:rPr>
                <w:rFonts w:asciiTheme="minorHAnsi" w:hAnsiTheme="minorHAnsi"/>
                <w:szCs w:val="24"/>
              </w:rPr>
              <w:t>PP-10</w:t>
            </w:r>
            <w:r w:rsidRPr="000F233D">
              <w:rPr>
                <w:rFonts w:asciiTheme="minorHAnsi" w:hAnsiTheme="minorHAnsi"/>
                <w:szCs w:val="24"/>
              </w:rPr>
              <w:t xml:space="preserve">) examined and approved an extension of the exemptions until the next </w:t>
            </w:r>
            <w:r w:rsidR="00251DD4">
              <w:rPr>
                <w:rFonts w:asciiTheme="minorHAnsi" w:hAnsiTheme="minorHAnsi"/>
                <w:szCs w:val="24"/>
              </w:rPr>
              <w:t xml:space="preserve">2014 </w:t>
            </w:r>
            <w:r w:rsidRPr="000F233D">
              <w:rPr>
                <w:rFonts w:asciiTheme="minorHAnsi" w:hAnsiTheme="minorHAnsi"/>
                <w:szCs w:val="24"/>
              </w:rPr>
              <w:t>Plenipotentiary Conference (</w:t>
            </w:r>
            <w:r w:rsidR="00251DD4">
              <w:rPr>
                <w:rFonts w:asciiTheme="minorHAnsi" w:hAnsiTheme="minorHAnsi"/>
                <w:szCs w:val="24"/>
              </w:rPr>
              <w:t>PP-14</w:t>
            </w:r>
            <w:r w:rsidRPr="000F233D">
              <w:rPr>
                <w:rFonts w:asciiTheme="minorHAnsi" w:hAnsiTheme="minorHAnsi"/>
                <w:szCs w:val="24"/>
              </w:rPr>
              <w:t>).</w:t>
            </w:r>
          </w:p>
          <w:p w:rsidR="000F233D" w:rsidRPr="000F233D" w:rsidRDefault="000F233D" w:rsidP="007F6070">
            <w:pPr>
              <w:snapToGrid w:val="0"/>
              <w:spacing w:after="120"/>
              <w:jc w:val="both"/>
              <w:rPr>
                <w:rFonts w:asciiTheme="minorHAnsi" w:hAnsiTheme="minorHAnsi"/>
                <w:szCs w:val="24"/>
              </w:rPr>
            </w:pPr>
            <w:r w:rsidRPr="000F233D">
              <w:rPr>
                <w:rFonts w:asciiTheme="minorHAnsi" w:hAnsiTheme="minorHAnsi" w:cs="Calibri"/>
                <w:szCs w:val="24"/>
                <w:lang w:val="en-US"/>
              </w:rPr>
              <w:t xml:space="preserve">Taking into consideration the recommendation of the Council Working Group on Finance and Human Resources to undertake a full review of the criteria for fee exemptions, </w:t>
            </w:r>
            <w:r w:rsidR="00946EDD">
              <w:rPr>
                <w:rFonts w:asciiTheme="minorHAnsi" w:hAnsiTheme="minorHAnsi" w:cs="Calibri"/>
                <w:szCs w:val="24"/>
                <w:lang w:val="en-US"/>
              </w:rPr>
              <w:t xml:space="preserve">the </w:t>
            </w:r>
            <w:r w:rsidRPr="000F233D">
              <w:rPr>
                <w:rFonts w:asciiTheme="minorHAnsi" w:hAnsiTheme="minorHAnsi" w:cs="Calibri"/>
                <w:szCs w:val="24"/>
                <w:lang w:val="en-US"/>
              </w:rPr>
              <w:t xml:space="preserve">Council </w:t>
            </w:r>
            <w:r w:rsidR="007F6070">
              <w:rPr>
                <w:rFonts w:asciiTheme="minorHAnsi" w:hAnsiTheme="minorHAnsi" w:cs="Calibri"/>
                <w:szCs w:val="24"/>
                <w:lang w:val="en-US"/>
              </w:rPr>
              <w:t xml:space="preserve">2014 </w:t>
            </w:r>
            <w:r w:rsidRPr="000F233D">
              <w:rPr>
                <w:rFonts w:asciiTheme="minorHAnsi" w:hAnsiTheme="minorHAnsi" w:cs="Calibri"/>
                <w:szCs w:val="24"/>
                <w:lang w:val="en-US"/>
              </w:rPr>
              <w:t>postponed any decision regarding new requests for exemption to the 2014 Plenipotentiary Conference.</w:t>
            </w:r>
          </w:p>
          <w:p w:rsidR="000F233D" w:rsidRPr="000F233D" w:rsidRDefault="000F233D" w:rsidP="00251DD4">
            <w:pPr>
              <w:keepNext/>
              <w:keepLines/>
              <w:snapToGrid w:val="0"/>
              <w:spacing w:after="120"/>
              <w:ind w:left="567" w:hanging="567"/>
              <w:jc w:val="both"/>
              <w:outlineLvl w:val="0"/>
              <w:rPr>
                <w:rFonts w:asciiTheme="minorHAnsi" w:hAnsiTheme="minorHAnsi"/>
                <w:b/>
                <w:szCs w:val="24"/>
              </w:rPr>
            </w:pPr>
            <w:r w:rsidRPr="000F233D">
              <w:rPr>
                <w:rFonts w:asciiTheme="minorHAnsi" w:hAnsiTheme="minorHAnsi"/>
                <w:b/>
                <w:szCs w:val="24"/>
              </w:rPr>
              <w:t>Action required</w:t>
            </w:r>
          </w:p>
          <w:p w:rsidR="000F233D" w:rsidRPr="000F233D" w:rsidRDefault="000F233D" w:rsidP="00251DD4">
            <w:pPr>
              <w:snapToGrid w:val="0"/>
              <w:spacing w:after="120"/>
              <w:jc w:val="both"/>
              <w:rPr>
                <w:rFonts w:asciiTheme="minorHAnsi" w:hAnsiTheme="minorHAnsi"/>
                <w:szCs w:val="24"/>
              </w:rPr>
            </w:pPr>
            <w:r w:rsidRPr="000F233D">
              <w:rPr>
                <w:rFonts w:asciiTheme="minorHAnsi" w:hAnsiTheme="minorHAnsi"/>
                <w:szCs w:val="24"/>
              </w:rPr>
              <w:t>The Plenipotentiary Conference (Busan, 2014) is invited to:</w:t>
            </w:r>
          </w:p>
          <w:p w:rsidR="000F233D" w:rsidRPr="008E6960" w:rsidRDefault="008E6960" w:rsidP="00617A0C">
            <w:pPr>
              <w:pStyle w:val="ListParagraph"/>
              <w:numPr>
                <w:ilvl w:val="0"/>
                <w:numId w:val="13"/>
              </w:numPr>
              <w:tabs>
                <w:tab w:val="clear" w:pos="567"/>
                <w:tab w:val="clear" w:pos="1134"/>
                <w:tab w:val="clear" w:pos="1701"/>
                <w:tab w:val="clear" w:pos="2268"/>
                <w:tab w:val="clear" w:pos="2835"/>
              </w:tabs>
              <w:overflowPunct/>
              <w:autoSpaceDE/>
              <w:autoSpaceDN/>
              <w:adjustRightInd/>
              <w:snapToGrid w:val="0"/>
              <w:spacing w:after="120"/>
              <w:contextualSpacing w:val="0"/>
              <w:jc w:val="both"/>
              <w:textAlignment w:val="auto"/>
              <w:rPr>
                <w:rFonts w:asciiTheme="minorHAnsi" w:hAnsiTheme="minorHAnsi"/>
                <w:b/>
                <w:bCs/>
                <w:szCs w:val="24"/>
              </w:rPr>
            </w:pPr>
            <w:r>
              <w:rPr>
                <w:rFonts w:asciiTheme="minorHAnsi" w:hAnsiTheme="minorHAnsi"/>
                <w:b/>
                <w:bCs/>
                <w:szCs w:val="24"/>
              </w:rPr>
              <w:t>c</w:t>
            </w:r>
            <w:r w:rsidR="000F233D" w:rsidRPr="00221368">
              <w:rPr>
                <w:rFonts w:asciiTheme="minorHAnsi" w:hAnsiTheme="minorHAnsi"/>
                <w:b/>
                <w:bCs/>
                <w:szCs w:val="24"/>
              </w:rPr>
              <w:t>onsider</w:t>
            </w:r>
            <w:r w:rsidR="000F233D" w:rsidRPr="00221368">
              <w:rPr>
                <w:rFonts w:asciiTheme="minorHAnsi" w:hAnsiTheme="minorHAnsi"/>
                <w:szCs w:val="24"/>
              </w:rPr>
              <w:t xml:space="preserve"> the list of organizations submitted to </w:t>
            </w:r>
            <w:r w:rsidR="00946EDD">
              <w:rPr>
                <w:rFonts w:asciiTheme="minorHAnsi" w:hAnsiTheme="minorHAnsi"/>
                <w:szCs w:val="24"/>
              </w:rPr>
              <w:t xml:space="preserve">the </w:t>
            </w:r>
            <w:r w:rsidR="000F233D" w:rsidRPr="00221368">
              <w:rPr>
                <w:rFonts w:asciiTheme="minorHAnsi" w:hAnsiTheme="minorHAnsi"/>
                <w:szCs w:val="24"/>
              </w:rPr>
              <w:t xml:space="preserve">Council 2014 (Annex 1) and </w:t>
            </w:r>
            <w:r w:rsidR="000F233D" w:rsidRPr="00221368">
              <w:rPr>
                <w:rFonts w:asciiTheme="minorHAnsi" w:hAnsiTheme="minorHAnsi" w:cs="Calibri"/>
                <w:b/>
                <w:bCs/>
                <w:szCs w:val="24"/>
              </w:rPr>
              <w:t xml:space="preserve">approve </w:t>
            </w:r>
            <w:r w:rsidR="000F233D" w:rsidRPr="00221368">
              <w:rPr>
                <w:rFonts w:asciiTheme="minorHAnsi" w:hAnsiTheme="minorHAnsi" w:cs="Calibri"/>
                <w:szCs w:val="24"/>
              </w:rPr>
              <w:t xml:space="preserve">the recommendations of the Secretary-General; </w:t>
            </w:r>
          </w:p>
          <w:p w:rsidR="00221368" w:rsidRDefault="008E6960" w:rsidP="00221368">
            <w:pPr>
              <w:pStyle w:val="ListParagraph"/>
              <w:numPr>
                <w:ilvl w:val="0"/>
                <w:numId w:val="13"/>
              </w:numPr>
              <w:tabs>
                <w:tab w:val="clear" w:pos="567"/>
                <w:tab w:val="clear" w:pos="1134"/>
                <w:tab w:val="clear" w:pos="1701"/>
                <w:tab w:val="clear" w:pos="2268"/>
                <w:tab w:val="clear" w:pos="2835"/>
              </w:tabs>
              <w:overflowPunct/>
              <w:autoSpaceDE/>
              <w:autoSpaceDN/>
              <w:adjustRightInd/>
              <w:snapToGrid w:val="0"/>
              <w:spacing w:after="120"/>
              <w:contextualSpacing w:val="0"/>
              <w:jc w:val="both"/>
              <w:textAlignment w:val="auto"/>
              <w:rPr>
                <w:rFonts w:asciiTheme="minorHAnsi" w:hAnsiTheme="minorHAnsi"/>
                <w:szCs w:val="24"/>
              </w:rPr>
            </w:pPr>
            <w:r>
              <w:rPr>
                <w:rFonts w:asciiTheme="minorHAnsi" w:hAnsiTheme="minorHAnsi"/>
                <w:b/>
                <w:bCs/>
                <w:szCs w:val="24"/>
              </w:rPr>
              <w:t>i</w:t>
            </w:r>
            <w:r w:rsidR="00221368" w:rsidRPr="00221368">
              <w:rPr>
                <w:rFonts w:asciiTheme="minorHAnsi" w:hAnsiTheme="minorHAnsi"/>
                <w:b/>
                <w:bCs/>
                <w:szCs w:val="24"/>
              </w:rPr>
              <w:t>nstruct</w:t>
            </w:r>
            <w:r w:rsidR="00221368" w:rsidRPr="00946EDD">
              <w:rPr>
                <w:rFonts w:asciiTheme="minorHAnsi" w:hAnsiTheme="minorHAnsi"/>
                <w:szCs w:val="24"/>
              </w:rPr>
              <w:t xml:space="preserve"> </w:t>
            </w:r>
            <w:r w:rsidR="00946EDD" w:rsidRPr="00946EDD">
              <w:rPr>
                <w:rFonts w:asciiTheme="minorHAnsi" w:hAnsiTheme="minorHAnsi"/>
                <w:szCs w:val="24"/>
              </w:rPr>
              <w:t>the</w:t>
            </w:r>
            <w:r w:rsidR="00946EDD">
              <w:rPr>
                <w:rFonts w:asciiTheme="minorHAnsi" w:hAnsiTheme="minorHAnsi"/>
                <w:b/>
                <w:bCs/>
                <w:szCs w:val="24"/>
              </w:rPr>
              <w:t xml:space="preserve"> </w:t>
            </w:r>
            <w:r w:rsidR="00221368" w:rsidRPr="00221368">
              <w:rPr>
                <w:rFonts w:asciiTheme="minorHAnsi" w:hAnsiTheme="minorHAnsi"/>
                <w:szCs w:val="24"/>
              </w:rPr>
              <w:t>Council to review the criteria for exemption and adjust the list accordingly</w:t>
            </w:r>
            <w:r w:rsidR="00E563FF">
              <w:rPr>
                <w:rFonts w:asciiTheme="minorHAnsi" w:hAnsiTheme="minorHAnsi"/>
                <w:szCs w:val="24"/>
              </w:rPr>
              <w:t xml:space="preserve"> (Annex 1 and Annex 2); and,</w:t>
            </w:r>
          </w:p>
          <w:p w:rsidR="000F233D" w:rsidRPr="00221368" w:rsidRDefault="008E6960" w:rsidP="00221368">
            <w:pPr>
              <w:pStyle w:val="ListParagraph"/>
              <w:numPr>
                <w:ilvl w:val="0"/>
                <w:numId w:val="13"/>
              </w:numPr>
              <w:tabs>
                <w:tab w:val="clear" w:pos="567"/>
                <w:tab w:val="clear" w:pos="1134"/>
                <w:tab w:val="clear" w:pos="1701"/>
                <w:tab w:val="clear" w:pos="2268"/>
                <w:tab w:val="clear" w:pos="2835"/>
              </w:tabs>
              <w:overflowPunct/>
              <w:autoSpaceDE/>
              <w:autoSpaceDN/>
              <w:adjustRightInd/>
              <w:snapToGrid w:val="0"/>
              <w:spacing w:after="120"/>
              <w:contextualSpacing w:val="0"/>
              <w:jc w:val="both"/>
              <w:textAlignment w:val="auto"/>
              <w:rPr>
                <w:rFonts w:asciiTheme="minorHAnsi" w:hAnsiTheme="minorHAnsi"/>
                <w:szCs w:val="24"/>
              </w:rPr>
            </w:pPr>
            <w:r>
              <w:rPr>
                <w:rFonts w:asciiTheme="minorHAnsi" w:hAnsiTheme="minorHAnsi"/>
                <w:b/>
                <w:bCs/>
                <w:szCs w:val="24"/>
              </w:rPr>
              <w:t>a</w:t>
            </w:r>
            <w:r w:rsidR="00221368" w:rsidRPr="000F233D">
              <w:rPr>
                <w:rFonts w:asciiTheme="minorHAnsi" w:hAnsiTheme="minorHAnsi"/>
                <w:b/>
                <w:bCs/>
                <w:szCs w:val="24"/>
              </w:rPr>
              <w:t>pprove</w:t>
            </w:r>
            <w:r w:rsidR="00221368" w:rsidRPr="000F233D">
              <w:rPr>
                <w:rFonts w:asciiTheme="minorHAnsi" w:hAnsiTheme="minorHAnsi"/>
                <w:szCs w:val="24"/>
              </w:rPr>
              <w:t xml:space="preserve"> a </w:t>
            </w:r>
            <w:r w:rsidR="00F73BA1" w:rsidRPr="008E6960">
              <w:rPr>
                <w:rFonts w:asciiTheme="minorHAnsi" w:hAnsiTheme="minorHAnsi"/>
                <w:szCs w:val="24"/>
              </w:rPr>
              <w:t>short-term extension</w:t>
            </w:r>
            <w:r w:rsidR="00221368">
              <w:rPr>
                <w:rFonts w:asciiTheme="minorHAnsi" w:hAnsiTheme="minorHAnsi"/>
                <w:szCs w:val="24"/>
              </w:rPr>
              <w:t xml:space="preserve"> </w:t>
            </w:r>
            <w:r w:rsidR="00221368" w:rsidRPr="000F233D">
              <w:rPr>
                <w:rFonts w:asciiTheme="minorHAnsi" w:hAnsiTheme="minorHAnsi"/>
                <w:szCs w:val="24"/>
              </w:rPr>
              <w:t>of the list of exempted entities</w:t>
            </w:r>
            <w:r w:rsidR="00221368">
              <w:rPr>
                <w:rFonts w:asciiTheme="minorHAnsi" w:hAnsiTheme="minorHAnsi"/>
                <w:szCs w:val="24"/>
              </w:rPr>
              <w:t xml:space="preserve"> until this review and adjustment by </w:t>
            </w:r>
            <w:r w:rsidR="00946EDD">
              <w:rPr>
                <w:rFonts w:asciiTheme="minorHAnsi" w:hAnsiTheme="minorHAnsi"/>
                <w:szCs w:val="24"/>
              </w:rPr>
              <w:t xml:space="preserve">the </w:t>
            </w:r>
            <w:r w:rsidR="00221368">
              <w:rPr>
                <w:rFonts w:asciiTheme="minorHAnsi" w:hAnsiTheme="minorHAnsi"/>
                <w:szCs w:val="24"/>
              </w:rPr>
              <w:t xml:space="preserve">Council is completed. </w:t>
            </w:r>
          </w:p>
          <w:p w:rsidR="000F233D" w:rsidRPr="000F233D" w:rsidRDefault="000F233D" w:rsidP="000F233D">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after="120"/>
              <w:jc w:val="center"/>
              <w:textAlignment w:val="auto"/>
              <w:rPr>
                <w:rFonts w:asciiTheme="minorHAnsi" w:hAnsiTheme="minorHAnsi"/>
                <w:szCs w:val="24"/>
              </w:rPr>
            </w:pPr>
            <w:r w:rsidRPr="000F233D">
              <w:rPr>
                <w:rFonts w:asciiTheme="minorHAnsi" w:hAnsiTheme="minorHAnsi"/>
                <w:szCs w:val="24"/>
              </w:rPr>
              <w:t>____________</w:t>
            </w:r>
          </w:p>
          <w:p w:rsidR="000F233D" w:rsidRPr="000F233D" w:rsidRDefault="000F233D" w:rsidP="000F233D">
            <w:pPr>
              <w:keepNext/>
              <w:keepLines/>
              <w:snapToGrid w:val="0"/>
              <w:spacing w:after="120"/>
              <w:ind w:left="567" w:hanging="567"/>
              <w:outlineLvl w:val="0"/>
              <w:rPr>
                <w:rFonts w:asciiTheme="minorHAnsi" w:hAnsiTheme="minorHAnsi"/>
                <w:b/>
                <w:szCs w:val="24"/>
              </w:rPr>
            </w:pPr>
            <w:r w:rsidRPr="000F233D">
              <w:rPr>
                <w:rFonts w:asciiTheme="minorHAnsi" w:hAnsiTheme="minorHAnsi"/>
                <w:b/>
                <w:szCs w:val="24"/>
              </w:rPr>
              <w:t>References</w:t>
            </w:r>
          </w:p>
          <w:p w:rsidR="000F233D" w:rsidRPr="00AE5AFD" w:rsidRDefault="00587572" w:rsidP="000F233D">
            <w:pPr>
              <w:snapToGrid w:val="0"/>
              <w:spacing w:after="120"/>
              <w:rPr>
                <w:i/>
                <w:iCs/>
              </w:rPr>
            </w:pPr>
            <w:hyperlink r:id="rId12" w:anchor="cv231" w:history="1">
              <w:r w:rsidR="000F233D" w:rsidRPr="000F233D">
                <w:rPr>
                  <w:rFonts w:asciiTheme="minorHAnsi" w:hAnsiTheme="minorHAnsi"/>
                  <w:i/>
                  <w:iCs/>
                  <w:color w:val="0000FF"/>
                  <w:szCs w:val="24"/>
                  <w:u w:val="single"/>
                </w:rPr>
                <w:t>No. 231 of the Convention</w:t>
              </w:r>
            </w:hyperlink>
            <w:r w:rsidR="000F233D" w:rsidRPr="000F233D">
              <w:rPr>
                <w:rFonts w:asciiTheme="minorHAnsi" w:hAnsiTheme="minorHAnsi"/>
                <w:i/>
                <w:iCs/>
                <w:szCs w:val="24"/>
              </w:rPr>
              <w:t xml:space="preserve">, </w:t>
            </w:r>
            <w:hyperlink r:id="rId13" w:anchor="res110" w:history="1">
              <w:r w:rsidR="000F233D" w:rsidRPr="000F233D">
                <w:rPr>
                  <w:rFonts w:asciiTheme="minorHAnsi" w:hAnsiTheme="minorHAnsi"/>
                  <w:i/>
                  <w:iCs/>
                  <w:color w:val="0000FF"/>
                  <w:szCs w:val="24"/>
                  <w:u w:val="single"/>
                </w:rPr>
                <w:t>Resolution 110 (Marrakesh, 2002)</w:t>
              </w:r>
            </w:hyperlink>
            <w:r w:rsidR="000F233D" w:rsidRPr="000F233D">
              <w:rPr>
                <w:rFonts w:asciiTheme="minorHAnsi" w:hAnsiTheme="minorHAnsi"/>
                <w:i/>
                <w:iCs/>
                <w:szCs w:val="24"/>
              </w:rPr>
              <w:t xml:space="preserve">, Documents </w:t>
            </w:r>
            <w:hyperlink r:id="rId14" w:history="1">
              <w:r w:rsidR="000F233D" w:rsidRPr="000F233D">
                <w:rPr>
                  <w:rFonts w:asciiTheme="minorHAnsi" w:hAnsiTheme="minorHAnsi"/>
                  <w:i/>
                  <w:iCs/>
                  <w:color w:val="0000FF"/>
                  <w:szCs w:val="24"/>
                  <w:u w:val="single"/>
                </w:rPr>
                <w:t>C2000/28(Rev.1)</w:t>
              </w:r>
            </w:hyperlink>
            <w:r w:rsidR="000F233D" w:rsidRPr="000F233D">
              <w:rPr>
                <w:rFonts w:asciiTheme="minorHAnsi" w:hAnsiTheme="minorHAnsi"/>
                <w:i/>
                <w:iCs/>
                <w:szCs w:val="24"/>
              </w:rPr>
              <w:t xml:space="preserve">, </w:t>
            </w:r>
            <w:hyperlink r:id="rId15" w:history="1">
              <w:r w:rsidR="000F233D" w:rsidRPr="000F233D">
                <w:rPr>
                  <w:rFonts w:asciiTheme="minorHAnsi" w:hAnsiTheme="minorHAnsi"/>
                  <w:i/>
                  <w:iCs/>
                  <w:color w:val="0000FF"/>
                  <w:szCs w:val="24"/>
                  <w:u w:val="single"/>
                </w:rPr>
                <w:t>C2001/26</w:t>
              </w:r>
            </w:hyperlink>
            <w:r w:rsidR="000F233D" w:rsidRPr="000F233D">
              <w:rPr>
                <w:rFonts w:asciiTheme="minorHAnsi" w:hAnsiTheme="minorHAnsi"/>
                <w:i/>
                <w:iCs/>
                <w:szCs w:val="24"/>
              </w:rPr>
              <w:t xml:space="preserve">, </w:t>
            </w:r>
            <w:hyperlink r:id="rId16" w:history="1">
              <w:r w:rsidR="000F233D" w:rsidRPr="000F233D">
                <w:rPr>
                  <w:rFonts w:asciiTheme="minorHAnsi" w:hAnsiTheme="minorHAnsi"/>
                  <w:i/>
                  <w:iCs/>
                  <w:color w:val="0000FF"/>
                  <w:szCs w:val="24"/>
                  <w:u w:val="single"/>
                </w:rPr>
                <w:t>C02/94 (§ 2)</w:t>
              </w:r>
            </w:hyperlink>
            <w:r w:rsidR="000F233D" w:rsidRPr="000F233D">
              <w:rPr>
                <w:rFonts w:asciiTheme="minorHAnsi" w:hAnsiTheme="minorHAnsi"/>
                <w:i/>
                <w:iCs/>
                <w:szCs w:val="24"/>
              </w:rPr>
              <w:t xml:space="preserve">, </w:t>
            </w:r>
            <w:hyperlink r:id="rId17" w:history="1">
              <w:r w:rsidR="000F233D" w:rsidRPr="000F233D">
                <w:rPr>
                  <w:rFonts w:asciiTheme="minorHAnsi" w:hAnsiTheme="minorHAnsi"/>
                  <w:i/>
                  <w:iCs/>
                  <w:color w:val="0000FF"/>
                  <w:szCs w:val="24"/>
                  <w:u w:val="single"/>
                </w:rPr>
                <w:t>C03/40 and (Add.1)</w:t>
              </w:r>
            </w:hyperlink>
            <w:r w:rsidR="000F233D" w:rsidRPr="000F233D">
              <w:rPr>
                <w:rFonts w:asciiTheme="minorHAnsi" w:hAnsiTheme="minorHAnsi"/>
                <w:i/>
                <w:iCs/>
                <w:szCs w:val="24"/>
              </w:rPr>
              <w:t xml:space="preserve">, </w:t>
            </w:r>
            <w:hyperlink r:id="rId18" w:history="1">
              <w:r w:rsidR="000F233D" w:rsidRPr="000F233D">
                <w:rPr>
                  <w:rFonts w:asciiTheme="minorHAnsi" w:hAnsiTheme="minorHAnsi"/>
                  <w:i/>
                  <w:iCs/>
                  <w:color w:val="0000FF"/>
                  <w:szCs w:val="24"/>
                  <w:u w:val="single"/>
                </w:rPr>
                <w:t>C03-ADD/3</w:t>
              </w:r>
            </w:hyperlink>
            <w:r w:rsidR="000F233D" w:rsidRPr="000F233D">
              <w:rPr>
                <w:rFonts w:asciiTheme="minorHAnsi" w:hAnsiTheme="minorHAnsi"/>
                <w:i/>
                <w:iCs/>
                <w:szCs w:val="24"/>
              </w:rPr>
              <w:t xml:space="preserve">, </w:t>
            </w:r>
            <w:hyperlink r:id="rId19" w:history="1">
              <w:r w:rsidR="000F233D" w:rsidRPr="000F233D">
                <w:rPr>
                  <w:rFonts w:asciiTheme="minorHAnsi" w:hAnsiTheme="minorHAnsi"/>
                  <w:i/>
                  <w:iCs/>
                  <w:color w:val="0000FF"/>
                  <w:szCs w:val="24"/>
                  <w:u w:val="single"/>
                </w:rPr>
                <w:t>C05/40</w:t>
              </w:r>
            </w:hyperlink>
            <w:r w:rsidR="000F233D" w:rsidRPr="000F233D">
              <w:rPr>
                <w:rFonts w:asciiTheme="minorHAnsi" w:hAnsiTheme="minorHAnsi"/>
                <w:i/>
                <w:iCs/>
                <w:szCs w:val="24"/>
              </w:rPr>
              <w:t xml:space="preserve">, </w:t>
            </w:r>
            <w:hyperlink r:id="rId20" w:history="1">
              <w:r w:rsidR="000F233D" w:rsidRPr="000F233D">
                <w:rPr>
                  <w:rFonts w:asciiTheme="minorHAnsi" w:hAnsiTheme="minorHAnsi"/>
                  <w:i/>
                  <w:iCs/>
                  <w:color w:val="0000FF"/>
                  <w:szCs w:val="24"/>
                  <w:u w:val="single"/>
                </w:rPr>
                <w:t>C09/62</w:t>
              </w:r>
            </w:hyperlink>
            <w:r w:rsidR="000F233D" w:rsidRPr="000F233D">
              <w:rPr>
                <w:rFonts w:asciiTheme="minorHAnsi" w:hAnsiTheme="minorHAnsi"/>
                <w:szCs w:val="24"/>
              </w:rPr>
              <w:t xml:space="preserve">, </w:t>
            </w:r>
            <w:hyperlink r:id="rId21" w:history="1">
              <w:r w:rsidR="000F233D" w:rsidRPr="000F233D">
                <w:rPr>
                  <w:rFonts w:asciiTheme="minorHAnsi" w:hAnsiTheme="minorHAnsi"/>
                  <w:i/>
                  <w:iCs/>
                  <w:color w:val="0000FF"/>
                  <w:szCs w:val="24"/>
                  <w:u w:val="single"/>
                </w:rPr>
                <w:t>C10/38</w:t>
              </w:r>
            </w:hyperlink>
            <w:r w:rsidR="000F233D" w:rsidRPr="000F233D">
              <w:rPr>
                <w:rFonts w:asciiTheme="minorHAnsi" w:hAnsiTheme="minorHAnsi"/>
                <w:szCs w:val="24"/>
              </w:rPr>
              <w:t xml:space="preserve">, </w:t>
            </w:r>
            <w:hyperlink r:id="rId22" w:history="1">
              <w:r w:rsidR="000F233D" w:rsidRPr="000F233D">
                <w:rPr>
                  <w:rFonts w:asciiTheme="minorHAnsi" w:hAnsiTheme="minorHAnsi"/>
                  <w:i/>
                  <w:iCs/>
                  <w:color w:val="0000FF"/>
                  <w:szCs w:val="24"/>
                  <w:u w:val="single"/>
                </w:rPr>
                <w:t>C10/39(Rev.1)</w:t>
              </w:r>
            </w:hyperlink>
            <w:r w:rsidR="000F233D" w:rsidRPr="000F233D">
              <w:rPr>
                <w:rFonts w:asciiTheme="minorHAnsi" w:hAnsiTheme="minorHAnsi"/>
                <w:szCs w:val="24"/>
              </w:rPr>
              <w:t xml:space="preserve">, </w:t>
            </w:r>
            <w:hyperlink r:id="rId23" w:history="1">
              <w:r w:rsidR="000F233D" w:rsidRPr="000F233D">
                <w:rPr>
                  <w:rFonts w:asciiTheme="minorHAnsi" w:hAnsiTheme="minorHAnsi"/>
                  <w:i/>
                  <w:iCs/>
                  <w:color w:val="0000FF"/>
                  <w:szCs w:val="24"/>
                  <w:u w:val="single"/>
                </w:rPr>
                <w:t>C10/91</w:t>
              </w:r>
            </w:hyperlink>
            <w:r w:rsidR="000F233D" w:rsidRPr="000F233D">
              <w:rPr>
                <w:rFonts w:asciiTheme="minorHAnsi" w:hAnsiTheme="minorHAnsi"/>
                <w:szCs w:val="24"/>
              </w:rPr>
              <w:t xml:space="preserve">, </w:t>
            </w:r>
            <w:r w:rsidR="000F233D" w:rsidRPr="000F233D">
              <w:rPr>
                <w:rFonts w:asciiTheme="minorHAnsi" w:eastAsia="Arial Unicode MS" w:hAnsiTheme="minorHAnsi" w:cs="Calibri"/>
                <w:szCs w:val="24"/>
              </w:rPr>
              <w:t xml:space="preserve">. </w:t>
            </w:r>
            <w:hyperlink r:id="rId24" w:history="1">
              <w:r w:rsidR="000F233D" w:rsidRPr="000F233D">
                <w:rPr>
                  <w:rStyle w:val="Hyperlink"/>
                  <w:rFonts w:asciiTheme="minorHAnsi" w:eastAsia="Arial Unicode MS" w:hAnsiTheme="minorHAnsi" w:cs="Calibri"/>
                  <w:szCs w:val="24"/>
                </w:rPr>
                <w:t>C11/20 and (Add.1)</w:t>
              </w:r>
            </w:hyperlink>
            <w:r w:rsidR="000F233D" w:rsidRPr="000F233D">
              <w:rPr>
                <w:rFonts w:asciiTheme="minorHAnsi" w:eastAsia="Arial Unicode MS" w:hAnsiTheme="minorHAnsi" w:cs="Calibri"/>
                <w:szCs w:val="24"/>
              </w:rPr>
              <w:t xml:space="preserve">, </w:t>
            </w:r>
            <w:hyperlink r:id="rId25" w:history="1">
              <w:r w:rsidR="000F233D" w:rsidRPr="000F233D">
                <w:rPr>
                  <w:rStyle w:val="Hyperlink"/>
                  <w:rFonts w:asciiTheme="minorHAnsi" w:eastAsia="Arial Unicode MS" w:hAnsiTheme="minorHAnsi" w:cs="Calibri"/>
                  <w:szCs w:val="24"/>
                </w:rPr>
                <w:t>C12/23 and (Add.1) and (Add.2)</w:t>
              </w:r>
            </w:hyperlink>
            <w:r w:rsidR="000F233D" w:rsidRPr="000F233D">
              <w:rPr>
                <w:rFonts w:asciiTheme="minorHAnsi" w:eastAsia="Arial Unicode MS" w:hAnsiTheme="minorHAnsi" w:cs="Calibri"/>
                <w:szCs w:val="24"/>
              </w:rPr>
              <w:t xml:space="preserve">, </w:t>
            </w:r>
            <w:hyperlink r:id="rId26" w:history="1">
              <w:r w:rsidR="000F233D" w:rsidRPr="000F233D">
                <w:rPr>
                  <w:rStyle w:val="Hyperlink"/>
                  <w:rFonts w:asciiTheme="minorHAnsi" w:eastAsia="Arial Unicode MS" w:hAnsiTheme="minorHAnsi" w:cs="Calibri"/>
                  <w:szCs w:val="24"/>
                </w:rPr>
                <w:t>C13/44 and (Add.1) and (Add. 2) and (Add.3),</w:t>
              </w:r>
            </w:hyperlink>
            <w:r w:rsidR="000F233D" w:rsidRPr="000F233D">
              <w:rPr>
                <w:rFonts w:asciiTheme="minorHAnsi" w:eastAsia="Arial Unicode MS" w:hAnsiTheme="minorHAnsi" w:cs="Calibri"/>
                <w:szCs w:val="24"/>
              </w:rPr>
              <w:t xml:space="preserve"> </w:t>
            </w:r>
            <w:hyperlink r:id="rId27" w:history="1">
              <w:r w:rsidR="000F233D" w:rsidRPr="000F233D">
                <w:rPr>
                  <w:rStyle w:val="Hyperlink"/>
                  <w:rFonts w:asciiTheme="minorHAnsi" w:eastAsia="Arial Unicode MS" w:hAnsiTheme="minorHAnsi" w:cs="Calibri"/>
                  <w:szCs w:val="24"/>
                </w:rPr>
                <w:t>C14/8</w:t>
              </w:r>
            </w:hyperlink>
          </w:p>
        </w:tc>
      </w:tr>
    </w:tbl>
    <w:p w:rsidR="000F233D" w:rsidRDefault="002460D9" w:rsidP="00251DD4">
      <w:pPr>
        <w:tabs>
          <w:tab w:val="clear" w:pos="567"/>
          <w:tab w:val="clear" w:pos="1134"/>
          <w:tab w:val="clear" w:pos="1701"/>
          <w:tab w:val="clear" w:pos="2268"/>
          <w:tab w:val="clear" w:pos="2835"/>
        </w:tabs>
        <w:snapToGrid w:val="0"/>
        <w:spacing w:after="120"/>
        <w:outlineLvl w:val="0"/>
        <w:rPr>
          <w:b/>
        </w:rPr>
      </w:pPr>
      <w:r>
        <w:rPr>
          <w:bCs/>
        </w:rPr>
        <w:br w:type="page"/>
      </w:r>
      <w:r w:rsidR="000F233D">
        <w:rPr>
          <w:b/>
        </w:rPr>
        <w:lastRenderedPageBreak/>
        <w:t xml:space="preserve">1. </w:t>
      </w:r>
      <w:r w:rsidR="00251DD4">
        <w:rPr>
          <w:b/>
        </w:rPr>
        <w:tab/>
      </w:r>
      <w:r w:rsidR="000F233D">
        <w:rPr>
          <w:b/>
        </w:rPr>
        <w:t>Situation</w:t>
      </w:r>
    </w:p>
    <w:p w:rsidR="000F233D" w:rsidRDefault="000F233D" w:rsidP="007F6070">
      <w:pPr>
        <w:tabs>
          <w:tab w:val="clear" w:pos="567"/>
          <w:tab w:val="clear" w:pos="1134"/>
          <w:tab w:val="clear" w:pos="1701"/>
          <w:tab w:val="clear" w:pos="2268"/>
          <w:tab w:val="clear" w:pos="2835"/>
        </w:tabs>
        <w:snapToGrid w:val="0"/>
        <w:spacing w:after="120"/>
        <w:rPr>
          <w:rFonts w:eastAsiaTheme="minorEastAsia"/>
          <w:szCs w:val="24"/>
          <w:lang w:eastAsia="zh-CN"/>
        </w:rPr>
      </w:pPr>
      <w:r w:rsidRPr="00AE5AFD">
        <w:t>1</w:t>
      </w:r>
      <w:r>
        <w:t>.1</w:t>
      </w:r>
      <w:r w:rsidRPr="00AE5AFD">
        <w:tab/>
      </w:r>
      <w:r>
        <w:t xml:space="preserve">Currently, 112 regional and international organizations (See Annex 2 for the full list), which </w:t>
      </w:r>
      <w:r w:rsidRPr="00AE5AFD">
        <w:t xml:space="preserve">are ITU Sector Members </w:t>
      </w:r>
      <w:r>
        <w:t xml:space="preserve">or Associates </w:t>
      </w:r>
      <w:r w:rsidRPr="00AE5AFD">
        <w:t>under the terms of No. 231 of the Convention</w:t>
      </w:r>
      <w:r>
        <w:t>,</w:t>
      </w:r>
      <w:r w:rsidRPr="00AE5AFD">
        <w:t xml:space="preserve"> have been exempted by the Council from any financial contribution in accordance with </w:t>
      </w:r>
      <w:r w:rsidRPr="00AE5AFD">
        <w:rPr>
          <w:rFonts w:eastAsiaTheme="minorEastAsia"/>
          <w:szCs w:val="24"/>
          <w:lang w:eastAsia="zh-CN"/>
        </w:rPr>
        <w:t xml:space="preserve">No. 476 of the Convention and the procedure adopted by the Council at its </w:t>
      </w:r>
      <w:r w:rsidR="007F6070">
        <w:rPr>
          <w:rFonts w:eastAsiaTheme="minorEastAsia"/>
          <w:szCs w:val="24"/>
          <w:lang w:eastAsia="zh-CN"/>
        </w:rPr>
        <w:t xml:space="preserve">2000 </w:t>
      </w:r>
      <w:r w:rsidRPr="00AE5AFD">
        <w:rPr>
          <w:rFonts w:eastAsiaTheme="minorEastAsia"/>
          <w:szCs w:val="24"/>
          <w:lang w:eastAsia="zh-CN"/>
        </w:rPr>
        <w:t>session (</w:t>
      </w:r>
      <w:hyperlink r:id="rId28" w:history="1">
        <w:r w:rsidRPr="00AE5AFD">
          <w:rPr>
            <w:i/>
            <w:iCs/>
            <w:color w:val="0000FF"/>
            <w:szCs w:val="24"/>
            <w:u w:val="single"/>
          </w:rPr>
          <w:t>C2000/28(Rev.1)</w:t>
        </w:r>
      </w:hyperlink>
      <w:r>
        <w:rPr>
          <w:rFonts w:eastAsiaTheme="minorEastAsia"/>
          <w:szCs w:val="24"/>
          <w:lang w:eastAsia="zh-CN"/>
        </w:rPr>
        <w:t xml:space="preserve">). </w:t>
      </w:r>
      <w:r w:rsidRPr="00DA738A">
        <w:t>Exemption from fees is granted by the Council following an analysis and recommendation by the Secretary-General. The main criteria are that the entity must be a regional or international organization, non-profit-making, and must offer reciprocal benefits to ITU.</w:t>
      </w:r>
    </w:p>
    <w:p w:rsidR="000F233D" w:rsidRDefault="000F233D" w:rsidP="007F6070">
      <w:pPr>
        <w:tabs>
          <w:tab w:val="clear" w:pos="567"/>
          <w:tab w:val="clear" w:pos="1134"/>
          <w:tab w:val="clear" w:pos="1701"/>
          <w:tab w:val="clear" w:pos="2268"/>
          <w:tab w:val="clear" w:pos="2835"/>
        </w:tabs>
        <w:snapToGrid w:val="0"/>
        <w:spacing w:after="120"/>
      </w:pPr>
      <w:r>
        <w:t>1.2</w:t>
      </w:r>
      <w:r>
        <w:tab/>
      </w:r>
      <w:r w:rsidRPr="00AE5AFD">
        <w:t xml:space="preserve">The procedure adopted by the Council at its </w:t>
      </w:r>
      <w:r w:rsidR="007F6070">
        <w:t xml:space="preserve">2000 </w:t>
      </w:r>
      <w:r w:rsidRPr="00AE5AFD">
        <w:t xml:space="preserve">session provides that any exemption granted by the Council is valid only up until the following </w:t>
      </w:r>
      <w:r>
        <w:t>p</w:t>
      </w:r>
      <w:r w:rsidRPr="00AE5AFD">
        <w:t xml:space="preserve">lenipotentiary </w:t>
      </w:r>
      <w:r>
        <w:t>c</w:t>
      </w:r>
      <w:r w:rsidRPr="00AE5AFD">
        <w:t>onference</w:t>
      </w:r>
      <w:r>
        <w:t>. The last Plenipotentiary Conference (</w:t>
      </w:r>
      <w:r w:rsidR="00251DD4">
        <w:t>PP-10</w:t>
      </w:r>
      <w:r>
        <w:t xml:space="preserve">) examined the list of exempted organizations which </w:t>
      </w:r>
      <w:r w:rsidRPr="00AE5AFD">
        <w:t>expressed the</w:t>
      </w:r>
      <w:r>
        <w:t>ir</w:t>
      </w:r>
      <w:r w:rsidRPr="00AE5AFD">
        <w:t xml:space="preserve"> wish to continue </w:t>
      </w:r>
      <w:r>
        <w:t xml:space="preserve">and </w:t>
      </w:r>
      <w:r w:rsidRPr="00AE5AFD">
        <w:t>approve</w:t>
      </w:r>
      <w:r w:rsidRPr="004B45E1">
        <w:t>d</w:t>
      </w:r>
      <w:r w:rsidRPr="00AE5AFD">
        <w:t xml:space="preserve"> an extension of the exemptions until the next Plenipotentiary Conference (</w:t>
      </w:r>
      <w:r w:rsidR="00251DD4">
        <w:t>PP-14</w:t>
      </w:r>
      <w:r w:rsidRPr="00AE5AFD">
        <w:t>)</w:t>
      </w:r>
      <w:r>
        <w:t>.</w:t>
      </w:r>
    </w:p>
    <w:p w:rsidR="000F233D" w:rsidRDefault="000F233D" w:rsidP="00617A0C">
      <w:pPr>
        <w:tabs>
          <w:tab w:val="clear" w:pos="567"/>
          <w:tab w:val="clear" w:pos="1134"/>
          <w:tab w:val="clear" w:pos="1701"/>
          <w:tab w:val="clear" w:pos="2268"/>
          <w:tab w:val="clear" w:pos="2835"/>
        </w:tabs>
        <w:snapToGrid w:val="0"/>
        <w:spacing w:after="120"/>
      </w:pPr>
      <w:r>
        <w:t>1.3</w:t>
      </w:r>
      <w:r>
        <w:tab/>
      </w:r>
      <w:r w:rsidRPr="00DA738A">
        <w:t xml:space="preserve">There has been a </w:t>
      </w:r>
      <w:r>
        <w:t xml:space="preserve">relatively </w:t>
      </w:r>
      <w:r w:rsidRPr="00DA738A">
        <w:t xml:space="preserve">quick rise in exemptions in the last few years: about one-third of the total has come since PP-10. </w:t>
      </w:r>
      <w:r>
        <w:t>Today, about one in five Sector Members is now exempt from fees.</w:t>
      </w:r>
      <w:r>
        <w:rPr>
          <w:rFonts w:eastAsiaTheme="minorEastAsia"/>
          <w:szCs w:val="24"/>
          <w:lang w:eastAsia="zh-CN"/>
        </w:rPr>
        <w:t xml:space="preserve"> These exemptions represent 215</w:t>
      </w:r>
      <w:r w:rsidRPr="00AE5AFD">
        <w:rPr>
          <w:rFonts w:eastAsiaTheme="minorEastAsia"/>
          <w:szCs w:val="24"/>
          <w:lang w:eastAsia="zh-CN"/>
        </w:rPr>
        <w:t xml:space="preserve"> </w:t>
      </w:r>
      <w:r>
        <w:rPr>
          <w:rFonts w:eastAsiaTheme="minorEastAsia"/>
          <w:szCs w:val="24"/>
          <w:lang w:eastAsia="zh-CN"/>
        </w:rPr>
        <w:t xml:space="preserve">Sector Member </w:t>
      </w:r>
      <w:r w:rsidRPr="00AE5AFD">
        <w:rPr>
          <w:rFonts w:eastAsiaTheme="minorEastAsia"/>
          <w:szCs w:val="24"/>
          <w:lang w:eastAsia="zh-CN"/>
        </w:rPr>
        <w:t xml:space="preserve">participations </w:t>
      </w:r>
      <w:r>
        <w:rPr>
          <w:rFonts w:eastAsiaTheme="minorEastAsia"/>
          <w:szCs w:val="24"/>
          <w:lang w:eastAsia="zh-CN"/>
        </w:rPr>
        <w:t>across t</w:t>
      </w:r>
      <w:r w:rsidRPr="00AE5AFD">
        <w:rPr>
          <w:rFonts w:eastAsiaTheme="minorEastAsia"/>
          <w:szCs w:val="24"/>
          <w:lang w:eastAsia="zh-CN"/>
        </w:rPr>
        <w:t>he three Sectors: 6</w:t>
      </w:r>
      <w:r>
        <w:rPr>
          <w:rFonts w:eastAsiaTheme="minorEastAsia"/>
          <w:szCs w:val="24"/>
          <w:lang w:eastAsia="zh-CN"/>
        </w:rPr>
        <w:t>7</w:t>
      </w:r>
      <w:r w:rsidR="00251DD4">
        <w:rPr>
          <w:rFonts w:eastAsiaTheme="minorEastAsia"/>
          <w:szCs w:val="24"/>
          <w:lang w:eastAsia="zh-CN"/>
        </w:rPr>
        <w:t> </w:t>
      </w:r>
      <w:r>
        <w:rPr>
          <w:rFonts w:eastAsiaTheme="minorEastAsia"/>
          <w:szCs w:val="24"/>
          <w:lang w:eastAsia="zh-CN"/>
        </w:rPr>
        <w:t>in ITU-R, 63 in ITU-T, and 85</w:t>
      </w:r>
      <w:r w:rsidRPr="00AE5AFD">
        <w:rPr>
          <w:rFonts w:eastAsiaTheme="minorEastAsia"/>
          <w:szCs w:val="24"/>
          <w:lang w:eastAsia="zh-CN"/>
        </w:rPr>
        <w:t xml:space="preserve"> in ITU-D</w:t>
      </w:r>
      <w:r w:rsidR="00617A0C">
        <w:rPr>
          <w:rFonts w:eastAsiaTheme="minorEastAsia"/>
          <w:szCs w:val="24"/>
          <w:lang w:eastAsia="zh-CN"/>
        </w:rPr>
        <w:t>;</w:t>
      </w:r>
      <w:r>
        <w:rPr>
          <w:rFonts w:eastAsiaTheme="minorEastAsia"/>
          <w:szCs w:val="24"/>
          <w:lang w:eastAsia="zh-CN"/>
        </w:rPr>
        <w:t xml:space="preserve"> and </w:t>
      </w:r>
      <w:r w:rsidR="00251DD4">
        <w:rPr>
          <w:rFonts w:eastAsiaTheme="minorEastAsia"/>
          <w:szCs w:val="24"/>
          <w:lang w:eastAsia="zh-CN"/>
        </w:rPr>
        <w:t>three</w:t>
      </w:r>
      <w:r>
        <w:rPr>
          <w:rFonts w:eastAsiaTheme="minorEastAsia"/>
          <w:szCs w:val="24"/>
          <w:lang w:eastAsia="zh-CN"/>
        </w:rPr>
        <w:t xml:space="preserve"> Associate participations: </w:t>
      </w:r>
      <w:r w:rsidR="00251DD4">
        <w:rPr>
          <w:rFonts w:eastAsiaTheme="minorEastAsia"/>
          <w:szCs w:val="24"/>
          <w:lang w:eastAsia="zh-CN"/>
        </w:rPr>
        <w:t>two in ITU-T and one</w:t>
      </w:r>
      <w:r>
        <w:rPr>
          <w:rFonts w:eastAsiaTheme="minorEastAsia"/>
          <w:szCs w:val="24"/>
          <w:lang w:eastAsia="zh-CN"/>
        </w:rPr>
        <w:t xml:space="preserve"> in ITU-D. </w:t>
      </w:r>
      <w:r>
        <w:t>Furthermore, w</w:t>
      </w:r>
      <w:r w:rsidRPr="00DA738A">
        <w:t>ith th</w:t>
      </w:r>
      <w:r>
        <w:t xml:space="preserve">e current </w:t>
      </w:r>
      <w:r w:rsidRPr="00DA738A">
        <w:t xml:space="preserve">broad </w:t>
      </w:r>
      <w:r>
        <w:t>criteria</w:t>
      </w:r>
      <w:r w:rsidRPr="00DA738A">
        <w:t xml:space="preserve">, a number of NGOs and business associations are among the organizations exempted, while other similar organizations are paying members of ITU. </w:t>
      </w:r>
    </w:p>
    <w:p w:rsidR="000F233D" w:rsidRPr="00AE5AFD" w:rsidRDefault="000F233D" w:rsidP="000F233D">
      <w:pPr>
        <w:tabs>
          <w:tab w:val="clear" w:pos="567"/>
          <w:tab w:val="clear" w:pos="1134"/>
          <w:tab w:val="clear" w:pos="1701"/>
          <w:tab w:val="clear" w:pos="2268"/>
          <w:tab w:val="clear" w:pos="2835"/>
        </w:tabs>
        <w:snapToGrid w:val="0"/>
        <w:spacing w:after="120"/>
      </w:pPr>
      <w:r>
        <w:t>1.4</w:t>
      </w:r>
      <w:r>
        <w:tab/>
        <w:t xml:space="preserve">The Council Working Group on Finance and Human Resources called for a </w:t>
      </w:r>
      <w:r w:rsidRPr="00DA738A">
        <w:t xml:space="preserve">review of eligibility criteria for exemptions </w:t>
      </w:r>
      <w:r>
        <w:t>to</w:t>
      </w:r>
      <w:r w:rsidRPr="00DA738A">
        <w:t xml:space="preserve"> help bring greater clarity, consistency, and fairness between paying and non-paying members. </w:t>
      </w:r>
      <w:r w:rsidRPr="00AD3BEE">
        <w:rPr>
          <w:rFonts w:asciiTheme="minorHAnsi" w:hAnsiTheme="minorHAnsi" w:cs="Calibri"/>
          <w:szCs w:val="24"/>
          <w:lang w:val="en-US"/>
        </w:rPr>
        <w:t xml:space="preserve">Taking into consideration this recommendation, Council 2014 postponed any decision regarding new requests for exemption </w:t>
      </w:r>
      <w:r>
        <w:rPr>
          <w:rFonts w:asciiTheme="minorHAnsi" w:hAnsiTheme="minorHAnsi" w:cs="Calibri"/>
          <w:szCs w:val="24"/>
          <w:lang w:val="en-US"/>
        </w:rPr>
        <w:t xml:space="preserve">(See Annex 1 for the full list) </w:t>
      </w:r>
      <w:r w:rsidRPr="00AD3BEE">
        <w:rPr>
          <w:rFonts w:asciiTheme="minorHAnsi" w:hAnsiTheme="minorHAnsi" w:cs="Calibri"/>
          <w:szCs w:val="24"/>
          <w:lang w:val="en-US"/>
        </w:rPr>
        <w:t>to the 2014 Plenipotentiary Conference.</w:t>
      </w:r>
    </w:p>
    <w:p w:rsidR="000F233D" w:rsidRPr="00DA738A" w:rsidRDefault="000F233D" w:rsidP="00251DD4">
      <w:pPr>
        <w:tabs>
          <w:tab w:val="clear" w:pos="567"/>
          <w:tab w:val="clear" w:pos="1134"/>
          <w:tab w:val="clear" w:pos="1701"/>
          <w:tab w:val="clear" w:pos="2268"/>
          <w:tab w:val="clear" w:pos="2835"/>
        </w:tabs>
        <w:snapToGrid w:val="0"/>
        <w:spacing w:before="360" w:after="120"/>
        <w:rPr>
          <w:b/>
        </w:rPr>
      </w:pPr>
      <w:r>
        <w:rPr>
          <w:b/>
        </w:rPr>
        <w:t xml:space="preserve">2. </w:t>
      </w:r>
      <w:r w:rsidR="00251DD4">
        <w:rPr>
          <w:b/>
        </w:rPr>
        <w:tab/>
      </w:r>
      <w:r>
        <w:rPr>
          <w:b/>
        </w:rPr>
        <w:t>Profile and Participation of Exempted Organizations</w:t>
      </w:r>
    </w:p>
    <w:p w:rsidR="000F233D" w:rsidRPr="00DA738A" w:rsidRDefault="000F233D" w:rsidP="00617A0C">
      <w:pPr>
        <w:tabs>
          <w:tab w:val="clear" w:pos="567"/>
          <w:tab w:val="clear" w:pos="1134"/>
          <w:tab w:val="clear" w:pos="1701"/>
          <w:tab w:val="clear" w:pos="2268"/>
          <w:tab w:val="clear" w:pos="2835"/>
        </w:tabs>
        <w:snapToGrid w:val="0"/>
        <w:spacing w:after="120"/>
      </w:pPr>
      <w:r>
        <w:t>2.</w:t>
      </w:r>
      <w:r w:rsidR="00221368">
        <w:t>1</w:t>
      </w:r>
      <w:r>
        <w:tab/>
      </w:r>
      <w:r w:rsidRPr="00DA738A">
        <w:t xml:space="preserve">Some 30% of exempted entities are </w:t>
      </w:r>
      <w:r w:rsidR="00617A0C">
        <w:t>M</w:t>
      </w:r>
      <w:r w:rsidRPr="00DA738A">
        <w:t xml:space="preserve">embers of the three Sectors (ITU-R, ITU-T, ITU-D) and 42% are </w:t>
      </w:r>
      <w:r w:rsidR="00617A0C">
        <w:t>M</w:t>
      </w:r>
      <w:r w:rsidRPr="00DA738A">
        <w:t xml:space="preserve">embers of only one Sector. In terms of participation, 69% of exempted entities have registered </w:t>
      </w:r>
      <w:r>
        <w:t xml:space="preserve">to at least one </w:t>
      </w:r>
      <w:r w:rsidRPr="00DA738A">
        <w:t>ITU event during the last four years. For the other 31%, the secretariat has no trace of registrations for ITU events during this period. In addition, 18% of exempted entities have concluded an agreement or equivalent with ITU</w:t>
      </w:r>
      <w:r>
        <w:t xml:space="preserve"> (i.e. for a project or event sponsorship)</w:t>
      </w:r>
      <w:r w:rsidRPr="00DA738A">
        <w:t>.</w:t>
      </w:r>
    </w:p>
    <w:p w:rsidR="000F233D" w:rsidRDefault="000F233D" w:rsidP="00617A0C">
      <w:pPr>
        <w:tabs>
          <w:tab w:val="clear" w:pos="567"/>
          <w:tab w:val="clear" w:pos="1134"/>
          <w:tab w:val="clear" w:pos="1701"/>
          <w:tab w:val="clear" w:pos="2268"/>
          <w:tab w:val="clear" w:pos="2835"/>
        </w:tabs>
        <w:snapToGrid w:val="0"/>
        <w:spacing w:after="120"/>
      </w:pPr>
      <w:r>
        <w:t>2.</w:t>
      </w:r>
      <w:r w:rsidR="00221368">
        <w:t>2</w:t>
      </w:r>
      <w:r w:rsidRPr="00AE5AFD">
        <w:tab/>
      </w:r>
      <w:r>
        <w:t xml:space="preserve">In preparation for </w:t>
      </w:r>
      <w:r w:rsidR="00617A0C">
        <w:t>PP-14</w:t>
      </w:r>
      <w:r>
        <w:t>, a</w:t>
      </w:r>
      <w:r w:rsidRPr="00AE5AFD">
        <w:t xml:space="preserve">ll </w:t>
      </w:r>
      <w:r>
        <w:t xml:space="preserve">exempted regional and </w:t>
      </w:r>
      <w:r w:rsidRPr="00AE5AFD">
        <w:t xml:space="preserve">international organizations </w:t>
      </w:r>
      <w:r>
        <w:t>were formally invited via</w:t>
      </w:r>
      <w:r w:rsidRPr="00AE5AFD">
        <w:t xml:space="preserve"> </w:t>
      </w:r>
      <w:r>
        <w:t xml:space="preserve">a letter dated 1 April 2014 from </w:t>
      </w:r>
      <w:r w:rsidRPr="00AE5AFD">
        <w:t>the Secr</w:t>
      </w:r>
      <w:r>
        <w:t xml:space="preserve">etary-General </w:t>
      </w:r>
      <w:r w:rsidRPr="00AE5AFD">
        <w:t>to confirm their wish to continue their participation in the work of ITU as Sector Members</w:t>
      </w:r>
      <w:r>
        <w:t xml:space="preserve"> and to fill in a survey regarding their participation in and contributions to ITU o</w:t>
      </w:r>
      <w:r w:rsidR="00251DD4">
        <w:t>ver the past four</w:t>
      </w:r>
      <w:r w:rsidR="00617A0C">
        <w:t>-</w:t>
      </w:r>
      <w:r w:rsidR="00251DD4">
        <w:t>year period.</w:t>
      </w:r>
    </w:p>
    <w:p w:rsidR="000F233D" w:rsidRDefault="000F233D" w:rsidP="00617A0C">
      <w:pPr>
        <w:tabs>
          <w:tab w:val="clear" w:pos="567"/>
          <w:tab w:val="clear" w:pos="1134"/>
          <w:tab w:val="clear" w:pos="1701"/>
          <w:tab w:val="clear" w:pos="2268"/>
          <w:tab w:val="clear" w:pos="2835"/>
        </w:tabs>
        <w:snapToGrid w:val="0"/>
        <w:spacing w:after="120"/>
      </w:pPr>
      <w:r>
        <w:t>2.</w:t>
      </w:r>
      <w:r w:rsidR="00221368">
        <w:t>3</w:t>
      </w:r>
      <w:r>
        <w:tab/>
        <w:t>In response to the Secretary-General’s letter, 72% (</w:t>
      </w:r>
      <w:r w:rsidRPr="00944EBB">
        <w:t>8</w:t>
      </w:r>
      <w:r>
        <w:t>1</w:t>
      </w:r>
      <w:r w:rsidRPr="00944EBB">
        <w:t xml:space="preserve"> out of a total of 112)</w:t>
      </w:r>
      <w:r>
        <w:t xml:space="preserve"> exempted regional and i</w:t>
      </w:r>
      <w:r w:rsidRPr="00AE5AFD">
        <w:t xml:space="preserve">nternational organizations </w:t>
      </w:r>
      <w:r>
        <w:t>filled in the survey</w:t>
      </w:r>
      <w:r w:rsidRPr="00AE5AFD">
        <w:t xml:space="preserve">. </w:t>
      </w:r>
      <w:r>
        <w:t xml:space="preserve">Of this group, 58% are </w:t>
      </w:r>
      <w:r w:rsidR="00617A0C">
        <w:t>M</w:t>
      </w:r>
      <w:r>
        <w:t xml:space="preserve">embers of ITU-R; 55% are </w:t>
      </w:r>
      <w:r w:rsidR="00617A0C">
        <w:t>M</w:t>
      </w:r>
      <w:r>
        <w:t xml:space="preserve">embers of ITU-T, and 73% are </w:t>
      </w:r>
      <w:r w:rsidR="00617A0C">
        <w:t>M</w:t>
      </w:r>
      <w:r>
        <w:t xml:space="preserve">embers of ITU-D. More than 90% of exempted members who answered the survey reported participation in ITU activities between 2010 and 2014, including attending ITU events and making contributions to study groups and working parties. About the same percentage said that they invited ITU to participate in their activities and </w:t>
      </w:r>
      <w:r>
        <w:lastRenderedPageBreak/>
        <w:t>access their documentation, free of charge. Likewise, more than 90% reported that they plan to participate in the Union and to offer reciprocal benefits for the coming four</w:t>
      </w:r>
      <w:r w:rsidR="00617A0C">
        <w:t>-</w:t>
      </w:r>
      <w:r>
        <w:t>year period.</w:t>
      </w:r>
    </w:p>
    <w:p w:rsidR="000F233D" w:rsidRPr="00AE5AFD" w:rsidRDefault="000F233D" w:rsidP="000F233D">
      <w:pPr>
        <w:tabs>
          <w:tab w:val="clear" w:pos="567"/>
          <w:tab w:val="clear" w:pos="1134"/>
          <w:tab w:val="clear" w:pos="1701"/>
          <w:tab w:val="clear" w:pos="2268"/>
          <w:tab w:val="clear" w:pos="2835"/>
        </w:tabs>
        <w:snapToGrid w:val="0"/>
        <w:spacing w:after="120"/>
      </w:pPr>
      <w:r>
        <w:t>2.</w:t>
      </w:r>
      <w:r w:rsidR="00221368">
        <w:t>4</w:t>
      </w:r>
      <w:r>
        <w:tab/>
        <w:t>More detailed profi</w:t>
      </w:r>
      <w:bookmarkStart w:id="9" w:name="_GoBack"/>
      <w:bookmarkEnd w:id="9"/>
      <w:r>
        <w:t xml:space="preserve">les of exempted members, their participation and responses to the above-noted survey are available </w:t>
      </w:r>
      <w:hyperlink r:id="rId29" w:history="1">
        <w:r w:rsidRPr="00E438F6">
          <w:rPr>
            <w:rStyle w:val="Hyperlink"/>
          </w:rPr>
          <w:t>here</w:t>
        </w:r>
      </w:hyperlink>
      <w:r>
        <w:t>.</w:t>
      </w:r>
    </w:p>
    <w:p w:rsidR="000F233D" w:rsidRPr="00AE5AFD" w:rsidRDefault="000F233D" w:rsidP="00946EDD">
      <w:pPr>
        <w:tabs>
          <w:tab w:val="clear" w:pos="567"/>
          <w:tab w:val="clear" w:pos="1134"/>
          <w:tab w:val="clear" w:pos="1701"/>
          <w:tab w:val="clear" w:pos="2268"/>
          <w:tab w:val="clear" w:pos="2835"/>
        </w:tabs>
        <w:snapToGrid w:val="0"/>
        <w:spacing w:before="360" w:after="120"/>
        <w:outlineLvl w:val="0"/>
        <w:rPr>
          <w:b/>
        </w:rPr>
      </w:pPr>
      <w:r>
        <w:rPr>
          <w:b/>
        </w:rPr>
        <w:t xml:space="preserve">3. </w:t>
      </w:r>
      <w:r w:rsidR="00946EDD">
        <w:rPr>
          <w:b/>
        </w:rPr>
        <w:tab/>
      </w:r>
      <w:r w:rsidRPr="00AE5AFD">
        <w:rPr>
          <w:b/>
        </w:rPr>
        <w:t>Recommendation</w:t>
      </w:r>
    </w:p>
    <w:p w:rsidR="000F233D" w:rsidRDefault="000F233D" w:rsidP="00617A0C">
      <w:pPr>
        <w:tabs>
          <w:tab w:val="clear" w:pos="567"/>
          <w:tab w:val="clear" w:pos="1134"/>
          <w:tab w:val="clear" w:pos="1701"/>
          <w:tab w:val="clear" w:pos="2268"/>
          <w:tab w:val="clear" w:pos="2835"/>
        </w:tabs>
        <w:snapToGrid w:val="0"/>
        <w:spacing w:after="120"/>
        <w:rPr>
          <w:rFonts w:asciiTheme="minorHAnsi" w:hAnsiTheme="minorHAnsi" w:cs="Calibri"/>
          <w:szCs w:val="24"/>
          <w:lang w:val="en-US"/>
        </w:rPr>
      </w:pPr>
      <w:r>
        <w:t>3.1</w:t>
      </w:r>
      <w:r>
        <w:tab/>
      </w:r>
      <w:r w:rsidR="00617A0C">
        <w:t>PP-14</w:t>
      </w:r>
      <w:r w:rsidRPr="005449F4">
        <w:t xml:space="preserve"> </w:t>
      </w:r>
      <w:r w:rsidRPr="00AE5AFD">
        <w:t xml:space="preserve">is invited to </w:t>
      </w:r>
      <w:r>
        <w:rPr>
          <w:b/>
          <w:bCs/>
        </w:rPr>
        <w:t>consider</w:t>
      </w:r>
      <w:r w:rsidRPr="00AE5AFD">
        <w:t xml:space="preserve"> the list </w:t>
      </w:r>
      <w:r>
        <w:t>of organizations (</w:t>
      </w:r>
      <w:r w:rsidRPr="007E546D">
        <w:t>Annex 1</w:t>
      </w:r>
      <w:r>
        <w:t>)</w:t>
      </w:r>
      <w:r w:rsidRPr="007E546D">
        <w:t>,</w:t>
      </w:r>
      <w:r>
        <w:t xml:space="preserve"> which was submitted to the Council 2014 and to </w:t>
      </w:r>
      <w:r w:rsidRPr="003101DB">
        <w:rPr>
          <w:rFonts w:asciiTheme="minorHAnsi" w:hAnsiTheme="minorHAnsi" w:cs="Calibri"/>
          <w:b/>
          <w:bCs/>
          <w:szCs w:val="24"/>
          <w:lang w:val="en-US"/>
        </w:rPr>
        <w:t xml:space="preserve">approve </w:t>
      </w:r>
      <w:r w:rsidRPr="003101DB">
        <w:rPr>
          <w:rFonts w:asciiTheme="minorHAnsi" w:hAnsiTheme="minorHAnsi" w:cs="Calibri"/>
          <w:szCs w:val="24"/>
          <w:lang w:val="en-US"/>
        </w:rPr>
        <w:t>the recommendations from the Secretary-General</w:t>
      </w:r>
      <w:r w:rsidR="00251DD4">
        <w:rPr>
          <w:rFonts w:asciiTheme="minorHAnsi" w:hAnsiTheme="minorHAnsi" w:cs="Calibri"/>
          <w:szCs w:val="24"/>
          <w:lang w:val="en-US"/>
        </w:rPr>
        <w:t>.</w:t>
      </w:r>
    </w:p>
    <w:p w:rsidR="00F73BA1" w:rsidRPr="008E6960" w:rsidRDefault="00B5219D" w:rsidP="00946EDD">
      <w:pPr>
        <w:pStyle w:val="ListParagraph"/>
        <w:numPr>
          <w:ilvl w:val="2"/>
          <w:numId w:val="23"/>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rPr>
          <w:rFonts w:asciiTheme="minorHAnsi" w:hAnsiTheme="minorHAnsi"/>
          <w:szCs w:val="24"/>
        </w:rPr>
      </w:pPr>
      <w:r w:rsidRPr="00B5219D">
        <w:rPr>
          <w:rFonts w:asciiTheme="minorHAnsi" w:hAnsiTheme="minorHAnsi" w:cs="Calibri"/>
          <w:szCs w:val="24"/>
          <w:lang w:val="en-US"/>
        </w:rPr>
        <w:t xml:space="preserve">PP-14 is </w:t>
      </w:r>
      <w:r>
        <w:rPr>
          <w:rFonts w:asciiTheme="minorHAnsi" w:hAnsiTheme="minorHAnsi" w:cs="Calibri"/>
          <w:szCs w:val="24"/>
          <w:lang w:val="en-US"/>
        </w:rPr>
        <w:t xml:space="preserve">further </w:t>
      </w:r>
      <w:r w:rsidRPr="00B5219D">
        <w:rPr>
          <w:rFonts w:asciiTheme="minorHAnsi" w:hAnsiTheme="minorHAnsi" w:cs="Calibri"/>
          <w:szCs w:val="24"/>
          <w:lang w:val="en-US"/>
        </w:rPr>
        <w:t xml:space="preserve">invited to </w:t>
      </w:r>
      <w:r w:rsidRPr="00B5219D">
        <w:rPr>
          <w:rFonts w:asciiTheme="minorHAnsi" w:hAnsiTheme="minorHAnsi"/>
          <w:b/>
          <w:bCs/>
          <w:szCs w:val="24"/>
        </w:rPr>
        <w:t>i</w:t>
      </w:r>
      <w:r w:rsidR="00F73BA1" w:rsidRPr="008E6960">
        <w:rPr>
          <w:rFonts w:asciiTheme="minorHAnsi" w:hAnsiTheme="minorHAnsi"/>
          <w:b/>
          <w:bCs/>
          <w:szCs w:val="24"/>
        </w:rPr>
        <w:t xml:space="preserve">nstruct </w:t>
      </w:r>
      <w:r w:rsidR="00F73BA1" w:rsidRPr="008E6960">
        <w:rPr>
          <w:rFonts w:asciiTheme="minorHAnsi" w:hAnsiTheme="minorHAnsi"/>
          <w:szCs w:val="24"/>
        </w:rPr>
        <w:t>Council to review the criteria for exemption and adjust the list accordingly (Annex 1 and Annex 2)</w:t>
      </w:r>
      <w:r>
        <w:rPr>
          <w:rFonts w:asciiTheme="minorHAnsi" w:hAnsiTheme="minorHAnsi"/>
          <w:szCs w:val="24"/>
        </w:rPr>
        <w:t xml:space="preserve">, </w:t>
      </w:r>
      <w:r w:rsidRPr="00B5219D">
        <w:rPr>
          <w:rFonts w:asciiTheme="minorHAnsi" w:hAnsiTheme="minorHAnsi"/>
          <w:szCs w:val="24"/>
        </w:rPr>
        <w:t xml:space="preserve">and to </w:t>
      </w:r>
      <w:r>
        <w:rPr>
          <w:rFonts w:asciiTheme="minorHAnsi" w:hAnsiTheme="minorHAnsi"/>
          <w:b/>
          <w:bCs/>
          <w:szCs w:val="24"/>
        </w:rPr>
        <w:t>ap</w:t>
      </w:r>
      <w:r w:rsidR="00F73BA1" w:rsidRPr="008E6960">
        <w:rPr>
          <w:rFonts w:asciiTheme="minorHAnsi" w:hAnsiTheme="minorHAnsi"/>
          <w:b/>
          <w:bCs/>
          <w:szCs w:val="24"/>
        </w:rPr>
        <w:t>prove</w:t>
      </w:r>
      <w:r w:rsidR="00F73BA1" w:rsidRPr="008E6960">
        <w:rPr>
          <w:rFonts w:asciiTheme="minorHAnsi" w:hAnsiTheme="minorHAnsi"/>
          <w:szCs w:val="24"/>
        </w:rPr>
        <w:t xml:space="preserve"> a short-term extension </w:t>
      </w:r>
      <w:r>
        <w:rPr>
          <w:rFonts w:asciiTheme="minorHAnsi" w:hAnsiTheme="minorHAnsi"/>
          <w:szCs w:val="24"/>
        </w:rPr>
        <w:t>of the</w:t>
      </w:r>
      <w:r w:rsidR="00F73BA1" w:rsidRPr="008E6960">
        <w:rPr>
          <w:rFonts w:asciiTheme="minorHAnsi" w:hAnsiTheme="minorHAnsi"/>
          <w:szCs w:val="24"/>
        </w:rPr>
        <w:t xml:space="preserve"> list of exempted entities until this review and adju</w:t>
      </w:r>
      <w:r w:rsidR="00946EDD">
        <w:rPr>
          <w:rFonts w:asciiTheme="minorHAnsi" w:hAnsiTheme="minorHAnsi"/>
          <w:szCs w:val="24"/>
        </w:rPr>
        <w:t>stment by Council is completed.</w:t>
      </w:r>
    </w:p>
    <w:p w:rsidR="000F233D" w:rsidRDefault="000F233D" w:rsidP="00617A0C">
      <w:pPr>
        <w:tabs>
          <w:tab w:val="clear" w:pos="567"/>
          <w:tab w:val="clear" w:pos="1134"/>
          <w:tab w:val="clear" w:pos="1701"/>
          <w:tab w:val="clear" w:pos="2268"/>
          <w:tab w:val="clear" w:pos="2835"/>
        </w:tabs>
        <w:snapToGrid w:val="0"/>
        <w:spacing w:after="120"/>
      </w:pPr>
    </w:p>
    <w:p w:rsidR="000F233D" w:rsidRPr="00251DD4" w:rsidRDefault="000F233D" w:rsidP="00251DD4">
      <w:pPr>
        <w:spacing w:before="2640"/>
        <w:rPr>
          <w:rFonts w:asciiTheme="minorHAnsi" w:hAnsiTheme="minorHAnsi"/>
          <w:b/>
          <w:bCs/>
          <w:i/>
          <w:iCs/>
          <w:lang w:val="en-US"/>
        </w:rPr>
      </w:pPr>
      <w:r w:rsidRPr="000F233D">
        <w:rPr>
          <w:rFonts w:asciiTheme="minorHAnsi" w:hAnsiTheme="minorHAnsi"/>
          <w:b/>
          <w:bCs/>
          <w:i/>
          <w:iCs/>
          <w:lang w:val="en-US"/>
        </w:rPr>
        <w:t>Annexes: 2</w:t>
      </w:r>
    </w:p>
    <w:p w:rsidR="000F233D" w:rsidRDefault="000F233D" w:rsidP="000F233D">
      <w:pPr>
        <w:tabs>
          <w:tab w:val="clear" w:pos="567"/>
          <w:tab w:val="clear" w:pos="1134"/>
          <w:tab w:val="clear" w:pos="1701"/>
          <w:tab w:val="clear" w:pos="2268"/>
          <w:tab w:val="clear" w:pos="2835"/>
        </w:tabs>
        <w:overflowPunct/>
        <w:autoSpaceDE/>
        <w:autoSpaceDN/>
        <w:adjustRightInd/>
        <w:spacing w:before="0"/>
        <w:textAlignment w:val="auto"/>
        <w:rPr>
          <w:b/>
          <w:bCs/>
        </w:rPr>
      </w:pPr>
      <w:r>
        <w:rPr>
          <w:b/>
          <w:bCs/>
        </w:rPr>
        <w:br w:type="page"/>
      </w:r>
    </w:p>
    <w:p w:rsidR="000F233D" w:rsidRPr="00D71B3A" w:rsidRDefault="000F233D" w:rsidP="00251DD4">
      <w:pPr>
        <w:pStyle w:val="AnnexNo"/>
      </w:pPr>
      <w:r w:rsidRPr="00D71B3A">
        <w:lastRenderedPageBreak/>
        <w:t>ANNEX 1</w:t>
      </w:r>
    </w:p>
    <w:p w:rsidR="000F233D" w:rsidRPr="00D71B3A" w:rsidRDefault="000F233D" w:rsidP="00251DD4">
      <w:pPr>
        <w:pStyle w:val="Annextitle"/>
      </w:pPr>
      <w:r w:rsidRPr="00D71B3A">
        <w:t>Requests for Exemption Submitted to Council 2014</w:t>
      </w:r>
    </w:p>
    <w:p w:rsidR="000F233D" w:rsidRDefault="000F233D" w:rsidP="00617A0C">
      <w:pPr>
        <w:tabs>
          <w:tab w:val="clear" w:pos="567"/>
          <w:tab w:val="clear" w:pos="1134"/>
          <w:tab w:val="clear" w:pos="1701"/>
          <w:tab w:val="clear" w:pos="2268"/>
          <w:tab w:val="clear" w:pos="2835"/>
        </w:tabs>
        <w:snapToGrid w:val="0"/>
        <w:spacing w:before="240" w:after="120"/>
        <w:rPr>
          <w:rFonts w:asciiTheme="minorHAnsi" w:hAnsiTheme="minorHAnsi" w:cs="Calibri"/>
          <w:szCs w:val="24"/>
          <w:lang w:val="en-US"/>
        </w:rPr>
      </w:pPr>
      <w:r w:rsidRPr="00AD3BEE">
        <w:t xml:space="preserve">The following is a summary of the requests submitted by the </w:t>
      </w:r>
      <w:r w:rsidR="00617A0C">
        <w:t>s</w:t>
      </w:r>
      <w:r w:rsidRPr="00AD3BEE">
        <w:t>ecretariat to Council 2014.</w:t>
      </w:r>
      <w:r>
        <w:t xml:space="preserve"> As noted above, </w:t>
      </w:r>
      <w:r w:rsidRPr="007F1771">
        <w:rPr>
          <w:rFonts w:asciiTheme="minorHAnsi" w:hAnsiTheme="minorHAnsi" w:cs="Calibri"/>
          <w:szCs w:val="24"/>
          <w:lang w:val="en-US"/>
        </w:rPr>
        <w:t>Council 2014 postponed any decision regarding new requests for exemption to the 2014 Plenipotentiary Conference.</w:t>
      </w:r>
    </w:p>
    <w:p w:rsidR="000F233D" w:rsidRPr="007E546D" w:rsidRDefault="000F233D" w:rsidP="00251DD4">
      <w:pPr>
        <w:tabs>
          <w:tab w:val="clear" w:pos="567"/>
          <w:tab w:val="clear" w:pos="1134"/>
          <w:tab w:val="clear" w:pos="1701"/>
          <w:tab w:val="clear" w:pos="2268"/>
          <w:tab w:val="clear" w:pos="2835"/>
        </w:tabs>
        <w:snapToGrid w:val="0"/>
        <w:spacing w:before="240" w:after="120"/>
        <w:rPr>
          <w:rFonts w:asciiTheme="minorHAnsi" w:hAnsiTheme="minorHAnsi" w:cstheme="minorHAnsi"/>
          <w:b/>
          <w:bCs/>
          <w:szCs w:val="24"/>
          <w:lang w:val="en-US"/>
        </w:rPr>
      </w:pPr>
      <w:r>
        <w:t xml:space="preserve">1. </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472"/>
        <w:gridCol w:w="1559"/>
        <w:gridCol w:w="2213"/>
        <w:gridCol w:w="2250"/>
      </w:tblGrid>
      <w:tr w:rsidR="000F233D" w:rsidRPr="00B34A19">
        <w:trPr>
          <w:cantSplit/>
          <w:jc w:val="center"/>
        </w:trPr>
        <w:tc>
          <w:tcPr>
            <w:tcW w:w="3472" w:type="dxa"/>
          </w:tcPr>
          <w:p w:rsidR="000F233D" w:rsidRPr="00B34A19" w:rsidRDefault="000F233D" w:rsidP="00251DD4">
            <w:pPr>
              <w:pStyle w:val="TableHead0"/>
              <w:keepLines/>
              <w:spacing w:before="60" w:after="60"/>
              <w:rPr>
                <w:rFonts w:asciiTheme="minorHAnsi" w:hAnsiTheme="minorHAnsi" w:cstheme="minorHAnsi"/>
                <w:szCs w:val="24"/>
                <w:lang w:val="en-US"/>
              </w:rPr>
            </w:pPr>
            <w:r w:rsidRPr="00B34A19">
              <w:rPr>
                <w:rFonts w:asciiTheme="minorHAnsi" w:hAnsiTheme="minorHAnsi" w:cstheme="minorHAnsi"/>
                <w:szCs w:val="24"/>
                <w:lang w:val="en-US"/>
              </w:rPr>
              <w:t>Organization</w:t>
            </w:r>
          </w:p>
        </w:tc>
        <w:tc>
          <w:tcPr>
            <w:tcW w:w="1559" w:type="dxa"/>
          </w:tcPr>
          <w:p w:rsidR="000F233D" w:rsidRPr="00B34A19" w:rsidRDefault="000F233D" w:rsidP="00251DD4">
            <w:pPr>
              <w:pStyle w:val="TableHead0"/>
              <w:keepLines/>
              <w:spacing w:before="60" w:after="60"/>
              <w:rPr>
                <w:rFonts w:asciiTheme="minorHAnsi" w:hAnsiTheme="minorHAnsi" w:cstheme="minorHAnsi"/>
                <w:szCs w:val="24"/>
                <w:lang w:val="en-US"/>
              </w:rPr>
            </w:pPr>
            <w:r w:rsidRPr="00B34A19">
              <w:rPr>
                <w:rFonts w:asciiTheme="minorHAnsi" w:hAnsiTheme="minorHAnsi" w:cstheme="minorHAnsi"/>
                <w:szCs w:val="24"/>
                <w:lang w:val="en-US"/>
              </w:rPr>
              <w:t>Sector</w:t>
            </w:r>
          </w:p>
        </w:tc>
        <w:tc>
          <w:tcPr>
            <w:tcW w:w="2213" w:type="dxa"/>
          </w:tcPr>
          <w:p w:rsidR="000F233D" w:rsidRPr="00B34A19" w:rsidRDefault="000F233D" w:rsidP="00251DD4">
            <w:pPr>
              <w:pStyle w:val="TableHead0"/>
              <w:keepLines/>
              <w:spacing w:before="60" w:after="60"/>
              <w:rPr>
                <w:rFonts w:asciiTheme="minorHAnsi" w:hAnsiTheme="minorHAnsi" w:cstheme="minorHAnsi"/>
                <w:szCs w:val="24"/>
                <w:lang w:val="en-US"/>
              </w:rPr>
            </w:pPr>
            <w:r w:rsidRPr="00B34A19">
              <w:rPr>
                <w:rFonts w:asciiTheme="minorHAnsi" w:hAnsiTheme="minorHAnsi" w:cstheme="minorHAnsi"/>
                <w:szCs w:val="24"/>
                <w:lang w:val="en-US"/>
              </w:rPr>
              <w:t>Complies with criteria</w:t>
            </w:r>
          </w:p>
        </w:tc>
        <w:tc>
          <w:tcPr>
            <w:tcW w:w="2250" w:type="dxa"/>
          </w:tcPr>
          <w:p w:rsidR="000F233D" w:rsidRPr="00B34A19" w:rsidRDefault="000F233D" w:rsidP="00251DD4">
            <w:pPr>
              <w:pStyle w:val="TableHead0"/>
              <w:keepLines/>
              <w:spacing w:before="60" w:after="60"/>
              <w:rPr>
                <w:rFonts w:asciiTheme="minorHAnsi" w:hAnsiTheme="minorHAnsi" w:cstheme="minorHAnsi"/>
                <w:szCs w:val="24"/>
                <w:lang w:val="en-US"/>
              </w:rPr>
            </w:pPr>
            <w:r w:rsidRPr="00B34A19">
              <w:rPr>
                <w:rFonts w:asciiTheme="minorHAnsi" w:hAnsiTheme="minorHAnsi" w:cstheme="minorHAnsi"/>
                <w:szCs w:val="24"/>
                <w:lang w:val="en-US"/>
              </w:rPr>
              <w:t>SG</w:t>
            </w:r>
            <w:r w:rsidRPr="00B34A19">
              <w:rPr>
                <w:rFonts w:asciiTheme="minorHAnsi" w:hAnsiTheme="minorHAnsi" w:cstheme="minorHAnsi"/>
                <w:szCs w:val="24"/>
                <w:lang w:val="en-US"/>
              </w:rPr>
              <w:br/>
              <w:t>Recommendation</w:t>
            </w:r>
          </w:p>
        </w:tc>
      </w:tr>
      <w:tr w:rsidR="000F233D" w:rsidRPr="00EF70AC">
        <w:trPr>
          <w:cantSplit/>
          <w:jc w:val="center"/>
        </w:trPr>
        <w:tc>
          <w:tcPr>
            <w:tcW w:w="3472" w:type="dxa"/>
            <w:vAlign w:val="center"/>
          </w:tcPr>
          <w:p w:rsidR="000F233D" w:rsidRPr="00506994" w:rsidRDefault="000F233D" w:rsidP="00251DD4">
            <w:pPr>
              <w:pStyle w:val="TableText1"/>
              <w:keepNext/>
              <w:keepLines/>
              <w:spacing w:before="120" w:after="60"/>
              <w:rPr>
                <w:rFonts w:asciiTheme="minorHAnsi" w:hAnsiTheme="minorHAnsi" w:cstheme="minorHAnsi"/>
                <w:b/>
                <w:iCs/>
                <w:szCs w:val="24"/>
                <w:lang w:val="es-ES_tradnl"/>
              </w:rPr>
            </w:pPr>
            <w:r>
              <w:rPr>
                <w:rFonts w:asciiTheme="minorHAnsi" w:hAnsiTheme="minorHAnsi" w:cstheme="minorHAnsi"/>
                <w:b/>
                <w:bCs/>
                <w:color w:val="000000"/>
                <w:szCs w:val="24"/>
                <w:lang w:val="es-ES_tradnl"/>
              </w:rPr>
              <w:t xml:space="preserve">AICEP - </w:t>
            </w:r>
            <w:r w:rsidRPr="00506994">
              <w:rPr>
                <w:rFonts w:asciiTheme="minorHAnsi" w:hAnsiTheme="minorHAnsi" w:cstheme="minorHAnsi"/>
                <w:b/>
                <w:bCs/>
                <w:color w:val="000000"/>
                <w:szCs w:val="24"/>
                <w:lang w:val="es-ES_tradnl"/>
              </w:rPr>
              <w:t>Associação Internacional das Comunicações de Expressão Portuguesa</w:t>
            </w:r>
          </w:p>
        </w:tc>
        <w:tc>
          <w:tcPr>
            <w:tcW w:w="1559" w:type="dxa"/>
            <w:vAlign w:val="center"/>
          </w:tcPr>
          <w:p w:rsidR="000F233D" w:rsidRPr="00506994" w:rsidRDefault="000F233D" w:rsidP="00251DD4">
            <w:pPr>
              <w:pStyle w:val="TableText1"/>
              <w:keepNext/>
              <w:keepLines/>
              <w:spacing w:before="0" w:after="60"/>
              <w:jc w:val="center"/>
              <w:rPr>
                <w:rFonts w:asciiTheme="minorHAnsi" w:hAnsiTheme="minorHAnsi" w:cstheme="minorHAnsi"/>
                <w:szCs w:val="24"/>
                <w:lang w:val="fr-CH"/>
              </w:rPr>
            </w:pPr>
            <w:r w:rsidRPr="00506994">
              <w:rPr>
                <w:rFonts w:asciiTheme="minorHAnsi" w:hAnsiTheme="minorHAnsi" w:cstheme="minorHAnsi"/>
                <w:szCs w:val="24"/>
                <w:lang w:val="fr-CH"/>
              </w:rPr>
              <w:t>ITU-R</w:t>
            </w:r>
            <w:r w:rsidRPr="00506994">
              <w:rPr>
                <w:rFonts w:asciiTheme="minorHAnsi" w:hAnsiTheme="minorHAnsi" w:cstheme="minorHAnsi"/>
                <w:szCs w:val="24"/>
                <w:lang w:val="fr-CH"/>
              </w:rPr>
              <w:br/>
              <w:t>ITU-T</w:t>
            </w:r>
            <w:r w:rsidRPr="00506994">
              <w:rPr>
                <w:rFonts w:asciiTheme="minorHAnsi" w:hAnsiTheme="minorHAnsi" w:cstheme="minorHAnsi"/>
                <w:szCs w:val="24"/>
                <w:lang w:val="fr-CH"/>
              </w:rPr>
              <w:br/>
              <w:t>ITU-D</w:t>
            </w:r>
          </w:p>
        </w:tc>
        <w:tc>
          <w:tcPr>
            <w:tcW w:w="2213" w:type="dxa"/>
            <w:vAlign w:val="center"/>
          </w:tcPr>
          <w:p w:rsidR="000F233D" w:rsidRPr="00506994" w:rsidRDefault="000F233D" w:rsidP="00251DD4">
            <w:pPr>
              <w:pStyle w:val="TableText1"/>
              <w:keepNext/>
              <w:keepLines/>
              <w:spacing w:before="0" w:after="60"/>
              <w:jc w:val="center"/>
              <w:rPr>
                <w:rFonts w:asciiTheme="minorHAnsi" w:hAnsiTheme="minorHAnsi" w:cstheme="minorHAnsi"/>
                <w:szCs w:val="24"/>
                <w:lang w:val="en-US"/>
              </w:rPr>
            </w:pPr>
            <w:r>
              <w:rPr>
                <w:rFonts w:asciiTheme="minorHAnsi" w:hAnsiTheme="minorHAnsi" w:cstheme="minorHAnsi"/>
                <w:szCs w:val="24"/>
                <w:lang w:val="en-US"/>
              </w:rPr>
              <w:t>NO</w:t>
            </w:r>
            <w:r>
              <w:rPr>
                <w:rFonts w:asciiTheme="minorHAnsi" w:hAnsiTheme="minorHAnsi" w:cstheme="minorHAnsi"/>
                <w:szCs w:val="24"/>
                <w:lang w:val="en-US"/>
              </w:rPr>
              <w:br/>
            </w:r>
            <w:r w:rsidRPr="00506994">
              <w:rPr>
                <w:rFonts w:asciiTheme="minorHAnsi" w:hAnsiTheme="minorHAnsi" w:cstheme="minorHAnsi"/>
                <w:szCs w:val="24"/>
                <w:lang w:val="en-US"/>
              </w:rPr>
              <w:t>YES</w:t>
            </w:r>
            <w:r>
              <w:rPr>
                <w:rFonts w:asciiTheme="minorHAnsi" w:hAnsiTheme="minorHAnsi" w:cstheme="minorHAnsi"/>
                <w:szCs w:val="24"/>
                <w:lang w:val="en-US"/>
              </w:rPr>
              <w:br/>
              <w:t>YES</w:t>
            </w:r>
          </w:p>
        </w:tc>
        <w:tc>
          <w:tcPr>
            <w:tcW w:w="2250" w:type="dxa"/>
            <w:vAlign w:val="center"/>
          </w:tcPr>
          <w:p w:rsidR="000F233D" w:rsidRPr="00506994" w:rsidRDefault="000F233D" w:rsidP="00251DD4">
            <w:pPr>
              <w:pStyle w:val="TableText1"/>
              <w:keepNext/>
              <w:keepLines/>
              <w:spacing w:before="0" w:after="60"/>
              <w:jc w:val="center"/>
              <w:rPr>
                <w:rFonts w:asciiTheme="minorHAnsi" w:hAnsiTheme="minorHAnsi" w:cstheme="minorHAnsi"/>
                <w:szCs w:val="24"/>
                <w:lang w:val="en-US"/>
              </w:rPr>
            </w:pPr>
            <w:r>
              <w:rPr>
                <w:rFonts w:asciiTheme="minorHAnsi" w:hAnsiTheme="minorHAnsi" w:cstheme="minorHAnsi"/>
                <w:szCs w:val="24"/>
                <w:lang w:val="en-US"/>
              </w:rPr>
              <w:t>NO</w:t>
            </w:r>
            <w:r>
              <w:rPr>
                <w:rFonts w:asciiTheme="minorHAnsi" w:hAnsiTheme="minorHAnsi" w:cstheme="minorHAnsi"/>
                <w:szCs w:val="24"/>
                <w:lang w:val="en-US"/>
              </w:rPr>
              <w:br/>
            </w:r>
            <w:r w:rsidRPr="00506994">
              <w:rPr>
                <w:rFonts w:asciiTheme="minorHAnsi" w:hAnsiTheme="minorHAnsi" w:cstheme="minorHAnsi"/>
                <w:szCs w:val="24"/>
                <w:lang w:val="en-US"/>
              </w:rPr>
              <w:t>YE</w:t>
            </w:r>
            <w:r>
              <w:rPr>
                <w:rFonts w:asciiTheme="minorHAnsi" w:hAnsiTheme="minorHAnsi" w:cstheme="minorHAnsi"/>
                <w:szCs w:val="24"/>
                <w:lang w:val="en-US"/>
              </w:rPr>
              <w:t>S</w:t>
            </w:r>
            <w:r>
              <w:rPr>
                <w:rFonts w:asciiTheme="minorHAnsi" w:hAnsiTheme="minorHAnsi" w:cstheme="minorHAnsi"/>
                <w:szCs w:val="24"/>
                <w:lang w:val="en-US"/>
              </w:rPr>
              <w:br/>
              <w:t>YES</w:t>
            </w:r>
          </w:p>
        </w:tc>
      </w:tr>
    </w:tbl>
    <w:p w:rsidR="000F233D" w:rsidRDefault="000F233D" w:rsidP="00251DD4">
      <w:pPr>
        <w:tabs>
          <w:tab w:val="clear" w:pos="567"/>
          <w:tab w:val="clear" w:pos="1134"/>
          <w:tab w:val="clear" w:pos="1701"/>
          <w:tab w:val="clear" w:pos="2268"/>
          <w:tab w:val="clear" w:pos="2835"/>
        </w:tabs>
        <w:snapToGrid w:val="0"/>
        <w:spacing w:before="240" w:after="120"/>
        <w:rPr>
          <w:rFonts w:asciiTheme="minorHAnsi" w:hAnsiTheme="minorHAnsi" w:cstheme="minorHAnsi"/>
          <w:szCs w:val="24"/>
          <w:lang w:val="en-US"/>
        </w:rPr>
      </w:pPr>
      <w:r w:rsidRPr="00B34A19">
        <w:rPr>
          <w:rFonts w:asciiTheme="minorHAnsi" w:hAnsiTheme="minorHAnsi" w:cstheme="minorHAnsi"/>
          <w:b/>
          <w:szCs w:val="24"/>
          <w:lang w:val="en-US"/>
        </w:rPr>
        <w:t>Comments on mutual advantages</w:t>
      </w:r>
      <w:r w:rsidRPr="00B34A19">
        <w:rPr>
          <w:rFonts w:asciiTheme="minorHAnsi" w:hAnsiTheme="minorHAnsi" w:cstheme="minorHAnsi"/>
          <w:szCs w:val="24"/>
          <w:lang w:val="en-US"/>
        </w:rPr>
        <w:t>:</w:t>
      </w:r>
    </w:p>
    <w:p w:rsidR="000F233D" w:rsidRPr="009D7C70" w:rsidRDefault="000F233D" w:rsidP="000F233D">
      <w:pPr>
        <w:tabs>
          <w:tab w:val="clear" w:pos="567"/>
          <w:tab w:val="clear" w:pos="1134"/>
          <w:tab w:val="clear" w:pos="1701"/>
          <w:tab w:val="clear" w:pos="2268"/>
          <w:tab w:val="clear" w:pos="2835"/>
        </w:tabs>
        <w:snapToGrid w:val="0"/>
        <w:spacing w:after="120"/>
        <w:rPr>
          <w:rFonts w:asciiTheme="minorHAnsi" w:hAnsiTheme="minorHAnsi" w:cstheme="minorHAnsi"/>
          <w:color w:val="000000" w:themeColor="text1"/>
          <w:szCs w:val="22"/>
        </w:rPr>
      </w:pPr>
      <w:r w:rsidRPr="009D7C70">
        <w:rPr>
          <w:rFonts w:asciiTheme="minorHAnsi" w:hAnsiTheme="minorHAnsi" w:cstheme="minorHAnsi"/>
          <w:color w:val="000000" w:themeColor="text1"/>
          <w:szCs w:val="22"/>
        </w:rPr>
        <w:t>The International Association of Portuguese-Speaking Communications (AICEP) is an international, technical, non-governmental and non-profit organization that brings together postal and telecommunications operators of Portuguese</w:t>
      </w:r>
      <w:r>
        <w:rPr>
          <w:rFonts w:asciiTheme="minorHAnsi" w:hAnsiTheme="minorHAnsi" w:cstheme="minorHAnsi"/>
          <w:color w:val="000000" w:themeColor="text1"/>
          <w:szCs w:val="22"/>
        </w:rPr>
        <w:t>-</w:t>
      </w:r>
      <w:r w:rsidRPr="009D7C70">
        <w:rPr>
          <w:rFonts w:asciiTheme="minorHAnsi" w:hAnsiTheme="minorHAnsi" w:cstheme="minorHAnsi"/>
          <w:color w:val="000000" w:themeColor="text1"/>
          <w:szCs w:val="22"/>
        </w:rPr>
        <w:t xml:space="preserve">speaking countries. </w:t>
      </w:r>
    </w:p>
    <w:p w:rsidR="000F233D" w:rsidRPr="009D7C70" w:rsidRDefault="000F233D" w:rsidP="000F233D">
      <w:pPr>
        <w:tabs>
          <w:tab w:val="clear" w:pos="567"/>
          <w:tab w:val="clear" w:pos="1134"/>
          <w:tab w:val="clear" w:pos="1701"/>
          <w:tab w:val="clear" w:pos="2268"/>
          <w:tab w:val="clear" w:pos="2835"/>
        </w:tabs>
        <w:snapToGrid w:val="0"/>
        <w:spacing w:after="120"/>
        <w:rPr>
          <w:rFonts w:asciiTheme="minorHAnsi" w:hAnsiTheme="minorHAnsi" w:cstheme="minorHAnsi"/>
          <w:color w:val="000000" w:themeColor="text1"/>
          <w:szCs w:val="22"/>
        </w:rPr>
      </w:pPr>
      <w:r w:rsidRPr="009D7C70">
        <w:rPr>
          <w:rFonts w:asciiTheme="minorHAnsi" w:hAnsiTheme="minorHAnsi" w:cstheme="minorHAnsi"/>
          <w:color w:val="000000" w:themeColor="text1"/>
          <w:szCs w:val="22"/>
        </w:rPr>
        <w:t>The organization’s main mission is to support Portuguese-speaking countries communications’ sustainable development through information sharing and reflection, training actions</w:t>
      </w:r>
      <w:r>
        <w:rPr>
          <w:rFonts w:asciiTheme="minorHAnsi" w:hAnsiTheme="minorHAnsi" w:cstheme="minorHAnsi"/>
          <w:color w:val="000000" w:themeColor="text1"/>
          <w:szCs w:val="22"/>
        </w:rPr>
        <w:t>,</w:t>
      </w:r>
      <w:r w:rsidRPr="009D7C70">
        <w:rPr>
          <w:rFonts w:asciiTheme="minorHAnsi" w:hAnsiTheme="minorHAnsi" w:cstheme="minorHAnsi"/>
          <w:color w:val="000000" w:themeColor="text1"/>
          <w:szCs w:val="22"/>
        </w:rPr>
        <w:t xml:space="preserve"> and developmental projects.</w:t>
      </w:r>
    </w:p>
    <w:p w:rsidR="000F233D" w:rsidRPr="009D7C70" w:rsidRDefault="000F233D" w:rsidP="000F233D">
      <w:pPr>
        <w:tabs>
          <w:tab w:val="clear" w:pos="567"/>
          <w:tab w:val="clear" w:pos="1134"/>
          <w:tab w:val="clear" w:pos="1701"/>
          <w:tab w:val="clear" w:pos="2268"/>
          <w:tab w:val="clear" w:pos="2835"/>
        </w:tabs>
        <w:snapToGrid w:val="0"/>
        <w:spacing w:after="120"/>
        <w:rPr>
          <w:rFonts w:asciiTheme="minorHAnsi" w:hAnsiTheme="minorHAnsi" w:cstheme="minorHAnsi"/>
          <w:color w:val="000000" w:themeColor="text1"/>
          <w:szCs w:val="22"/>
        </w:rPr>
      </w:pPr>
      <w:r w:rsidRPr="009D7C70">
        <w:rPr>
          <w:rFonts w:asciiTheme="minorHAnsi" w:hAnsiTheme="minorHAnsi" w:cstheme="minorHAnsi"/>
          <w:color w:val="000000" w:themeColor="text1"/>
          <w:szCs w:val="22"/>
        </w:rPr>
        <w:t>Cu</w:t>
      </w:r>
      <w:r>
        <w:rPr>
          <w:rFonts w:asciiTheme="minorHAnsi" w:hAnsiTheme="minorHAnsi" w:cstheme="minorHAnsi"/>
          <w:color w:val="000000" w:themeColor="text1"/>
          <w:szCs w:val="22"/>
        </w:rPr>
        <w:t>rrently it has 36 members from nine</w:t>
      </w:r>
      <w:r w:rsidRPr="009D7C70">
        <w:rPr>
          <w:rFonts w:asciiTheme="minorHAnsi" w:hAnsiTheme="minorHAnsi" w:cstheme="minorHAnsi"/>
          <w:color w:val="000000" w:themeColor="text1"/>
          <w:szCs w:val="22"/>
        </w:rPr>
        <w:t xml:space="preserve"> </w:t>
      </w:r>
      <w:r w:rsidR="00B5219D">
        <w:rPr>
          <w:rFonts w:asciiTheme="minorHAnsi" w:hAnsiTheme="minorHAnsi" w:cstheme="minorHAnsi"/>
          <w:color w:val="000000" w:themeColor="text1"/>
          <w:szCs w:val="22"/>
        </w:rPr>
        <w:t xml:space="preserve">Portuguese-speaking </w:t>
      </w:r>
      <w:r w:rsidRPr="009D7C70">
        <w:rPr>
          <w:rFonts w:asciiTheme="minorHAnsi" w:hAnsiTheme="minorHAnsi" w:cstheme="minorHAnsi"/>
          <w:color w:val="000000" w:themeColor="text1"/>
          <w:szCs w:val="22"/>
        </w:rPr>
        <w:t>countries and territories, including postal operators, telecommunications operators and operators of contents (television)</w:t>
      </w:r>
      <w:r>
        <w:rPr>
          <w:rFonts w:asciiTheme="minorHAnsi" w:hAnsiTheme="minorHAnsi" w:cstheme="minorHAnsi"/>
          <w:color w:val="000000" w:themeColor="text1"/>
          <w:szCs w:val="22"/>
        </w:rPr>
        <w:t>,</w:t>
      </w:r>
      <w:r w:rsidRPr="009D7C70">
        <w:rPr>
          <w:rFonts w:asciiTheme="minorHAnsi" w:hAnsiTheme="minorHAnsi" w:cstheme="minorHAnsi"/>
          <w:color w:val="000000" w:themeColor="text1"/>
          <w:szCs w:val="22"/>
        </w:rPr>
        <w:t xml:space="preserve"> as well as </w:t>
      </w:r>
      <w:r>
        <w:rPr>
          <w:rFonts w:asciiTheme="minorHAnsi" w:hAnsiTheme="minorHAnsi" w:cstheme="minorHAnsi"/>
          <w:color w:val="000000" w:themeColor="text1"/>
          <w:szCs w:val="22"/>
        </w:rPr>
        <w:t>six</w:t>
      </w:r>
      <w:r w:rsidRPr="009D7C70">
        <w:rPr>
          <w:rFonts w:asciiTheme="minorHAnsi" w:hAnsiTheme="minorHAnsi" w:cstheme="minorHAnsi"/>
          <w:color w:val="000000" w:themeColor="text1"/>
          <w:szCs w:val="22"/>
        </w:rPr>
        <w:t xml:space="preserve"> of the </w:t>
      </w:r>
      <w:r>
        <w:rPr>
          <w:rFonts w:asciiTheme="minorHAnsi" w:hAnsiTheme="minorHAnsi" w:cstheme="minorHAnsi"/>
          <w:color w:val="000000" w:themeColor="text1"/>
          <w:szCs w:val="22"/>
        </w:rPr>
        <w:t>nine</w:t>
      </w:r>
      <w:r w:rsidRPr="009D7C70">
        <w:rPr>
          <w:rFonts w:asciiTheme="minorHAnsi" w:hAnsiTheme="minorHAnsi" w:cstheme="minorHAnsi"/>
          <w:color w:val="000000" w:themeColor="text1"/>
          <w:szCs w:val="22"/>
        </w:rPr>
        <w:t xml:space="preserve"> communications regulators of the Portuguese-speaking countries.</w:t>
      </w:r>
    </w:p>
    <w:p w:rsidR="000F233D" w:rsidRPr="009D7C70" w:rsidRDefault="000F233D" w:rsidP="00617A0C">
      <w:pPr>
        <w:tabs>
          <w:tab w:val="clear" w:pos="567"/>
          <w:tab w:val="clear" w:pos="1134"/>
          <w:tab w:val="clear" w:pos="1701"/>
          <w:tab w:val="clear" w:pos="2268"/>
          <w:tab w:val="clear" w:pos="2835"/>
        </w:tabs>
        <w:snapToGrid w:val="0"/>
        <w:spacing w:after="120"/>
        <w:rPr>
          <w:rFonts w:asciiTheme="minorHAnsi" w:hAnsiTheme="minorHAnsi" w:cstheme="minorHAnsi"/>
          <w:bCs/>
          <w:color w:val="000000" w:themeColor="text1"/>
          <w:szCs w:val="22"/>
        </w:rPr>
      </w:pPr>
      <w:r w:rsidRPr="009D7C70">
        <w:rPr>
          <w:rFonts w:asciiTheme="minorHAnsi" w:hAnsiTheme="minorHAnsi" w:cstheme="minorHAnsi"/>
          <w:color w:val="000000" w:themeColor="text1"/>
          <w:szCs w:val="22"/>
        </w:rPr>
        <w:t xml:space="preserve">AICEP’s members represent </w:t>
      </w:r>
      <w:r>
        <w:rPr>
          <w:rFonts w:asciiTheme="minorHAnsi" w:hAnsiTheme="minorHAnsi" w:cstheme="minorHAnsi"/>
          <w:color w:val="000000" w:themeColor="text1"/>
          <w:szCs w:val="22"/>
        </w:rPr>
        <w:t>nine</w:t>
      </w:r>
      <w:r w:rsidRPr="009D7C70">
        <w:rPr>
          <w:rFonts w:asciiTheme="minorHAnsi" w:hAnsiTheme="minorHAnsi" w:cstheme="minorHAnsi"/>
          <w:color w:val="000000" w:themeColor="text1"/>
          <w:szCs w:val="22"/>
        </w:rPr>
        <w:t xml:space="preserve"> countries and territories of Portuguese Official Language:</w:t>
      </w:r>
      <w:r w:rsidRPr="009D7C70">
        <w:rPr>
          <w:rFonts w:asciiTheme="minorHAnsi" w:hAnsiTheme="minorHAnsi" w:cstheme="minorHAnsi"/>
          <w:bCs/>
          <w:color w:val="000000" w:themeColor="text1"/>
          <w:szCs w:val="22"/>
        </w:rPr>
        <w:t xml:space="preserve"> Angola, Brazil, Ca</w:t>
      </w:r>
      <w:r>
        <w:rPr>
          <w:rFonts w:asciiTheme="minorHAnsi" w:hAnsiTheme="minorHAnsi" w:cstheme="minorHAnsi"/>
          <w:bCs/>
          <w:color w:val="000000" w:themeColor="text1"/>
          <w:szCs w:val="22"/>
        </w:rPr>
        <w:t>bo</w:t>
      </w:r>
      <w:r w:rsidRPr="009D7C70">
        <w:rPr>
          <w:rFonts w:asciiTheme="minorHAnsi" w:hAnsiTheme="minorHAnsi" w:cstheme="minorHAnsi"/>
          <w:bCs/>
          <w:color w:val="000000" w:themeColor="text1"/>
          <w:szCs w:val="22"/>
        </w:rPr>
        <w:t xml:space="preserve"> Verde, Guinea-Bissau, Macau, Mozambique, Portugal, Sao Tome </w:t>
      </w:r>
      <w:r>
        <w:rPr>
          <w:rFonts w:asciiTheme="minorHAnsi" w:hAnsiTheme="minorHAnsi" w:cstheme="minorHAnsi"/>
          <w:bCs/>
          <w:color w:val="000000" w:themeColor="text1"/>
          <w:szCs w:val="22"/>
        </w:rPr>
        <w:t>and</w:t>
      </w:r>
      <w:r w:rsidRPr="009D7C70">
        <w:rPr>
          <w:rFonts w:asciiTheme="minorHAnsi" w:hAnsiTheme="minorHAnsi" w:cstheme="minorHAnsi"/>
          <w:bCs/>
          <w:color w:val="000000" w:themeColor="text1"/>
          <w:szCs w:val="22"/>
        </w:rPr>
        <w:t xml:space="preserve"> Principe and Timor</w:t>
      </w:r>
      <w:r>
        <w:rPr>
          <w:rFonts w:asciiTheme="minorHAnsi" w:hAnsiTheme="minorHAnsi" w:cstheme="minorHAnsi"/>
          <w:bCs/>
          <w:color w:val="000000" w:themeColor="text1"/>
          <w:szCs w:val="22"/>
        </w:rPr>
        <w:t xml:space="preserve"> Leste</w:t>
      </w:r>
      <w:r w:rsidRPr="009D7C70">
        <w:rPr>
          <w:rFonts w:asciiTheme="minorHAnsi" w:hAnsiTheme="minorHAnsi" w:cstheme="minorHAnsi"/>
          <w:bCs/>
          <w:color w:val="000000" w:themeColor="text1"/>
          <w:szCs w:val="22"/>
        </w:rPr>
        <w:t>, including: ITU-T Sector Members: Telecommunication Company of Macau</w:t>
      </w:r>
      <w:r w:rsidR="00617A0C">
        <w:rPr>
          <w:rFonts w:asciiTheme="minorHAnsi" w:hAnsiTheme="minorHAnsi" w:cstheme="minorHAnsi"/>
          <w:bCs/>
          <w:color w:val="000000" w:themeColor="text1"/>
          <w:szCs w:val="22"/>
        </w:rPr>
        <w:t>;</w:t>
      </w:r>
      <w:r w:rsidRPr="009D7C70">
        <w:rPr>
          <w:rFonts w:asciiTheme="minorHAnsi" w:hAnsiTheme="minorHAnsi" w:cstheme="minorHAnsi"/>
          <w:bCs/>
          <w:color w:val="000000" w:themeColor="text1"/>
          <w:szCs w:val="22"/>
        </w:rPr>
        <w:t xml:space="preserve"> and </w:t>
      </w:r>
      <w:r>
        <w:rPr>
          <w:rFonts w:asciiTheme="minorHAnsi" w:hAnsiTheme="minorHAnsi" w:cstheme="minorHAnsi"/>
          <w:bCs/>
          <w:color w:val="000000" w:themeColor="text1"/>
          <w:szCs w:val="22"/>
        </w:rPr>
        <w:t xml:space="preserve">ITU-T and ITU-D Sector Member: </w:t>
      </w:r>
      <w:r w:rsidRPr="009D7C70">
        <w:rPr>
          <w:rFonts w:asciiTheme="minorHAnsi" w:hAnsiTheme="minorHAnsi" w:cstheme="minorHAnsi"/>
          <w:bCs/>
          <w:color w:val="000000" w:themeColor="text1"/>
          <w:szCs w:val="22"/>
        </w:rPr>
        <w:t>Portugal Telecom</w:t>
      </w:r>
      <w:r w:rsidR="00617A0C">
        <w:rPr>
          <w:rFonts w:asciiTheme="minorHAnsi" w:hAnsiTheme="minorHAnsi" w:cstheme="minorHAnsi"/>
          <w:bCs/>
          <w:color w:val="000000" w:themeColor="text1"/>
          <w:szCs w:val="22"/>
        </w:rPr>
        <w:t>;</w:t>
      </w:r>
      <w:r w:rsidRPr="009D7C70">
        <w:rPr>
          <w:rFonts w:asciiTheme="minorHAnsi" w:hAnsiTheme="minorHAnsi" w:cstheme="minorHAnsi"/>
          <w:bCs/>
          <w:color w:val="000000" w:themeColor="text1"/>
          <w:szCs w:val="22"/>
        </w:rPr>
        <w:t xml:space="preserve"> ITU Member States’ Regulators: Autoridade Ger</w:t>
      </w:r>
      <w:r>
        <w:rPr>
          <w:rFonts w:asciiTheme="minorHAnsi" w:hAnsiTheme="minorHAnsi" w:cstheme="minorHAnsi"/>
          <w:bCs/>
          <w:color w:val="000000" w:themeColor="text1"/>
          <w:szCs w:val="22"/>
        </w:rPr>
        <w:t>al de Regulação (AGER) Sao Tome and Principe,</w:t>
      </w:r>
      <w:r w:rsidRPr="009D7C70">
        <w:rPr>
          <w:rFonts w:asciiTheme="minorHAnsi" w:hAnsiTheme="minorHAnsi" w:cstheme="minorHAnsi"/>
          <w:bCs/>
          <w:color w:val="000000" w:themeColor="text1"/>
          <w:szCs w:val="22"/>
        </w:rPr>
        <w:t xml:space="preserve"> Autoridade Nacional de</w:t>
      </w:r>
      <w:r>
        <w:rPr>
          <w:rFonts w:asciiTheme="minorHAnsi" w:hAnsiTheme="minorHAnsi" w:cstheme="minorHAnsi"/>
          <w:bCs/>
          <w:color w:val="000000" w:themeColor="text1"/>
          <w:szCs w:val="22"/>
        </w:rPr>
        <w:t xml:space="preserve"> Comunicações (ANACOM) Portugal,</w:t>
      </w:r>
      <w:r w:rsidRPr="009D7C70">
        <w:rPr>
          <w:rFonts w:asciiTheme="minorHAnsi" w:hAnsiTheme="minorHAnsi" w:cstheme="minorHAnsi"/>
          <w:bCs/>
          <w:color w:val="000000" w:themeColor="text1"/>
          <w:szCs w:val="22"/>
        </w:rPr>
        <w:t xml:space="preserve"> Autoridade Reguladora Nacional das Tecnologias de Informação e Comunicação (ARN-TIC) Guin</w:t>
      </w:r>
      <w:r>
        <w:rPr>
          <w:rFonts w:asciiTheme="minorHAnsi" w:hAnsiTheme="minorHAnsi" w:cstheme="minorHAnsi"/>
          <w:bCs/>
          <w:color w:val="000000" w:themeColor="text1"/>
          <w:szCs w:val="22"/>
        </w:rPr>
        <w:t>ea</w:t>
      </w:r>
      <w:r w:rsidRPr="009D7C70">
        <w:rPr>
          <w:rFonts w:asciiTheme="minorHAnsi" w:hAnsiTheme="minorHAnsi" w:cstheme="minorHAnsi"/>
          <w:bCs/>
          <w:color w:val="000000" w:themeColor="text1"/>
          <w:szCs w:val="22"/>
        </w:rPr>
        <w:t>-Bissau, Instituto Angolano d</w:t>
      </w:r>
      <w:r>
        <w:rPr>
          <w:rFonts w:asciiTheme="minorHAnsi" w:hAnsiTheme="minorHAnsi" w:cstheme="minorHAnsi"/>
          <w:bCs/>
          <w:color w:val="000000" w:themeColor="text1"/>
          <w:szCs w:val="22"/>
        </w:rPr>
        <w:t>as Comunicações (INACOM) Angola,</w:t>
      </w:r>
      <w:r w:rsidRPr="009D7C70">
        <w:rPr>
          <w:rFonts w:asciiTheme="minorHAnsi" w:hAnsiTheme="minorHAnsi" w:cstheme="minorHAnsi"/>
          <w:bCs/>
          <w:color w:val="000000" w:themeColor="text1"/>
          <w:szCs w:val="22"/>
        </w:rPr>
        <w:t xml:space="preserve"> (ARN-TIC); Instituto Nacional das Comunicações de Moçambique (INCM)</w:t>
      </w:r>
      <w:r>
        <w:rPr>
          <w:rFonts w:asciiTheme="minorHAnsi" w:hAnsiTheme="minorHAnsi" w:cstheme="minorHAnsi"/>
          <w:bCs/>
          <w:color w:val="000000" w:themeColor="text1"/>
          <w:szCs w:val="22"/>
        </w:rPr>
        <w:t>.</w:t>
      </w:r>
    </w:p>
    <w:p w:rsidR="000F233D" w:rsidRPr="003101DB" w:rsidRDefault="000F233D" w:rsidP="00251DD4">
      <w:pPr>
        <w:spacing w:before="240" w:after="120"/>
        <w:rPr>
          <w:rFonts w:asciiTheme="minorHAnsi" w:hAnsiTheme="minorHAnsi" w:cs="Calibri"/>
          <w:szCs w:val="24"/>
          <w:lang w:val="en-US"/>
        </w:rPr>
      </w:pPr>
      <w:r w:rsidRPr="007E546D">
        <w:rPr>
          <w:rFonts w:asciiTheme="minorHAnsi" w:hAnsiTheme="minorHAnsi" w:cs="Calibri"/>
          <w:szCs w:val="24"/>
          <w:lang w:val="en-US"/>
        </w:rPr>
        <w:t>2.</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472"/>
        <w:gridCol w:w="1559"/>
        <w:gridCol w:w="2213"/>
        <w:gridCol w:w="2250"/>
      </w:tblGrid>
      <w:tr w:rsidR="000F233D" w:rsidRPr="003101DB">
        <w:trPr>
          <w:cantSplit/>
          <w:jc w:val="center"/>
        </w:trPr>
        <w:tc>
          <w:tcPr>
            <w:tcW w:w="3472" w:type="dxa"/>
          </w:tcPr>
          <w:p w:rsidR="000F233D" w:rsidRPr="003101DB" w:rsidRDefault="000F233D" w:rsidP="00251DD4">
            <w:pPr>
              <w:pStyle w:val="TableHead0"/>
              <w:keepLines/>
              <w:spacing w:before="60" w:after="60"/>
              <w:rPr>
                <w:rFonts w:asciiTheme="minorHAnsi" w:hAnsiTheme="minorHAnsi" w:cs="Calibri"/>
                <w:szCs w:val="24"/>
                <w:lang w:val="en-US"/>
              </w:rPr>
            </w:pPr>
            <w:r w:rsidRPr="003101DB">
              <w:rPr>
                <w:rFonts w:asciiTheme="minorHAnsi" w:hAnsiTheme="minorHAnsi" w:cs="Calibri"/>
                <w:szCs w:val="24"/>
                <w:lang w:val="en-US"/>
              </w:rPr>
              <w:t>Organization</w:t>
            </w:r>
          </w:p>
        </w:tc>
        <w:tc>
          <w:tcPr>
            <w:tcW w:w="1559" w:type="dxa"/>
          </w:tcPr>
          <w:p w:rsidR="000F233D" w:rsidRPr="003101DB" w:rsidRDefault="000F233D" w:rsidP="00251DD4">
            <w:pPr>
              <w:pStyle w:val="TableHead0"/>
              <w:keepLines/>
              <w:spacing w:before="60" w:after="60"/>
              <w:rPr>
                <w:rFonts w:asciiTheme="minorHAnsi" w:hAnsiTheme="minorHAnsi" w:cs="Calibri"/>
                <w:szCs w:val="24"/>
                <w:lang w:val="en-US"/>
              </w:rPr>
            </w:pPr>
            <w:r w:rsidRPr="003101DB">
              <w:rPr>
                <w:rFonts w:asciiTheme="minorHAnsi" w:hAnsiTheme="minorHAnsi" w:cs="Calibri"/>
                <w:szCs w:val="24"/>
                <w:lang w:val="en-US"/>
              </w:rPr>
              <w:t>Sector</w:t>
            </w:r>
          </w:p>
        </w:tc>
        <w:tc>
          <w:tcPr>
            <w:tcW w:w="2213" w:type="dxa"/>
          </w:tcPr>
          <w:p w:rsidR="000F233D" w:rsidRPr="003101DB" w:rsidRDefault="000F233D" w:rsidP="00251DD4">
            <w:pPr>
              <w:pStyle w:val="TableHead0"/>
              <w:keepLines/>
              <w:spacing w:before="60" w:after="60"/>
              <w:rPr>
                <w:rFonts w:asciiTheme="minorHAnsi" w:hAnsiTheme="minorHAnsi" w:cs="Calibri"/>
                <w:szCs w:val="24"/>
                <w:lang w:val="en-US"/>
              </w:rPr>
            </w:pPr>
            <w:r w:rsidRPr="003101DB">
              <w:rPr>
                <w:rFonts w:asciiTheme="minorHAnsi" w:hAnsiTheme="minorHAnsi" w:cs="Calibri"/>
                <w:szCs w:val="24"/>
                <w:lang w:val="en-US"/>
              </w:rPr>
              <w:t>Complies with criteria</w:t>
            </w:r>
          </w:p>
        </w:tc>
        <w:tc>
          <w:tcPr>
            <w:tcW w:w="2250" w:type="dxa"/>
          </w:tcPr>
          <w:p w:rsidR="000F233D" w:rsidRPr="003101DB" w:rsidRDefault="000F233D" w:rsidP="00251DD4">
            <w:pPr>
              <w:pStyle w:val="TableHead0"/>
              <w:keepLines/>
              <w:spacing w:before="60" w:after="60"/>
              <w:rPr>
                <w:rFonts w:asciiTheme="minorHAnsi" w:hAnsiTheme="minorHAnsi" w:cs="Calibri"/>
                <w:szCs w:val="24"/>
                <w:lang w:val="en-US"/>
              </w:rPr>
            </w:pPr>
            <w:r w:rsidRPr="003101DB">
              <w:rPr>
                <w:rFonts w:asciiTheme="minorHAnsi" w:hAnsiTheme="minorHAnsi" w:cs="Calibri"/>
                <w:szCs w:val="24"/>
                <w:lang w:val="en-US"/>
              </w:rPr>
              <w:t>SG</w:t>
            </w:r>
            <w:r w:rsidRPr="003101DB">
              <w:rPr>
                <w:rFonts w:asciiTheme="minorHAnsi" w:hAnsiTheme="minorHAnsi" w:cs="Calibri"/>
                <w:szCs w:val="24"/>
                <w:lang w:val="en-US"/>
              </w:rPr>
              <w:br/>
              <w:t>Recommendation</w:t>
            </w:r>
          </w:p>
        </w:tc>
      </w:tr>
      <w:tr w:rsidR="000F233D" w:rsidRPr="003101DB">
        <w:trPr>
          <w:cantSplit/>
          <w:jc w:val="center"/>
        </w:trPr>
        <w:tc>
          <w:tcPr>
            <w:tcW w:w="3472" w:type="dxa"/>
            <w:vAlign w:val="center"/>
          </w:tcPr>
          <w:p w:rsidR="000F233D" w:rsidRPr="003101DB" w:rsidRDefault="000F233D" w:rsidP="00251DD4">
            <w:pPr>
              <w:rPr>
                <w:rFonts w:asciiTheme="minorHAnsi" w:hAnsiTheme="minorHAnsi" w:cs="Calibri"/>
                <w:b/>
                <w:bCs/>
                <w:iCs/>
                <w:szCs w:val="24"/>
              </w:rPr>
            </w:pPr>
            <w:r w:rsidRPr="003101DB">
              <w:rPr>
                <w:rFonts w:asciiTheme="minorHAnsi" w:hAnsiTheme="minorHAnsi" w:cs="Calibri"/>
                <w:b/>
                <w:bCs/>
                <w:iCs/>
                <w:szCs w:val="24"/>
                <w:lang w:val="fr-CH"/>
              </w:rPr>
              <w:t xml:space="preserve">APC - Association for Progressive Communications </w:t>
            </w:r>
          </w:p>
        </w:tc>
        <w:tc>
          <w:tcPr>
            <w:tcW w:w="1559" w:type="dxa"/>
            <w:vAlign w:val="center"/>
          </w:tcPr>
          <w:p w:rsidR="000F233D" w:rsidRPr="003101DB" w:rsidRDefault="000F233D" w:rsidP="00251DD4">
            <w:pPr>
              <w:pStyle w:val="TableText1"/>
              <w:keepNext/>
              <w:keepLines/>
              <w:spacing w:before="120" w:after="60"/>
              <w:jc w:val="center"/>
              <w:rPr>
                <w:rFonts w:asciiTheme="minorHAnsi" w:hAnsiTheme="minorHAnsi" w:cs="Calibri"/>
                <w:szCs w:val="24"/>
                <w:lang w:val="fr-CH"/>
              </w:rPr>
            </w:pPr>
            <w:r w:rsidRPr="003101DB">
              <w:rPr>
                <w:rFonts w:asciiTheme="minorHAnsi" w:hAnsiTheme="minorHAnsi" w:cs="Calibri"/>
                <w:szCs w:val="24"/>
                <w:lang w:val="fr-CH"/>
              </w:rPr>
              <w:t>ITU-R</w:t>
            </w:r>
            <w:r w:rsidRPr="003101DB">
              <w:rPr>
                <w:rFonts w:asciiTheme="minorHAnsi" w:hAnsiTheme="minorHAnsi" w:cs="Calibri"/>
                <w:szCs w:val="24"/>
                <w:lang w:val="fr-CH"/>
              </w:rPr>
              <w:br/>
              <w:t>ITU-D</w:t>
            </w:r>
          </w:p>
        </w:tc>
        <w:tc>
          <w:tcPr>
            <w:tcW w:w="2213" w:type="dxa"/>
            <w:vAlign w:val="center"/>
          </w:tcPr>
          <w:p w:rsidR="000F233D" w:rsidRPr="003101DB" w:rsidRDefault="000F233D" w:rsidP="00251DD4">
            <w:pPr>
              <w:pStyle w:val="TableText1"/>
              <w:keepNext/>
              <w:keepLines/>
              <w:spacing w:before="120" w:after="60"/>
              <w:jc w:val="center"/>
              <w:rPr>
                <w:rFonts w:asciiTheme="minorHAnsi" w:hAnsiTheme="minorHAnsi" w:cs="Calibri"/>
                <w:szCs w:val="24"/>
                <w:lang w:val="fr-CH"/>
              </w:rPr>
            </w:pPr>
            <w:r w:rsidRPr="003101DB">
              <w:rPr>
                <w:rFonts w:asciiTheme="minorHAnsi" w:hAnsiTheme="minorHAnsi" w:cs="Calibri"/>
                <w:szCs w:val="24"/>
                <w:lang w:val="fr-CH"/>
              </w:rPr>
              <w:t>NO</w:t>
            </w:r>
            <w:r w:rsidRPr="003101DB">
              <w:rPr>
                <w:rFonts w:asciiTheme="minorHAnsi" w:hAnsiTheme="minorHAnsi" w:cs="Calibri"/>
                <w:szCs w:val="24"/>
                <w:lang w:val="fr-CH"/>
              </w:rPr>
              <w:br/>
              <w:t>YES</w:t>
            </w:r>
          </w:p>
        </w:tc>
        <w:tc>
          <w:tcPr>
            <w:tcW w:w="2250" w:type="dxa"/>
            <w:vAlign w:val="center"/>
          </w:tcPr>
          <w:p w:rsidR="000F233D" w:rsidRPr="003101DB" w:rsidRDefault="000F233D" w:rsidP="00251DD4">
            <w:pPr>
              <w:pStyle w:val="TableText1"/>
              <w:keepNext/>
              <w:keepLines/>
              <w:spacing w:before="120" w:after="60"/>
              <w:jc w:val="center"/>
              <w:rPr>
                <w:rFonts w:asciiTheme="minorHAnsi" w:hAnsiTheme="minorHAnsi" w:cs="Calibri"/>
                <w:szCs w:val="24"/>
                <w:lang w:val="fr-CH"/>
              </w:rPr>
            </w:pPr>
            <w:r w:rsidRPr="003101DB">
              <w:rPr>
                <w:rFonts w:asciiTheme="minorHAnsi" w:hAnsiTheme="minorHAnsi" w:cs="Calibri"/>
                <w:szCs w:val="24"/>
                <w:lang w:val="fr-CH"/>
              </w:rPr>
              <w:t>NO</w:t>
            </w:r>
            <w:r w:rsidRPr="003101DB">
              <w:rPr>
                <w:rFonts w:asciiTheme="minorHAnsi" w:hAnsiTheme="minorHAnsi" w:cs="Calibri"/>
                <w:szCs w:val="24"/>
                <w:lang w:val="fr-CH"/>
              </w:rPr>
              <w:br/>
              <w:t>YES</w:t>
            </w:r>
          </w:p>
        </w:tc>
      </w:tr>
    </w:tbl>
    <w:p w:rsidR="000F233D" w:rsidRPr="003101DB" w:rsidRDefault="000F233D" w:rsidP="00251DD4">
      <w:pPr>
        <w:tabs>
          <w:tab w:val="clear" w:pos="567"/>
          <w:tab w:val="clear" w:pos="1134"/>
          <w:tab w:val="clear" w:pos="1701"/>
          <w:tab w:val="clear" w:pos="2268"/>
          <w:tab w:val="clear" w:pos="2835"/>
        </w:tabs>
        <w:snapToGrid w:val="0"/>
        <w:spacing w:before="240" w:after="120"/>
        <w:jc w:val="both"/>
        <w:rPr>
          <w:rFonts w:asciiTheme="minorHAnsi" w:hAnsiTheme="minorHAnsi" w:cs="Calibri"/>
          <w:lang w:val="en-US"/>
        </w:rPr>
      </w:pPr>
      <w:r w:rsidRPr="003101DB">
        <w:rPr>
          <w:rFonts w:asciiTheme="minorHAnsi" w:hAnsiTheme="minorHAnsi" w:cs="Calibri"/>
          <w:b/>
          <w:lang w:val="en-US"/>
        </w:rPr>
        <w:t>Comments on mutual advantages</w:t>
      </w:r>
      <w:r w:rsidRPr="003101DB">
        <w:rPr>
          <w:rFonts w:asciiTheme="minorHAnsi" w:hAnsiTheme="minorHAnsi" w:cs="Calibri"/>
          <w:lang w:val="en-US"/>
        </w:rPr>
        <w:t>:</w:t>
      </w:r>
    </w:p>
    <w:p w:rsidR="000F233D" w:rsidRPr="003101DB" w:rsidRDefault="000F233D" w:rsidP="000F233D">
      <w:pPr>
        <w:tabs>
          <w:tab w:val="clear" w:pos="567"/>
          <w:tab w:val="clear" w:pos="1134"/>
          <w:tab w:val="clear" w:pos="1701"/>
          <w:tab w:val="clear" w:pos="2268"/>
          <w:tab w:val="clear" w:pos="2835"/>
        </w:tabs>
        <w:snapToGrid w:val="0"/>
        <w:spacing w:after="120"/>
        <w:jc w:val="both"/>
        <w:rPr>
          <w:rFonts w:asciiTheme="minorHAnsi" w:hAnsiTheme="minorHAnsi" w:cs="Calibri"/>
          <w:szCs w:val="24"/>
          <w:lang w:val="en-US"/>
        </w:rPr>
      </w:pPr>
      <w:r w:rsidRPr="003101DB">
        <w:rPr>
          <w:rFonts w:asciiTheme="minorHAnsi" w:hAnsiTheme="minorHAnsi" w:cs="Calibri"/>
          <w:szCs w:val="24"/>
          <w:lang w:val="en-US"/>
        </w:rPr>
        <w:t xml:space="preserve">The Association for Progressive Communications (APC) is an International Network of NGOs founded in 1990 by networking seven non-profit organizations: IGC (USA), GreenNet (UK), NordNet </w:t>
      </w:r>
      <w:r w:rsidRPr="003101DB">
        <w:rPr>
          <w:rFonts w:asciiTheme="minorHAnsi" w:hAnsiTheme="minorHAnsi" w:cs="Calibri"/>
          <w:szCs w:val="24"/>
          <w:lang w:val="en-US"/>
        </w:rPr>
        <w:lastRenderedPageBreak/>
        <w:t>(Sweden), Web Networks (Canada), IBASE (Brazil), Nicarao/CRIES (Nicaragua), and Pegasus (Australia). It has now expanded its membership to 48 members in 35 countries from which 12 members are NGOs from Africa. Their activities focus on research, advocacy and education on matters related to Internet usage and civil society interest which leads to its members researching on telecommunications matters such as frequency management, universal access.</w:t>
      </w:r>
    </w:p>
    <w:p w:rsidR="000F233D" w:rsidRPr="003101DB" w:rsidRDefault="000F233D" w:rsidP="000F233D">
      <w:pPr>
        <w:tabs>
          <w:tab w:val="clear" w:pos="567"/>
          <w:tab w:val="clear" w:pos="1134"/>
          <w:tab w:val="clear" w:pos="1701"/>
          <w:tab w:val="clear" w:pos="2268"/>
          <w:tab w:val="clear" w:pos="2835"/>
        </w:tabs>
        <w:overflowPunct/>
        <w:autoSpaceDE/>
        <w:autoSpaceDN/>
        <w:snapToGrid w:val="0"/>
        <w:spacing w:after="120"/>
        <w:jc w:val="both"/>
        <w:textAlignment w:val="auto"/>
        <w:rPr>
          <w:rFonts w:asciiTheme="minorHAnsi" w:hAnsiTheme="minorHAnsi" w:cs="Calibri"/>
          <w:szCs w:val="22"/>
        </w:rPr>
      </w:pPr>
      <w:r w:rsidRPr="003101DB">
        <w:rPr>
          <w:rFonts w:asciiTheme="minorHAnsi" w:hAnsiTheme="minorHAnsi" w:cs="Calibri"/>
          <w:szCs w:val="24"/>
          <w:lang w:val="en-US"/>
        </w:rPr>
        <w:t xml:space="preserve">The research documents and knowledge accumulated by APC on civil society views on matters concerning the development of ICTs could add value to the ITU Study Groups, Conferences and development work in general. </w:t>
      </w:r>
      <w:r w:rsidRPr="003101DB">
        <w:rPr>
          <w:rFonts w:asciiTheme="minorHAnsi" w:hAnsiTheme="minorHAnsi" w:cs="Calibri"/>
          <w:szCs w:val="22"/>
        </w:rPr>
        <w:t>APC offered to share research documents they have which could be of interest to ITU.</w:t>
      </w:r>
    </w:p>
    <w:p w:rsidR="000F233D" w:rsidRDefault="000F233D" w:rsidP="000F233D">
      <w:pPr>
        <w:tabs>
          <w:tab w:val="clear" w:pos="567"/>
          <w:tab w:val="clear" w:pos="1134"/>
          <w:tab w:val="clear" w:pos="1701"/>
          <w:tab w:val="clear" w:pos="2268"/>
          <w:tab w:val="clear" w:pos="2835"/>
        </w:tabs>
        <w:snapToGrid w:val="0"/>
        <w:spacing w:after="120"/>
        <w:jc w:val="both"/>
        <w:rPr>
          <w:rFonts w:asciiTheme="minorHAnsi" w:hAnsiTheme="minorHAnsi" w:cs="Calibri"/>
          <w:szCs w:val="24"/>
          <w:lang w:val="en-US"/>
        </w:rPr>
      </w:pPr>
      <w:r w:rsidRPr="003101DB">
        <w:rPr>
          <w:rFonts w:asciiTheme="minorHAnsi" w:hAnsiTheme="minorHAnsi" w:cs="Calibri"/>
          <w:szCs w:val="22"/>
        </w:rPr>
        <w:t>This organization is most oriented to ITU-D. No evidence provided of relevant activities about radio, spectrum, satellite or any other ITU-R themes.</w:t>
      </w:r>
    </w:p>
    <w:p w:rsidR="000F233D" w:rsidRPr="003101DB" w:rsidRDefault="000F233D" w:rsidP="00251DD4">
      <w:pPr>
        <w:tabs>
          <w:tab w:val="clear" w:pos="567"/>
          <w:tab w:val="clear" w:pos="1134"/>
          <w:tab w:val="clear" w:pos="1701"/>
          <w:tab w:val="clear" w:pos="2268"/>
          <w:tab w:val="clear" w:pos="2835"/>
        </w:tabs>
        <w:snapToGrid w:val="0"/>
        <w:spacing w:before="240" w:after="120"/>
        <w:jc w:val="both"/>
        <w:rPr>
          <w:rFonts w:asciiTheme="minorHAnsi" w:hAnsiTheme="minorHAnsi" w:cs="Calibri"/>
          <w:szCs w:val="24"/>
          <w:lang w:val="en-US"/>
        </w:rPr>
      </w:pPr>
      <w:r w:rsidRPr="00AD3BEE">
        <w:rPr>
          <w:rFonts w:asciiTheme="minorHAnsi" w:hAnsiTheme="minorHAnsi" w:cs="Calibri"/>
          <w:szCs w:val="24"/>
          <w:lang w:val="en-US"/>
        </w:rPr>
        <w:t>3.</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472"/>
        <w:gridCol w:w="1559"/>
        <w:gridCol w:w="2213"/>
        <w:gridCol w:w="2250"/>
      </w:tblGrid>
      <w:tr w:rsidR="000F233D" w:rsidRPr="003101DB">
        <w:trPr>
          <w:cantSplit/>
          <w:jc w:val="center"/>
        </w:trPr>
        <w:tc>
          <w:tcPr>
            <w:tcW w:w="3472" w:type="dxa"/>
          </w:tcPr>
          <w:p w:rsidR="000F233D" w:rsidRPr="003101DB" w:rsidRDefault="000F233D" w:rsidP="00251DD4">
            <w:pPr>
              <w:pStyle w:val="TableHead0"/>
              <w:keepLines/>
              <w:spacing w:before="60" w:after="60"/>
              <w:rPr>
                <w:rFonts w:asciiTheme="minorHAnsi" w:hAnsiTheme="minorHAnsi" w:cs="Calibri"/>
                <w:szCs w:val="24"/>
                <w:lang w:val="en-US"/>
              </w:rPr>
            </w:pPr>
            <w:r w:rsidRPr="003101DB">
              <w:rPr>
                <w:rFonts w:asciiTheme="minorHAnsi" w:hAnsiTheme="minorHAnsi" w:cs="Calibri"/>
                <w:szCs w:val="24"/>
                <w:lang w:val="en-US"/>
              </w:rPr>
              <w:t>Organization</w:t>
            </w:r>
          </w:p>
        </w:tc>
        <w:tc>
          <w:tcPr>
            <w:tcW w:w="1559" w:type="dxa"/>
          </w:tcPr>
          <w:p w:rsidR="000F233D" w:rsidRPr="003101DB" w:rsidRDefault="000F233D" w:rsidP="00251DD4">
            <w:pPr>
              <w:pStyle w:val="TableHead0"/>
              <w:keepLines/>
              <w:spacing w:before="60" w:after="60"/>
              <w:rPr>
                <w:rFonts w:asciiTheme="minorHAnsi" w:hAnsiTheme="minorHAnsi" w:cs="Calibri"/>
                <w:szCs w:val="24"/>
                <w:lang w:val="en-US"/>
              </w:rPr>
            </w:pPr>
            <w:r w:rsidRPr="003101DB">
              <w:rPr>
                <w:rFonts w:asciiTheme="minorHAnsi" w:hAnsiTheme="minorHAnsi" w:cs="Calibri"/>
                <w:szCs w:val="24"/>
                <w:lang w:val="en-US"/>
              </w:rPr>
              <w:t>Sector</w:t>
            </w:r>
          </w:p>
        </w:tc>
        <w:tc>
          <w:tcPr>
            <w:tcW w:w="2213" w:type="dxa"/>
          </w:tcPr>
          <w:p w:rsidR="000F233D" w:rsidRPr="003101DB" w:rsidRDefault="000F233D" w:rsidP="00251DD4">
            <w:pPr>
              <w:pStyle w:val="TableHead0"/>
              <w:keepLines/>
              <w:spacing w:before="60" w:after="60"/>
              <w:rPr>
                <w:rFonts w:asciiTheme="minorHAnsi" w:hAnsiTheme="minorHAnsi" w:cs="Calibri"/>
                <w:szCs w:val="24"/>
                <w:lang w:val="en-US"/>
              </w:rPr>
            </w:pPr>
            <w:r w:rsidRPr="003101DB">
              <w:rPr>
                <w:rFonts w:asciiTheme="minorHAnsi" w:hAnsiTheme="minorHAnsi" w:cs="Calibri"/>
                <w:szCs w:val="24"/>
                <w:lang w:val="en-US"/>
              </w:rPr>
              <w:t>Complies with criteria</w:t>
            </w:r>
          </w:p>
        </w:tc>
        <w:tc>
          <w:tcPr>
            <w:tcW w:w="2250" w:type="dxa"/>
          </w:tcPr>
          <w:p w:rsidR="000F233D" w:rsidRPr="003101DB" w:rsidRDefault="000F233D" w:rsidP="00251DD4">
            <w:pPr>
              <w:pStyle w:val="TableHead0"/>
              <w:keepLines/>
              <w:spacing w:before="60" w:after="60"/>
              <w:rPr>
                <w:rFonts w:asciiTheme="minorHAnsi" w:hAnsiTheme="minorHAnsi" w:cs="Calibri"/>
                <w:szCs w:val="24"/>
                <w:lang w:val="en-US"/>
              </w:rPr>
            </w:pPr>
            <w:r w:rsidRPr="003101DB">
              <w:rPr>
                <w:rFonts w:asciiTheme="minorHAnsi" w:hAnsiTheme="minorHAnsi" w:cs="Calibri"/>
                <w:szCs w:val="24"/>
                <w:lang w:val="en-US"/>
              </w:rPr>
              <w:t>SG</w:t>
            </w:r>
            <w:r w:rsidRPr="003101DB">
              <w:rPr>
                <w:rFonts w:asciiTheme="minorHAnsi" w:hAnsiTheme="minorHAnsi" w:cs="Calibri"/>
                <w:szCs w:val="24"/>
                <w:lang w:val="en-US"/>
              </w:rPr>
              <w:br/>
              <w:t>Recommendation</w:t>
            </w:r>
          </w:p>
        </w:tc>
      </w:tr>
      <w:tr w:rsidR="000F233D" w:rsidRPr="003101DB">
        <w:trPr>
          <w:cantSplit/>
          <w:jc w:val="center"/>
        </w:trPr>
        <w:tc>
          <w:tcPr>
            <w:tcW w:w="3472" w:type="dxa"/>
            <w:vAlign w:val="center"/>
          </w:tcPr>
          <w:p w:rsidR="000F233D" w:rsidRPr="003101DB" w:rsidRDefault="000F233D" w:rsidP="00251DD4">
            <w:pPr>
              <w:rPr>
                <w:rFonts w:asciiTheme="minorHAnsi" w:hAnsiTheme="minorHAnsi" w:cs="Calibri"/>
                <w:b/>
                <w:bCs/>
                <w:iCs/>
                <w:szCs w:val="24"/>
              </w:rPr>
            </w:pPr>
            <w:r w:rsidRPr="003101DB">
              <w:rPr>
                <w:rFonts w:asciiTheme="minorHAnsi" w:hAnsiTheme="minorHAnsi" w:cs="Calibri"/>
                <w:b/>
                <w:bCs/>
              </w:rPr>
              <w:t>ATIS - Alliance for Telecommunications Industry Solutions</w:t>
            </w:r>
          </w:p>
        </w:tc>
        <w:tc>
          <w:tcPr>
            <w:tcW w:w="1559" w:type="dxa"/>
            <w:vAlign w:val="center"/>
          </w:tcPr>
          <w:p w:rsidR="000F233D" w:rsidRPr="003101DB" w:rsidRDefault="000F233D" w:rsidP="00251DD4">
            <w:pPr>
              <w:pStyle w:val="TableText1"/>
              <w:keepNext/>
              <w:keepLines/>
              <w:spacing w:before="120" w:after="60"/>
              <w:jc w:val="center"/>
              <w:rPr>
                <w:rFonts w:asciiTheme="minorHAnsi" w:hAnsiTheme="minorHAnsi" w:cs="Calibri"/>
                <w:szCs w:val="24"/>
                <w:lang w:val="fr-CH"/>
              </w:rPr>
            </w:pPr>
            <w:r w:rsidRPr="003101DB">
              <w:rPr>
                <w:rFonts w:asciiTheme="minorHAnsi" w:hAnsiTheme="minorHAnsi" w:cs="Calibri"/>
                <w:szCs w:val="24"/>
                <w:lang w:val="fr-CH"/>
              </w:rPr>
              <w:t>ITU-R</w:t>
            </w:r>
            <w:r w:rsidRPr="003101DB">
              <w:rPr>
                <w:rFonts w:asciiTheme="minorHAnsi" w:hAnsiTheme="minorHAnsi" w:cs="Calibri"/>
                <w:szCs w:val="24"/>
                <w:lang w:val="fr-CH"/>
              </w:rPr>
              <w:br/>
              <w:t>ITU-T</w:t>
            </w:r>
          </w:p>
        </w:tc>
        <w:tc>
          <w:tcPr>
            <w:tcW w:w="2213" w:type="dxa"/>
            <w:vAlign w:val="center"/>
          </w:tcPr>
          <w:p w:rsidR="000F233D" w:rsidRPr="008E6960" w:rsidRDefault="00F73BA1" w:rsidP="00251DD4">
            <w:pPr>
              <w:pStyle w:val="TableText1"/>
              <w:keepNext/>
              <w:keepLines/>
              <w:spacing w:before="120" w:after="60"/>
              <w:jc w:val="center"/>
              <w:rPr>
                <w:rFonts w:asciiTheme="minorHAnsi" w:hAnsiTheme="minorHAnsi" w:cs="Calibri"/>
                <w:szCs w:val="24"/>
                <w:lang w:val="en-US"/>
              </w:rPr>
            </w:pPr>
            <w:r w:rsidRPr="008E6960">
              <w:rPr>
                <w:rFonts w:asciiTheme="minorHAnsi" w:hAnsiTheme="minorHAnsi" w:cs="Calibri"/>
                <w:szCs w:val="24"/>
                <w:lang w:val="en-US"/>
              </w:rPr>
              <w:t xml:space="preserve">Consider as part of Council review of </w:t>
            </w:r>
            <w:r w:rsidR="00380BA4" w:rsidRPr="008E6960">
              <w:rPr>
                <w:rFonts w:asciiTheme="minorHAnsi" w:hAnsiTheme="minorHAnsi" w:cs="Calibri"/>
                <w:szCs w:val="24"/>
                <w:lang w:val="en-US"/>
              </w:rPr>
              <w:t xml:space="preserve">the </w:t>
            </w:r>
            <w:r w:rsidRPr="008E6960">
              <w:rPr>
                <w:rFonts w:asciiTheme="minorHAnsi" w:hAnsiTheme="minorHAnsi" w:cs="Calibri"/>
                <w:szCs w:val="24"/>
                <w:lang w:val="en-US"/>
              </w:rPr>
              <w:t>criteria</w:t>
            </w:r>
          </w:p>
        </w:tc>
        <w:tc>
          <w:tcPr>
            <w:tcW w:w="2250" w:type="dxa"/>
            <w:vAlign w:val="center"/>
          </w:tcPr>
          <w:p w:rsidR="000F233D" w:rsidRPr="008E6960" w:rsidRDefault="00F73BA1" w:rsidP="00251DD4">
            <w:pPr>
              <w:pStyle w:val="TableText1"/>
              <w:keepNext/>
              <w:keepLines/>
              <w:spacing w:before="120" w:after="60"/>
              <w:jc w:val="center"/>
              <w:rPr>
                <w:rFonts w:asciiTheme="minorHAnsi" w:hAnsiTheme="minorHAnsi" w:cs="Calibri"/>
                <w:szCs w:val="24"/>
                <w:lang w:val="en-US"/>
              </w:rPr>
            </w:pPr>
            <w:r w:rsidRPr="008E6960">
              <w:rPr>
                <w:rFonts w:asciiTheme="minorHAnsi" w:hAnsiTheme="minorHAnsi" w:cs="Calibri"/>
                <w:szCs w:val="24"/>
                <w:lang w:val="en-US"/>
              </w:rPr>
              <w:t xml:space="preserve">Consider as part of Council review of </w:t>
            </w:r>
            <w:r w:rsidR="00380BA4" w:rsidRPr="008E6960">
              <w:rPr>
                <w:rFonts w:asciiTheme="minorHAnsi" w:hAnsiTheme="minorHAnsi" w:cs="Calibri"/>
                <w:szCs w:val="24"/>
                <w:lang w:val="en-US"/>
              </w:rPr>
              <w:t xml:space="preserve">the </w:t>
            </w:r>
            <w:r w:rsidRPr="008E6960">
              <w:rPr>
                <w:rFonts w:asciiTheme="minorHAnsi" w:hAnsiTheme="minorHAnsi" w:cs="Calibri"/>
                <w:szCs w:val="24"/>
                <w:lang w:val="en-US"/>
              </w:rPr>
              <w:t>criteria</w:t>
            </w:r>
          </w:p>
        </w:tc>
      </w:tr>
    </w:tbl>
    <w:p w:rsidR="000F233D" w:rsidRPr="003101DB" w:rsidRDefault="000F233D" w:rsidP="00251DD4">
      <w:pPr>
        <w:tabs>
          <w:tab w:val="clear" w:pos="567"/>
          <w:tab w:val="clear" w:pos="1134"/>
          <w:tab w:val="clear" w:pos="1701"/>
          <w:tab w:val="clear" w:pos="2268"/>
          <w:tab w:val="clear" w:pos="2835"/>
        </w:tabs>
        <w:snapToGrid w:val="0"/>
        <w:spacing w:before="240" w:after="120"/>
        <w:jc w:val="both"/>
        <w:rPr>
          <w:rFonts w:asciiTheme="minorHAnsi" w:hAnsiTheme="minorHAnsi" w:cs="Calibri"/>
          <w:lang w:val="en-US"/>
        </w:rPr>
      </w:pPr>
      <w:r w:rsidRPr="003101DB">
        <w:rPr>
          <w:rFonts w:asciiTheme="minorHAnsi" w:hAnsiTheme="minorHAnsi" w:cs="Calibri"/>
          <w:b/>
          <w:lang w:val="en-US"/>
        </w:rPr>
        <w:t>Comments on mutual advantages</w:t>
      </w:r>
      <w:r w:rsidRPr="003101DB">
        <w:rPr>
          <w:rFonts w:asciiTheme="minorHAnsi" w:hAnsiTheme="minorHAnsi" w:cs="Calibri"/>
          <w:lang w:val="en-US"/>
        </w:rPr>
        <w:t>:</w:t>
      </w:r>
    </w:p>
    <w:p w:rsidR="000F233D" w:rsidRDefault="000F233D" w:rsidP="000F233D">
      <w:pPr>
        <w:tabs>
          <w:tab w:val="clear" w:pos="567"/>
          <w:tab w:val="clear" w:pos="1134"/>
          <w:tab w:val="clear" w:pos="1701"/>
          <w:tab w:val="clear" w:pos="2268"/>
          <w:tab w:val="clear" w:pos="2835"/>
        </w:tabs>
        <w:snapToGrid w:val="0"/>
        <w:spacing w:after="120"/>
        <w:rPr>
          <w:rFonts w:cs="Arial"/>
          <w:szCs w:val="24"/>
          <w:lang w:val="en-US"/>
        </w:rPr>
      </w:pPr>
      <w:r w:rsidRPr="00121D29">
        <w:rPr>
          <w:rFonts w:cs="Arial"/>
          <w:szCs w:val="24"/>
          <w:lang w:val="en-US"/>
        </w:rPr>
        <w:t>ATIS, a current ITU-T and ITU-R Sector Member, is a not-for-profit organization organized under the laws of the United States (accredited by ANSI) that develops technical and operational standards and solutions for the ICT industry. ATIS is the North American Organizational Partner for 3GPP, a founding Partner of oneM2M, a member and major U.S. contributor to ITU Radio and Telecommunications sectors, and a member of CITEL.</w:t>
      </w:r>
    </w:p>
    <w:p w:rsidR="000F233D" w:rsidRPr="007A7F66" w:rsidRDefault="000F233D" w:rsidP="000F233D">
      <w:pPr>
        <w:tabs>
          <w:tab w:val="clear" w:pos="567"/>
          <w:tab w:val="clear" w:pos="1134"/>
          <w:tab w:val="clear" w:pos="1701"/>
          <w:tab w:val="clear" w:pos="2268"/>
          <w:tab w:val="clear" w:pos="2835"/>
        </w:tabs>
        <w:snapToGrid w:val="0"/>
        <w:spacing w:after="120"/>
        <w:rPr>
          <w:rFonts w:cs="Arial"/>
          <w:szCs w:val="24"/>
          <w:lang w:val="en-US"/>
        </w:rPr>
      </w:pPr>
      <w:r w:rsidRPr="00121D29">
        <w:rPr>
          <w:rFonts w:cs="Arial"/>
          <w:szCs w:val="24"/>
          <w:lang w:val="en-US"/>
        </w:rPr>
        <w:t xml:space="preserve">The organization has more than 250 member companies including </w:t>
      </w:r>
      <w:r w:rsidRPr="00121D29">
        <w:rPr>
          <w:szCs w:val="24"/>
          <w:lang w:val="en-US"/>
        </w:rPr>
        <w:t>wireless and wireline service providers, equipment manufacturers, broadband providers, software developers, consumer electronics companies, U.S. and Canadian public safety agencies, digital rights management companies, and internet service providers.</w:t>
      </w:r>
      <w:r w:rsidRPr="00121D29">
        <w:rPr>
          <w:rFonts w:ascii="Arial" w:hAnsi="Arial"/>
          <w:szCs w:val="24"/>
          <w:lang w:val="en-US"/>
        </w:rPr>
        <w:t xml:space="preserve"> </w:t>
      </w:r>
    </w:p>
    <w:p w:rsidR="000F233D" w:rsidRPr="00121D29" w:rsidRDefault="000F233D" w:rsidP="000F233D">
      <w:pPr>
        <w:tabs>
          <w:tab w:val="clear" w:pos="567"/>
          <w:tab w:val="clear" w:pos="1134"/>
          <w:tab w:val="clear" w:pos="1701"/>
          <w:tab w:val="clear" w:pos="2268"/>
          <w:tab w:val="clear" w:pos="2835"/>
        </w:tabs>
        <w:overflowPunct/>
        <w:autoSpaceDE/>
        <w:autoSpaceDN/>
        <w:snapToGrid w:val="0"/>
        <w:spacing w:after="120"/>
        <w:textAlignment w:val="auto"/>
        <w:rPr>
          <w:rFonts w:cs="Calibri"/>
          <w:szCs w:val="24"/>
          <w:lang w:val="en-US"/>
        </w:rPr>
      </w:pPr>
      <w:r w:rsidRPr="00121D29">
        <w:rPr>
          <w:rFonts w:cs="Calibri"/>
          <w:szCs w:val="24"/>
          <w:lang w:val="en-US"/>
        </w:rPr>
        <w:t xml:space="preserve">ATIS’ membership, comprised of regional and global companies, includes key stakeholders from the ICT industry – wireless and wireline service providers, equipment manufacturers, broadband providers, software developers, consumer electronics companies, U.S. and Canadian public safety agencies, digital rights management companies, and internet service providers. </w:t>
      </w:r>
    </w:p>
    <w:p w:rsidR="000F233D" w:rsidRPr="00617A0C" w:rsidRDefault="000F233D" w:rsidP="000F233D">
      <w:pPr>
        <w:tabs>
          <w:tab w:val="clear" w:pos="567"/>
          <w:tab w:val="clear" w:pos="1134"/>
          <w:tab w:val="clear" w:pos="1701"/>
          <w:tab w:val="clear" w:pos="2268"/>
          <w:tab w:val="clear" w:pos="2835"/>
        </w:tabs>
        <w:overflowPunct/>
        <w:autoSpaceDE/>
        <w:autoSpaceDN/>
        <w:snapToGrid w:val="0"/>
        <w:spacing w:after="120"/>
        <w:textAlignment w:val="auto"/>
        <w:rPr>
          <w:rFonts w:cs="Calibri"/>
          <w:szCs w:val="24"/>
          <w:lang w:val="en-US"/>
        </w:rPr>
      </w:pPr>
      <w:r>
        <w:rPr>
          <w:rFonts w:cs="Arial"/>
          <w:szCs w:val="24"/>
          <w:lang w:val="en-US" w:eastAsia="zh-CN"/>
        </w:rPr>
        <w:t xml:space="preserve">ATIS is currently a paying member of ITU-R and ITU-T. </w:t>
      </w:r>
      <w:r w:rsidRPr="004A797B">
        <w:rPr>
          <w:rFonts w:cs="Arial"/>
          <w:szCs w:val="24"/>
          <w:lang w:val="en-US" w:eastAsia="zh-CN"/>
        </w:rPr>
        <w:t>This request to change its current status to fee-exempted member should be further studied</w:t>
      </w:r>
      <w:r w:rsidR="00B5219D" w:rsidRPr="004A797B">
        <w:rPr>
          <w:rFonts w:cs="Arial"/>
          <w:szCs w:val="24"/>
          <w:lang w:val="en-US" w:eastAsia="zh-CN"/>
        </w:rPr>
        <w:t xml:space="preserve"> </w:t>
      </w:r>
      <w:r w:rsidR="00954678" w:rsidRPr="004A797B">
        <w:rPr>
          <w:rFonts w:cs="Arial"/>
          <w:szCs w:val="24"/>
          <w:lang w:val="en-US" w:eastAsia="zh-CN"/>
        </w:rPr>
        <w:t>as part of</w:t>
      </w:r>
      <w:r w:rsidR="00B5219D" w:rsidRPr="004A797B">
        <w:rPr>
          <w:rFonts w:cs="Arial"/>
          <w:szCs w:val="24"/>
          <w:lang w:val="en-US" w:eastAsia="zh-CN"/>
        </w:rPr>
        <w:t xml:space="preserve"> </w:t>
      </w:r>
      <w:r w:rsidR="00954678" w:rsidRPr="004A797B">
        <w:rPr>
          <w:rFonts w:cs="Arial"/>
          <w:szCs w:val="24"/>
          <w:lang w:val="en-US" w:eastAsia="zh-CN"/>
        </w:rPr>
        <w:t xml:space="preserve">a </w:t>
      </w:r>
      <w:r w:rsidR="00B5219D" w:rsidRPr="004A797B">
        <w:rPr>
          <w:rFonts w:cs="Arial"/>
          <w:szCs w:val="24"/>
          <w:lang w:val="en-US" w:eastAsia="zh-CN"/>
        </w:rPr>
        <w:t>review by Council of the criteria</w:t>
      </w:r>
      <w:r w:rsidRPr="004A797B">
        <w:rPr>
          <w:rFonts w:cs="Arial"/>
          <w:szCs w:val="24"/>
          <w:lang w:val="en-US" w:eastAsia="zh-CN"/>
        </w:rPr>
        <w:t>.</w:t>
      </w:r>
      <w:r w:rsidR="00617A0C" w:rsidRPr="00B5219D">
        <w:rPr>
          <w:rFonts w:cs="Arial"/>
          <w:szCs w:val="24"/>
          <w:lang w:val="en-US" w:eastAsia="zh-CN"/>
        </w:rPr>
        <w:t xml:space="preserve"> </w:t>
      </w:r>
    </w:p>
    <w:p w:rsidR="000F233D" w:rsidRPr="000F233D" w:rsidRDefault="000F233D" w:rsidP="00251DD4">
      <w:pPr>
        <w:keepNext/>
        <w:keepLines/>
        <w:widowControl w:val="0"/>
        <w:spacing w:before="240" w:after="120"/>
        <w:rPr>
          <w:rFonts w:asciiTheme="minorHAnsi" w:hAnsiTheme="minorHAnsi" w:cs="Calibri"/>
          <w:szCs w:val="24"/>
          <w:lang w:val="en-US"/>
        </w:rPr>
      </w:pPr>
      <w:r w:rsidRPr="007E546D">
        <w:rPr>
          <w:rFonts w:asciiTheme="minorHAnsi" w:hAnsiTheme="minorHAnsi" w:cs="Calibri"/>
          <w:szCs w:val="24"/>
          <w:lang w:val="en-US"/>
        </w:rPr>
        <w:lastRenderedPageBreak/>
        <w:t>4</w:t>
      </w:r>
      <w:r>
        <w:rPr>
          <w:rFonts w:asciiTheme="minorHAnsi" w:hAnsiTheme="minorHAnsi" w:cs="Calibri"/>
          <w:szCs w:val="24"/>
          <w:lang w:val="en-US"/>
        </w:rPr>
        <w:t>.</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472"/>
        <w:gridCol w:w="1559"/>
        <w:gridCol w:w="2213"/>
        <w:gridCol w:w="2250"/>
      </w:tblGrid>
      <w:tr w:rsidR="000F233D" w:rsidRPr="000F233D">
        <w:trPr>
          <w:cantSplit/>
          <w:jc w:val="center"/>
        </w:trPr>
        <w:tc>
          <w:tcPr>
            <w:tcW w:w="3472" w:type="dxa"/>
          </w:tcPr>
          <w:p w:rsidR="000F233D" w:rsidRPr="000F233D" w:rsidRDefault="000F233D" w:rsidP="00251DD4">
            <w:pPr>
              <w:pStyle w:val="TableHead0"/>
              <w:keepLines/>
              <w:widowControl w:val="0"/>
              <w:spacing w:before="60" w:after="60"/>
              <w:rPr>
                <w:rFonts w:asciiTheme="minorHAnsi" w:hAnsiTheme="minorHAnsi" w:cs="Calibri"/>
                <w:szCs w:val="24"/>
                <w:lang w:val="en-US"/>
              </w:rPr>
            </w:pPr>
            <w:r w:rsidRPr="000F233D">
              <w:rPr>
                <w:rFonts w:asciiTheme="minorHAnsi" w:hAnsiTheme="minorHAnsi" w:cs="Calibri"/>
                <w:szCs w:val="24"/>
                <w:lang w:val="en-US"/>
              </w:rPr>
              <w:t>Organization</w:t>
            </w:r>
          </w:p>
        </w:tc>
        <w:tc>
          <w:tcPr>
            <w:tcW w:w="1559" w:type="dxa"/>
          </w:tcPr>
          <w:p w:rsidR="000F233D" w:rsidRPr="000F233D" w:rsidRDefault="000F233D" w:rsidP="00251DD4">
            <w:pPr>
              <w:pStyle w:val="TableHead0"/>
              <w:keepLines/>
              <w:widowControl w:val="0"/>
              <w:spacing w:before="60" w:after="60"/>
              <w:rPr>
                <w:rFonts w:asciiTheme="minorHAnsi" w:hAnsiTheme="minorHAnsi" w:cs="Calibri"/>
                <w:szCs w:val="24"/>
                <w:lang w:val="en-US"/>
              </w:rPr>
            </w:pPr>
            <w:r w:rsidRPr="000F233D">
              <w:rPr>
                <w:rFonts w:asciiTheme="minorHAnsi" w:hAnsiTheme="minorHAnsi" w:cs="Calibri"/>
                <w:szCs w:val="24"/>
                <w:lang w:val="en-US"/>
              </w:rPr>
              <w:t>Sector</w:t>
            </w:r>
          </w:p>
        </w:tc>
        <w:tc>
          <w:tcPr>
            <w:tcW w:w="2213" w:type="dxa"/>
          </w:tcPr>
          <w:p w:rsidR="000F233D" w:rsidRPr="000F233D" w:rsidRDefault="000F233D" w:rsidP="00251DD4">
            <w:pPr>
              <w:pStyle w:val="TableHead0"/>
              <w:keepLines/>
              <w:widowControl w:val="0"/>
              <w:spacing w:before="60" w:after="60"/>
              <w:rPr>
                <w:rFonts w:asciiTheme="minorHAnsi" w:hAnsiTheme="minorHAnsi" w:cs="Calibri"/>
                <w:szCs w:val="24"/>
                <w:lang w:val="en-US"/>
              </w:rPr>
            </w:pPr>
            <w:r w:rsidRPr="000F233D">
              <w:rPr>
                <w:rFonts w:asciiTheme="minorHAnsi" w:hAnsiTheme="minorHAnsi" w:cs="Calibri"/>
                <w:szCs w:val="24"/>
                <w:lang w:val="en-US"/>
              </w:rPr>
              <w:t>Complies with criteria</w:t>
            </w:r>
          </w:p>
        </w:tc>
        <w:tc>
          <w:tcPr>
            <w:tcW w:w="2250" w:type="dxa"/>
          </w:tcPr>
          <w:p w:rsidR="000F233D" w:rsidRPr="000F233D" w:rsidRDefault="000F233D" w:rsidP="00251DD4">
            <w:pPr>
              <w:pStyle w:val="TableHead0"/>
              <w:keepLines/>
              <w:widowControl w:val="0"/>
              <w:spacing w:before="60" w:after="60"/>
              <w:rPr>
                <w:rFonts w:asciiTheme="minorHAnsi" w:hAnsiTheme="minorHAnsi" w:cs="Calibri"/>
                <w:szCs w:val="24"/>
                <w:lang w:val="en-US"/>
              </w:rPr>
            </w:pPr>
            <w:r w:rsidRPr="000F233D">
              <w:rPr>
                <w:rFonts w:asciiTheme="minorHAnsi" w:hAnsiTheme="minorHAnsi" w:cs="Calibri"/>
                <w:szCs w:val="24"/>
                <w:lang w:val="en-US"/>
              </w:rPr>
              <w:t>SG</w:t>
            </w:r>
            <w:r w:rsidRPr="000F233D">
              <w:rPr>
                <w:rFonts w:asciiTheme="minorHAnsi" w:hAnsiTheme="minorHAnsi" w:cs="Calibri"/>
                <w:szCs w:val="24"/>
                <w:lang w:val="en-US"/>
              </w:rPr>
              <w:br/>
              <w:t>Recommendation</w:t>
            </w:r>
          </w:p>
        </w:tc>
      </w:tr>
      <w:tr w:rsidR="000F233D" w:rsidRPr="000F233D">
        <w:trPr>
          <w:cantSplit/>
          <w:jc w:val="center"/>
        </w:trPr>
        <w:tc>
          <w:tcPr>
            <w:tcW w:w="3472" w:type="dxa"/>
            <w:vAlign w:val="center"/>
          </w:tcPr>
          <w:p w:rsidR="000F233D" w:rsidRPr="000F233D" w:rsidRDefault="00F73BA1" w:rsidP="00251DD4">
            <w:pPr>
              <w:keepNext/>
              <w:keepLines/>
              <w:widowControl w:val="0"/>
              <w:rPr>
                <w:rFonts w:asciiTheme="minorHAnsi" w:hAnsiTheme="minorHAnsi" w:cs="Calibri"/>
                <w:b/>
                <w:bCs/>
                <w:iCs/>
                <w:szCs w:val="24"/>
                <w:lang w:val="en-US"/>
              </w:rPr>
            </w:pPr>
            <w:r w:rsidRPr="008E6960">
              <w:rPr>
                <w:rFonts w:asciiTheme="minorHAnsi" w:hAnsiTheme="minorHAnsi" w:cs="Calibri"/>
                <w:b/>
                <w:bCs/>
                <w:lang w:val="en-US"/>
              </w:rPr>
              <w:t xml:space="preserve">ECCAS – </w:t>
            </w:r>
            <w:r w:rsidRPr="008E6960">
              <w:rPr>
                <w:rFonts w:asciiTheme="minorHAnsi" w:hAnsiTheme="minorHAnsi" w:cs="Calibri"/>
                <w:lang w:val="en-US"/>
              </w:rPr>
              <w:t>Economic Community of Central Africa States</w:t>
            </w:r>
          </w:p>
        </w:tc>
        <w:tc>
          <w:tcPr>
            <w:tcW w:w="1559" w:type="dxa"/>
            <w:vAlign w:val="center"/>
          </w:tcPr>
          <w:p w:rsidR="000F233D" w:rsidRPr="000F233D" w:rsidRDefault="000F233D" w:rsidP="00251DD4">
            <w:pPr>
              <w:pStyle w:val="TableText1"/>
              <w:keepNext/>
              <w:keepLines/>
              <w:widowControl w:val="0"/>
              <w:spacing w:before="120" w:after="60"/>
              <w:jc w:val="center"/>
              <w:rPr>
                <w:rFonts w:asciiTheme="minorHAnsi" w:hAnsiTheme="minorHAnsi" w:cs="Calibri"/>
                <w:szCs w:val="24"/>
                <w:lang w:val="fr-CH"/>
              </w:rPr>
            </w:pPr>
            <w:r w:rsidRPr="000F233D">
              <w:rPr>
                <w:rFonts w:asciiTheme="minorHAnsi" w:hAnsiTheme="minorHAnsi" w:cs="Calibri"/>
                <w:szCs w:val="24"/>
                <w:lang w:val="fr-CH"/>
              </w:rPr>
              <w:t>ITU-R</w:t>
            </w:r>
            <w:r w:rsidRPr="000F233D">
              <w:rPr>
                <w:rFonts w:asciiTheme="minorHAnsi" w:hAnsiTheme="minorHAnsi" w:cs="Calibri"/>
                <w:szCs w:val="24"/>
                <w:lang w:val="fr-CH"/>
              </w:rPr>
              <w:br/>
              <w:t>ITU-T</w:t>
            </w:r>
            <w:r w:rsidRPr="000F233D">
              <w:rPr>
                <w:rFonts w:asciiTheme="minorHAnsi" w:hAnsiTheme="minorHAnsi" w:cs="Calibri"/>
                <w:szCs w:val="24"/>
                <w:lang w:val="fr-CH"/>
              </w:rPr>
              <w:br/>
              <w:t>ITU-D</w:t>
            </w:r>
          </w:p>
        </w:tc>
        <w:tc>
          <w:tcPr>
            <w:tcW w:w="2213" w:type="dxa"/>
            <w:vAlign w:val="center"/>
          </w:tcPr>
          <w:p w:rsidR="000F233D" w:rsidRPr="000F233D" w:rsidRDefault="000F233D" w:rsidP="00251DD4">
            <w:pPr>
              <w:pStyle w:val="TableText1"/>
              <w:keepNext/>
              <w:keepLines/>
              <w:widowControl w:val="0"/>
              <w:spacing w:before="120" w:after="60"/>
              <w:jc w:val="center"/>
              <w:rPr>
                <w:rFonts w:asciiTheme="minorHAnsi" w:hAnsiTheme="minorHAnsi" w:cs="Calibri"/>
                <w:szCs w:val="24"/>
                <w:lang w:val="en-US"/>
              </w:rPr>
            </w:pPr>
            <w:r w:rsidRPr="000F233D">
              <w:rPr>
                <w:rFonts w:asciiTheme="minorHAnsi" w:hAnsiTheme="minorHAnsi" w:cs="Calibri"/>
                <w:szCs w:val="24"/>
                <w:lang w:val="en-US"/>
              </w:rPr>
              <w:t>NO</w:t>
            </w:r>
            <w:r w:rsidRPr="000F233D">
              <w:rPr>
                <w:rFonts w:asciiTheme="minorHAnsi" w:hAnsiTheme="minorHAnsi" w:cs="Calibri"/>
                <w:szCs w:val="24"/>
                <w:lang w:val="en-US"/>
              </w:rPr>
              <w:br/>
              <w:t>NO</w:t>
            </w:r>
            <w:r w:rsidRPr="000F233D">
              <w:rPr>
                <w:rFonts w:asciiTheme="minorHAnsi" w:hAnsiTheme="minorHAnsi" w:cs="Calibri"/>
                <w:szCs w:val="24"/>
                <w:lang w:val="en-US"/>
              </w:rPr>
              <w:br/>
              <w:t>YES</w:t>
            </w:r>
          </w:p>
        </w:tc>
        <w:tc>
          <w:tcPr>
            <w:tcW w:w="2250" w:type="dxa"/>
            <w:vAlign w:val="center"/>
          </w:tcPr>
          <w:p w:rsidR="000F233D" w:rsidRPr="000F233D" w:rsidRDefault="000F233D" w:rsidP="00251DD4">
            <w:pPr>
              <w:pStyle w:val="TableText1"/>
              <w:keepNext/>
              <w:keepLines/>
              <w:widowControl w:val="0"/>
              <w:spacing w:before="120" w:after="60"/>
              <w:jc w:val="center"/>
              <w:rPr>
                <w:rFonts w:asciiTheme="minorHAnsi" w:hAnsiTheme="minorHAnsi" w:cs="Calibri"/>
                <w:szCs w:val="24"/>
                <w:lang w:val="en-US"/>
              </w:rPr>
            </w:pPr>
            <w:r w:rsidRPr="000F233D">
              <w:rPr>
                <w:rFonts w:asciiTheme="minorHAnsi" w:hAnsiTheme="minorHAnsi" w:cs="Calibri"/>
                <w:szCs w:val="24"/>
                <w:lang w:val="en-US"/>
              </w:rPr>
              <w:t>NO</w:t>
            </w:r>
            <w:r w:rsidRPr="000F233D">
              <w:rPr>
                <w:rFonts w:asciiTheme="minorHAnsi" w:hAnsiTheme="minorHAnsi" w:cs="Calibri"/>
                <w:szCs w:val="24"/>
                <w:lang w:val="en-US"/>
              </w:rPr>
              <w:br/>
              <w:t>NO</w:t>
            </w:r>
            <w:r w:rsidRPr="000F233D">
              <w:rPr>
                <w:rFonts w:asciiTheme="minorHAnsi" w:hAnsiTheme="minorHAnsi" w:cs="Calibri"/>
                <w:szCs w:val="24"/>
                <w:lang w:val="en-US"/>
              </w:rPr>
              <w:br/>
              <w:t>YES</w:t>
            </w:r>
          </w:p>
        </w:tc>
      </w:tr>
    </w:tbl>
    <w:p w:rsidR="000F233D" w:rsidRPr="000F233D" w:rsidRDefault="000F233D" w:rsidP="00251DD4">
      <w:pPr>
        <w:widowControl w:val="0"/>
        <w:tabs>
          <w:tab w:val="clear" w:pos="567"/>
          <w:tab w:val="clear" w:pos="1134"/>
          <w:tab w:val="clear" w:pos="1701"/>
          <w:tab w:val="clear" w:pos="2268"/>
          <w:tab w:val="clear" w:pos="2835"/>
        </w:tabs>
        <w:snapToGrid w:val="0"/>
        <w:spacing w:before="240" w:after="120"/>
        <w:jc w:val="both"/>
        <w:rPr>
          <w:rFonts w:asciiTheme="minorHAnsi" w:hAnsiTheme="minorHAnsi" w:cs="Calibri"/>
          <w:lang w:val="en-US"/>
        </w:rPr>
      </w:pPr>
      <w:r w:rsidRPr="000F233D">
        <w:rPr>
          <w:rFonts w:asciiTheme="minorHAnsi" w:hAnsiTheme="minorHAnsi" w:cs="Calibri"/>
          <w:b/>
          <w:lang w:val="en-US"/>
        </w:rPr>
        <w:t>Comments on mutual advantages</w:t>
      </w:r>
      <w:r w:rsidRPr="000F233D">
        <w:rPr>
          <w:rFonts w:asciiTheme="minorHAnsi" w:hAnsiTheme="minorHAnsi" w:cs="Calibri"/>
          <w:lang w:val="en-US"/>
        </w:rPr>
        <w:t>:</w:t>
      </w:r>
    </w:p>
    <w:p w:rsidR="000F233D" w:rsidRPr="000F233D" w:rsidRDefault="00B5219D" w:rsidP="000F233D">
      <w:pPr>
        <w:widowControl w:val="0"/>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hAnsiTheme="minorHAnsi" w:cs="Arial"/>
          <w:szCs w:val="24"/>
          <w:lang w:val="en-US"/>
        </w:rPr>
      </w:pPr>
      <w:r>
        <w:rPr>
          <w:rFonts w:asciiTheme="minorHAnsi" w:hAnsiTheme="minorHAnsi" w:cs="Arial"/>
          <w:szCs w:val="24"/>
          <w:lang w:val="en-US"/>
        </w:rPr>
        <w:t xml:space="preserve">ECCAS </w:t>
      </w:r>
      <w:r w:rsidR="000F233D" w:rsidRPr="000F233D">
        <w:rPr>
          <w:rFonts w:asciiTheme="minorHAnsi" w:hAnsiTheme="minorHAnsi" w:cs="Arial"/>
          <w:szCs w:val="24"/>
          <w:lang w:val="en-US"/>
        </w:rPr>
        <w:t xml:space="preserve">is </w:t>
      </w:r>
      <w:r w:rsidR="000F233D" w:rsidRPr="00B5219D">
        <w:rPr>
          <w:rFonts w:asciiTheme="minorHAnsi" w:hAnsiTheme="minorHAnsi" w:cs="Arial"/>
          <w:szCs w:val="24"/>
          <w:lang w:val="en-US"/>
        </w:rPr>
        <w:t xml:space="preserve">an </w:t>
      </w:r>
      <w:r w:rsidR="00F73BA1" w:rsidRPr="008E6960">
        <w:rPr>
          <w:rFonts w:asciiTheme="minorHAnsi" w:hAnsiTheme="minorHAnsi" w:cs="Arial"/>
          <w:szCs w:val="24"/>
          <w:lang w:val="en-US"/>
        </w:rPr>
        <w:t xml:space="preserve">Economic Community </w:t>
      </w:r>
      <w:r w:rsidRPr="00B5219D">
        <w:rPr>
          <w:rFonts w:asciiTheme="minorHAnsi" w:hAnsiTheme="minorHAnsi" w:cs="Arial"/>
          <w:szCs w:val="24"/>
          <w:lang w:val="en-US"/>
        </w:rPr>
        <w:t>established</w:t>
      </w:r>
      <w:r>
        <w:rPr>
          <w:rFonts w:asciiTheme="minorHAnsi" w:hAnsiTheme="minorHAnsi" w:cs="Arial"/>
          <w:szCs w:val="24"/>
          <w:lang w:val="en-US"/>
        </w:rPr>
        <w:t xml:space="preserve"> </w:t>
      </w:r>
      <w:r w:rsidR="000F233D" w:rsidRPr="000F233D">
        <w:rPr>
          <w:rFonts w:asciiTheme="minorHAnsi" w:hAnsiTheme="minorHAnsi" w:cs="Arial"/>
          <w:szCs w:val="24"/>
          <w:lang w:val="en-US"/>
        </w:rPr>
        <w:t xml:space="preserve">for </w:t>
      </w:r>
      <w:r>
        <w:rPr>
          <w:rFonts w:asciiTheme="minorHAnsi" w:hAnsiTheme="minorHAnsi" w:cs="Arial"/>
          <w:szCs w:val="24"/>
          <w:lang w:val="en-US"/>
        </w:rPr>
        <w:t xml:space="preserve">the </w:t>
      </w:r>
      <w:r w:rsidR="000F233D" w:rsidRPr="000F233D">
        <w:rPr>
          <w:rFonts w:asciiTheme="minorHAnsi" w:hAnsiTheme="minorHAnsi" w:cs="Arial"/>
          <w:szCs w:val="24"/>
          <w:lang w:val="en-US"/>
        </w:rPr>
        <w:t>promotion of regional economic co-operation in Central Africa. It “aims to achieve collective autonomy, raise the standard of living of its populations and maintain economic stability through harmonious cooperation”.</w:t>
      </w:r>
    </w:p>
    <w:p w:rsidR="000F233D" w:rsidRPr="000F233D" w:rsidRDefault="000F233D" w:rsidP="000F233D">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hAnsiTheme="minorHAnsi" w:cs="Arial"/>
          <w:szCs w:val="24"/>
          <w:lang w:val="en-US"/>
        </w:rPr>
      </w:pPr>
      <w:r w:rsidRPr="000F233D">
        <w:rPr>
          <w:rFonts w:asciiTheme="minorHAnsi" w:hAnsiTheme="minorHAnsi" w:cs="Arial"/>
          <w:szCs w:val="24"/>
          <w:lang w:val="en-US"/>
        </w:rPr>
        <w:t xml:space="preserve">The missions of </w:t>
      </w:r>
      <w:r w:rsidR="00B5219D">
        <w:rPr>
          <w:rFonts w:asciiTheme="minorHAnsi" w:hAnsiTheme="minorHAnsi" w:cs="Arial"/>
          <w:szCs w:val="24"/>
          <w:lang w:val="en-US"/>
        </w:rPr>
        <w:t xml:space="preserve">ECCAS </w:t>
      </w:r>
      <w:r w:rsidRPr="000F233D">
        <w:rPr>
          <w:rFonts w:asciiTheme="minorHAnsi" w:hAnsiTheme="minorHAnsi" w:cs="Arial"/>
          <w:szCs w:val="24"/>
          <w:lang w:val="en-US"/>
        </w:rPr>
        <w:t>in the area of telecommunications/ICTs are set forth in Articles 45, 46, 47, 48, 49, and 50 of the Treaty Establishing the Economic Community of Central African States.</w:t>
      </w:r>
    </w:p>
    <w:p w:rsidR="000F233D" w:rsidRPr="000F233D" w:rsidRDefault="000F233D" w:rsidP="000F233D">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hAnsiTheme="minorHAnsi" w:cs="Arial"/>
          <w:szCs w:val="24"/>
          <w:lang w:val="en-US"/>
        </w:rPr>
      </w:pPr>
      <w:r w:rsidRPr="000F233D">
        <w:rPr>
          <w:rFonts w:asciiTheme="minorHAnsi" w:hAnsiTheme="minorHAnsi" w:cs="Arial"/>
          <w:szCs w:val="24"/>
          <w:lang w:val="en-US"/>
        </w:rPr>
        <w:t xml:space="preserve">ITU is a strategic partner of </w:t>
      </w:r>
      <w:r w:rsidR="00B5219D">
        <w:rPr>
          <w:rFonts w:asciiTheme="minorHAnsi" w:hAnsiTheme="minorHAnsi" w:cs="Arial"/>
          <w:szCs w:val="24"/>
          <w:lang w:val="en-US"/>
        </w:rPr>
        <w:t xml:space="preserve">ECCAS </w:t>
      </w:r>
      <w:r w:rsidRPr="000F233D">
        <w:rPr>
          <w:rFonts w:asciiTheme="minorHAnsi" w:hAnsiTheme="minorHAnsi" w:cs="Arial"/>
          <w:szCs w:val="24"/>
          <w:lang w:val="en-US"/>
        </w:rPr>
        <w:t xml:space="preserve">in the development and implementation of activities in the sector of telecommunications/ICTs in Central Africa. ITU provides support to </w:t>
      </w:r>
      <w:r w:rsidR="00B5219D">
        <w:rPr>
          <w:rFonts w:asciiTheme="minorHAnsi" w:hAnsiTheme="minorHAnsi" w:cs="Arial"/>
          <w:szCs w:val="24"/>
          <w:lang w:val="en-US"/>
        </w:rPr>
        <w:t xml:space="preserve">ECCAS </w:t>
      </w:r>
      <w:r w:rsidRPr="000F233D">
        <w:rPr>
          <w:rFonts w:asciiTheme="minorHAnsi" w:hAnsiTheme="minorHAnsi" w:cs="Arial"/>
          <w:szCs w:val="24"/>
          <w:lang w:val="en-US"/>
        </w:rPr>
        <w:t>in activities among which are harmonization of national regulations that led to the elaboration of the draft model laws on telecommunications/ICTs and cybersecurity being adopted by the bodies of the Community, the techno-commercial study on roaming in Central Africa, and the consideration of safe management frequencies at the borders.</w:t>
      </w:r>
    </w:p>
    <w:p w:rsidR="000F233D" w:rsidRPr="000F233D" w:rsidRDefault="00F73BA1" w:rsidP="000F233D">
      <w:pPr>
        <w:tabs>
          <w:tab w:val="clear" w:pos="567"/>
          <w:tab w:val="clear" w:pos="1134"/>
          <w:tab w:val="clear" w:pos="1701"/>
          <w:tab w:val="clear" w:pos="2268"/>
          <w:tab w:val="clear" w:pos="2835"/>
        </w:tabs>
        <w:snapToGrid w:val="0"/>
        <w:spacing w:after="120"/>
        <w:jc w:val="both"/>
        <w:rPr>
          <w:rFonts w:asciiTheme="minorHAnsi" w:hAnsiTheme="minorHAnsi" w:cs="Calibri"/>
          <w:szCs w:val="24"/>
          <w:lang w:val="en-US"/>
        </w:rPr>
      </w:pPr>
      <w:r w:rsidRPr="008E6960">
        <w:rPr>
          <w:rFonts w:asciiTheme="minorHAnsi" w:hAnsiTheme="minorHAnsi" w:cs="Calibri"/>
          <w:szCs w:val="24"/>
          <w:lang w:val="en-US"/>
        </w:rPr>
        <w:t>ECCA</w:t>
      </w:r>
      <w:r w:rsidR="00B5219D" w:rsidRPr="00B5219D">
        <w:rPr>
          <w:rFonts w:asciiTheme="minorHAnsi" w:hAnsiTheme="minorHAnsi" w:cs="Calibri"/>
          <w:szCs w:val="24"/>
          <w:lang w:val="en-US"/>
        </w:rPr>
        <w:t>S</w:t>
      </w:r>
      <w:r w:rsidR="000F233D" w:rsidRPr="000F233D">
        <w:rPr>
          <w:rFonts w:asciiTheme="minorHAnsi" w:hAnsiTheme="minorHAnsi" w:cs="Calibri"/>
          <w:szCs w:val="24"/>
          <w:lang w:val="en-US"/>
        </w:rPr>
        <w:t xml:space="preserve"> is an ITU partner in development activities in the Central Africa Region. For example, the </w:t>
      </w:r>
      <w:r w:rsidRPr="008E6960">
        <w:rPr>
          <w:rFonts w:asciiTheme="minorHAnsi" w:hAnsiTheme="minorHAnsi" w:cs="Calibri"/>
          <w:szCs w:val="24"/>
          <w:lang w:val="en-US"/>
        </w:rPr>
        <w:t>ECCA</w:t>
      </w:r>
      <w:r w:rsidR="00B5219D" w:rsidRPr="00B5219D">
        <w:rPr>
          <w:rFonts w:asciiTheme="minorHAnsi" w:hAnsiTheme="minorHAnsi" w:cs="Calibri"/>
          <w:szCs w:val="24"/>
          <w:lang w:val="en-US"/>
        </w:rPr>
        <w:t>S</w:t>
      </w:r>
      <w:r w:rsidR="000F233D" w:rsidRPr="000F233D">
        <w:rPr>
          <w:rFonts w:asciiTheme="minorHAnsi" w:hAnsiTheme="minorHAnsi" w:cs="Calibri"/>
          <w:szCs w:val="24"/>
          <w:lang w:val="en-US"/>
        </w:rPr>
        <w:t xml:space="preserve"> Secretariat was the focal point for Central Africa countries during the implementation of HIPSSA project.</w:t>
      </w:r>
    </w:p>
    <w:p w:rsidR="000F233D" w:rsidRPr="000F233D" w:rsidRDefault="000F233D" w:rsidP="000F233D">
      <w:pPr>
        <w:tabs>
          <w:tab w:val="clear" w:pos="567"/>
          <w:tab w:val="clear" w:pos="1134"/>
          <w:tab w:val="clear" w:pos="1701"/>
          <w:tab w:val="clear" w:pos="2268"/>
          <w:tab w:val="clear" w:pos="2835"/>
        </w:tabs>
        <w:snapToGrid w:val="0"/>
        <w:spacing w:after="120"/>
        <w:jc w:val="both"/>
        <w:rPr>
          <w:rFonts w:asciiTheme="minorHAnsi" w:hAnsiTheme="minorHAnsi" w:cs="Calibri"/>
          <w:szCs w:val="22"/>
        </w:rPr>
      </w:pPr>
      <w:r w:rsidRPr="000F233D">
        <w:rPr>
          <w:rFonts w:asciiTheme="minorHAnsi" w:hAnsiTheme="minorHAnsi" w:cs="Calibri"/>
          <w:szCs w:val="24"/>
          <w:lang w:val="en-US"/>
        </w:rPr>
        <w:t xml:space="preserve">ITU is always invited to participate in </w:t>
      </w:r>
      <w:r w:rsidR="00F73BA1" w:rsidRPr="008E6960">
        <w:rPr>
          <w:rFonts w:asciiTheme="minorHAnsi" w:hAnsiTheme="minorHAnsi" w:cs="Calibri"/>
          <w:szCs w:val="24"/>
          <w:lang w:val="en-US"/>
        </w:rPr>
        <w:t>ECCA</w:t>
      </w:r>
      <w:r w:rsidR="00B5219D" w:rsidRPr="00B5219D">
        <w:rPr>
          <w:rFonts w:asciiTheme="minorHAnsi" w:hAnsiTheme="minorHAnsi" w:cs="Calibri"/>
          <w:szCs w:val="24"/>
          <w:lang w:val="en-US"/>
        </w:rPr>
        <w:t>S</w:t>
      </w:r>
      <w:r w:rsidRPr="000F233D">
        <w:rPr>
          <w:rFonts w:asciiTheme="minorHAnsi" w:hAnsiTheme="minorHAnsi" w:cs="Calibri"/>
          <w:szCs w:val="24"/>
          <w:lang w:val="en-US"/>
        </w:rPr>
        <w:t xml:space="preserve"> Meeting at all levels, i.e. Head of States, Ministerial or/and Technical.</w:t>
      </w:r>
      <w:r w:rsidRPr="000F233D">
        <w:rPr>
          <w:rFonts w:asciiTheme="minorHAnsi" w:hAnsiTheme="minorHAnsi" w:cs="Arial"/>
          <w:i/>
          <w:iCs/>
          <w:szCs w:val="22"/>
        </w:rPr>
        <w:t xml:space="preserve"> </w:t>
      </w:r>
      <w:r w:rsidRPr="000F233D">
        <w:rPr>
          <w:rFonts w:asciiTheme="minorHAnsi" w:hAnsiTheme="minorHAnsi" w:cs="Calibri"/>
          <w:szCs w:val="22"/>
        </w:rPr>
        <w:t>ITU has free access to all documentation related to the ICT/Telecommunications.</w:t>
      </w:r>
    </w:p>
    <w:p w:rsidR="000F233D" w:rsidRPr="000F233D" w:rsidRDefault="000F233D" w:rsidP="000F233D">
      <w:pPr>
        <w:tabs>
          <w:tab w:val="clear" w:pos="567"/>
          <w:tab w:val="clear" w:pos="1134"/>
          <w:tab w:val="clear" w:pos="1701"/>
          <w:tab w:val="clear" w:pos="2268"/>
          <w:tab w:val="clear" w:pos="2835"/>
        </w:tabs>
        <w:snapToGrid w:val="0"/>
        <w:spacing w:after="120"/>
        <w:jc w:val="both"/>
        <w:rPr>
          <w:rFonts w:asciiTheme="minorHAnsi" w:hAnsiTheme="minorHAnsi" w:cs="Calibri"/>
          <w:szCs w:val="24"/>
          <w:lang w:val="en-US"/>
        </w:rPr>
      </w:pPr>
      <w:r w:rsidRPr="000F233D">
        <w:rPr>
          <w:rFonts w:asciiTheme="minorHAnsi" w:hAnsiTheme="minorHAnsi" w:cs="Calibri"/>
          <w:szCs w:val="22"/>
        </w:rPr>
        <w:t>As the focus of collaboration has been on matters related to ITU-D. Activities have not fallen within the scope of ITU-R or ITU-T.</w:t>
      </w:r>
      <w:r w:rsidRPr="000F233D">
        <w:rPr>
          <w:rFonts w:asciiTheme="minorHAnsi" w:hAnsiTheme="minorHAnsi" w:cs="Calibri"/>
          <w:szCs w:val="24"/>
          <w:lang w:val="en-US"/>
        </w:rPr>
        <w:t xml:space="preserve"> </w:t>
      </w:r>
    </w:p>
    <w:p w:rsidR="000F233D" w:rsidRPr="000F233D" w:rsidRDefault="000F233D" w:rsidP="00251DD4">
      <w:pPr>
        <w:tabs>
          <w:tab w:val="clear" w:pos="567"/>
          <w:tab w:val="clear" w:pos="1134"/>
          <w:tab w:val="clear" w:pos="1701"/>
          <w:tab w:val="clear" w:pos="2268"/>
          <w:tab w:val="clear" w:pos="2835"/>
        </w:tabs>
        <w:snapToGrid w:val="0"/>
        <w:spacing w:before="240" w:after="120"/>
        <w:rPr>
          <w:rFonts w:asciiTheme="minorHAnsi" w:hAnsiTheme="minorHAnsi" w:cstheme="minorHAnsi"/>
          <w:szCs w:val="24"/>
          <w:lang w:val="en-US"/>
        </w:rPr>
      </w:pPr>
      <w:r w:rsidRPr="000F233D">
        <w:rPr>
          <w:rFonts w:asciiTheme="minorHAnsi" w:hAnsiTheme="minorHAnsi" w:cstheme="minorHAnsi"/>
          <w:szCs w:val="24"/>
          <w:lang w:val="en-US"/>
        </w:rPr>
        <w:t>5.</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472"/>
        <w:gridCol w:w="1559"/>
        <w:gridCol w:w="2213"/>
        <w:gridCol w:w="2250"/>
      </w:tblGrid>
      <w:tr w:rsidR="000F233D" w:rsidRPr="000F233D">
        <w:trPr>
          <w:cantSplit/>
          <w:jc w:val="center"/>
        </w:trPr>
        <w:tc>
          <w:tcPr>
            <w:tcW w:w="3472" w:type="dxa"/>
          </w:tcPr>
          <w:p w:rsidR="000F233D" w:rsidRPr="000F233D" w:rsidRDefault="000F233D" w:rsidP="00251DD4">
            <w:pPr>
              <w:pStyle w:val="TableHead0"/>
              <w:keepLines/>
              <w:spacing w:before="60" w:after="60"/>
              <w:rPr>
                <w:rFonts w:asciiTheme="minorHAnsi" w:hAnsiTheme="minorHAnsi" w:cstheme="minorHAnsi"/>
                <w:szCs w:val="24"/>
                <w:lang w:val="en-US"/>
              </w:rPr>
            </w:pPr>
            <w:r w:rsidRPr="000F233D">
              <w:rPr>
                <w:rFonts w:asciiTheme="minorHAnsi" w:hAnsiTheme="minorHAnsi" w:cstheme="minorHAnsi"/>
                <w:szCs w:val="24"/>
                <w:lang w:val="en-US"/>
              </w:rPr>
              <w:t>Organization</w:t>
            </w:r>
          </w:p>
        </w:tc>
        <w:tc>
          <w:tcPr>
            <w:tcW w:w="1559" w:type="dxa"/>
          </w:tcPr>
          <w:p w:rsidR="000F233D" w:rsidRPr="000F233D" w:rsidRDefault="000F233D" w:rsidP="00251DD4">
            <w:pPr>
              <w:pStyle w:val="TableHead0"/>
              <w:keepLines/>
              <w:spacing w:before="60" w:after="60"/>
              <w:rPr>
                <w:rFonts w:asciiTheme="minorHAnsi" w:hAnsiTheme="minorHAnsi" w:cstheme="minorHAnsi"/>
                <w:szCs w:val="24"/>
                <w:lang w:val="en-US"/>
              </w:rPr>
            </w:pPr>
            <w:r w:rsidRPr="000F233D">
              <w:rPr>
                <w:rFonts w:asciiTheme="minorHAnsi" w:hAnsiTheme="minorHAnsi" w:cstheme="minorHAnsi"/>
                <w:szCs w:val="24"/>
                <w:lang w:val="en-US"/>
              </w:rPr>
              <w:t>Sector</w:t>
            </w:r>
          </w:p>
        </w:tc>
        <w:tc>
          <w:tcPr>
            <w:tcW w:w="2213" w:type="dxa"/>
          </w:tcPr>
          <w:p w:rsidR="000F233D" w:rsidRPr="000F233D" w:rsidRDefault="000F233D" w:rsidP="00251DD4">
            <w:pPr>
              <w:pStyle w:val="TableHead0"/>
              <w:keepLines/>
              <w:spacing w:before="60" w:after="60"/>
              <w:rPr>
                <w:rFonts w:asciiTheme="minorHAnsi" w:hAnsiTheme="minorHAnsi" w:cstheme="minorHAnsi"/>
                <w:szCs w:val="24"/>
                <w:lang w:val="en-US"/>
              </w:rPr>
            </w:pPr>
            <w:r w:rsidRPr="000F233D">
              <w:rPr>
                <w:rFonts w:asciiTheme="minorHAnsi" w:hAnsiTheme="minorHAnsi" w:cstheme="minorHAnsi"/>
                <w:szCs w:val="24"/>
                <w:lang w:val="en-US"/>
              </w:rPr>
              <w:t>Complies with criteria</w:t>
            </w:r>
          </w:p>
        </w:tc>
        <w:tc>
          <w:tcPr>
            <w:tcW w:w="2250" w:type="dxa"/>
          </w:tcPr>
          <w:p w:rsidR="000F233D" w:rsidRPr="000F233D" w:rsidRDefault="000F233D" w:rsidP="00251DD4">
            <w:pPr>
              <w:pStyle w:val="TableHead0"/>
              <w:keepLines/>
              <w:spacing w:before="60" w:after="60"/>
              <w:rPr>
                <w:rFonts w:asciiTheme="minorHAnsi" w:hAnsiTheme="minorHAnsi" w:cstheme="minorHAnsi"/>
                <w:szCs w:val="24"/>
                <w:lang w:val="en-US"/>
              </w:rPr>
            </w:pPr>
            <w:r w:rsidRPr="000F233D">
              <w:rPr>
                <w:rFonts w:asciiTheme="minorHAnsi" w:hAnsiTheme="minorHAnsi" w:cstheme="minorHAnsi"/>
                <w:szCs w:val="24"/>
                <w:lang w:val="en-US"/>
              </w:rPr>
              <w:t>SG</w:t>
            </w:r>
            <w:r w:rsidRPr="000F233D">
              <w:rPr>
                <w:rFonts w:asciiTheme="minorHAnsi" w:hAnsiTheme="minorHAnsi" w:cstheme="minorHAnsi"/>
                <w:szCs w:val="24"/>
                <w:lang w:val="en-US"/>
              </w:rPr>
              <w:br/>
              <w:t>Recommendation</w:t>
            </w:r>
          </w:p>
        </w:tc>
      </w:tr>
      <w:tr w:rsidR="000F233D" w:rsidRPr="000F233D">
        <w:trPr>
          <w:cantSplit/>
          <w:jc w:val="center"/>
        </w:trPr>
        <w:tc>
          <w:tcPr>
            <w:tcW w:w="3472" w:type="dxa"/>
            <w:vAlign w:val="center"/>
          </w:tcPr>
          <w:p w:rsidR="000F233D" w:rsidRPr="000F233D" w:rsidRDefault="000F233D" w:rsidP="00251DD4">
            <w:pPr>
              <w:pStyle w:val="TableText1"/>
              <w:keepNext/>
              <w:keepLines/>
              <w:spacing w:before="120" w:after="60"/>
              <w:rPr>
                <w:rFonts w:asciiTheme="minorHAnsi" w:hAnsiTheme="minorHAnsi" w:cstheme="minorHAnsi"/>
                <w:b/>
                <w:iCs/>
                <w:szCs w:val="24"/>
                <w:lang w:val="en-US"/>
              </w:rPr>
            </w:pPr>
            <w:r w:rsidRPr="000F233D">
              <w:rPr>
                <w:rFonts w:asciiTheme="minorHAnsi" w:hAnsiTheme="minorHAnsi" w:cstheme="minorHAnsi"/>
                <w:b/>
                <w:iCs/>
                <w:szCs w:val="24"/>
                <w:lang w:val="en-US"/>
              </w:rPr>
              <w:t xml:space="preserve">IMPACT - International Multilateral Partnership Against Cyber Threats </w:t>
            </w:r>
          </w:p>
        </w:tc>
        <w:tc>
          <w:tcPr>
            <w:tcW w:w="1559" w:type="dxa"/>
            <w:vAlign w:val="center"/>
          </w:tcPr>
          <w:p w:rsidR="000F233D" w:rsidRPr="000F233D" w:rsidRDefault="000F233D" w:rsidP="00251DD4">
            <w:pPr>
              <w:pStyle w:val="TableText1"/>
              <w:keepNext/>
              <w:keepLines/>
              <w:spacing w:before="0" w:after="60"/>
              <w:jc w:val="center"/>
              <w:rPr>
                <w:rFonts w:asciiTheme="minorHAnsi" w:hAnsiTheme="minorHAnsi" w:cstheme="minorHAnsi"/>
                <w:szCs w:val="24"/>
                <w:lang w:val="fr-CH"/>
              </w:rPr>
            </w:pPr>
            <w:r w:rsidRPr="000F233D">
              <w:rPr>
                <w:rFonts w:asciiTheme="minorHAnsi" w:hAnsiTheme="minorHAnsi" w:cstheme="minorHAnsi"/>
                <w:szCs w:val="24"/>
                <w:lang w:val="fr-CH"/>
              </w:rPr>
              <w:t>ITU-T</w:t>
            </w:r>
          </w:p>
        </w:tc>
        <w:tc>
          <w:tcPr>
            <w:tcW w:w="2213" w:type="dxa"/>
            <w:vAlign w:val="center"/>
          </w:tcPr>
          <w:p w:rsidR="000F233D" w:rsidRPr="000F233D" w:rsidRDefault="000F233D" w:rsidP="00251DD4">
            <w:pPr>
              <w:pStyle w:val="TableText1"/>
              <w:keepNext/>
              <w:keepLines/>
              <w:spacing w:before="0" w:after="60"/>
              <w:jc w:val="center"/>
              <w:rPr>
                <w:rFonts w:asciiTheme="minorHAnsi" w:hAnsiTheme="minorHAnsi" w:cstheme="minorHAnsi"/>
                <w:szCs w:val="24"/>
                <w:lang w:val="fr-CH"/>
              </w:rPr>
            </w:pPr>
            <w:r w:rsidRPr="000F233D">
              <w:rPr>
                <w:rFonts w:asciiTheme="minorHAnsi" w:hAnsiTheme="minorHAnsi" w:cstheme="minorHAnsi"/>
                <w:szCs w:val="24"/>
                <w:lang w:val="fr-CH"/>
              </w:rPr>
              <w:t>YES</w:t>
            </w:r>
          </w:p>
        </w:tc>
        <w:tc>
          <w:tcPr>
            <w:tcW w:w="2250" w:type="dxa"/>
            <w:vAlign w:val="center"/>
          </w:tcPr>
          <w:p w:rsidR="000F233D" w:rsidRPr="000F233D" w:rsidRDefault="000F233D" w:rsidP="00251DD4">
            <w:pPr>
              <w:pStyle w:val="TableText1"/>
              <w:keepNext/>
              <w:keepLines/>
              <w:spacing w:before="0" w:after="60"/>
              <w:jc w:val="center"/>
              <w:rPr>
                <w:rFonts w:asciiTheme="minorHAnsi" w:hAnsiTheme="minorHAnsi" w:cstheme="minorHAnsi"/>
                <w:szCs w:val="24"/>
                <w:lang w:val="fr-CH"/>
              </w:rPr>
            </w:pPr>
            <w:r w:rsidRPr="000F233D">
              <w:rPr>
                <w:rFonts w:asciiTheme="minorHAnsi" w:hAnsiTheme="minorHAnsi" w:cstheme="minorHAnsi"/>
                <w:szCs w:val="24"/>
                <w:lang w:val="fr-CH"/>
              </w:rPr>
              <w:t>YES</w:t>
            </w:r>
          </w:p>
        </w:tc>
      </w:tr>
    </w:tbl>
    <w:p w:rsidR="000F233D" w:rsidRPr="000F233D" w:rsidRDefault="000F233D" w:rsidP="00251DD4">
      <w:pPr>
        <w:tabs>
          <w:tab w:val="clear" w:pos="567"/>
          <w:tab w:val="clear" w:pos="1134"/>
          <w:tab w:val="clear" w:pos="1701"/>
          <w:tab w:val="clear" w:pos="2268"/>
          <w:tab w:val="clear" w:pos="2835"/>
        </w:tabs>
        <w:snapToGrid w:val="0"/>
        <w:spacing w:before="240" w:after="120"/>
        <w:rPr>
          <w:rFonts w:asciiTheme="minorHAnsi" w:hAnsiTheme="minorHAnsi" w:cstheme="minorHAnsi"/>
          <w:szCs w:val="24"/>
          <w:lang w:val="en-US"/>
        </w:rPr>
      </w:pPr>
      <w:r w:rsidRPr="000F233D">
        <w:rPr>
          <w:rFonts w:asciiTheme="minorHAnsi" w:hAnsiTheme="minorHAnsi" w:cstheme="minorHAnsi"/>
          <w:b/>
          <w:szCs w:val="24"/>
          <w:lang w:val="en-US"/>
        </w:rPr>
        <w:t>Comments on mutual advantages</w:t>
      </w:r>
      <w:r w:rsidRPr="000F233D">
        <w:rPr>
          <w:rFonts w:asciiTheme="minorHAnsi" w:hAnsiTheme="minorHAnsi" w:cstheme="minorHAnsi"/>
          <w:szCs w:val="24"/>
          <w:lang w:val="en-US"/>
        </w:rPr>
        <w:t>:</w:t>
      </w:r>
    </w:p>
    <w:p w:rsidR="000F233D" w:rsidRPr="000F233D" w:rsidRDefault="000F233D" w:rsidP="000F233D">
      <w:pPr>
        <w:tabs>
          <w:tab w:val="clear" w:pos="567"/>
          <w:tab w:val="clear" w:pos="1134"/>
          <w:tab w:val="clear" w:pos="1701"/>
          <w:tab w:val="clear" w:pos="2268"/>
          <w:tab w:val="clear" w:pos="2835"/>
        </w:tabs>
        <w:snapToGrid w:val="0"/>
        <w:spacing w:after="120"/>
        <w:rPr>
          <w:rFonts w:asciiTheme="minorHAnsi" w:hAnsiTheme="minorHAnsi" w:cstheme="minorHAnsi"/>
          <w:color w:val="000000" w:themeColor="text1"/>
          <w:szCs w:val="22"/>
        </w:rPr>
      </w:pPr>
      <w:r w:rsidRPr="000F233D">
        <w:rPr>
          <w:rFonts w:asciiTheme="minorHAnsi" w:hAnsiTheme="minorHAnsi" w:cstheme="minorHAnsi"/>
          <w:color w:val="000000" w:themeColor="text1"/>
          <w:szCs w:val="22"/>
        </w:rPr>
        <w:t>IMPACT is a United Nations-affiliated cybersecurity alliance. Since 2011, IMPACT has played a key role in supporting the ITU’s mandate on cybersecurity and has undertaken various activities in the domain of ICT standardization.</w:t>
      </w:r>
    </w:p>
    <w:p w:rsidR="000F233D" w:rsidRPr="000F233D" w:rsidRDefault="000F233D" w:rsidP="000F233D">
      <w:pPr>
        <w:tabs>
          <w:tab w:val="clear" w:pos="567"/>
          <w:tab w:val="clear" w:pos="1134"/>
          <w:tab w:val="clear" w:pos="1701"/>
          <w:tab w:val="clear" w:pos="2268"/>
          <w:tab w:val="clear" w:pos="2835"/>
        </w:tabs>
        <w:snapToGrid w:val="0"/>
        <w:spacing w:after="120"/>
        <w:rPr>
          <w:rFonts w:asciiTheme="minorHAnsi" w:hAnsiTheme="minorHAnsi" w:cstheme="minorHAnsi"/>
          <w:bCs/>
          <w:color w:val="000000" w:themeColor="text1"/>
          <w:szCs w:val="22"/>
        </w:rPr>
      </w:pPr>
      <w:r w:rsidRPr="000F233D">
        <w:rPr>
          <w:rFonts w:asciiTheme="minorHAnsi" w:hAnsiTheme="minorHAnsi" w:cstheme="minorHAnsi"/>
          <w:bCs/>
          <w:color w:val="000000" w:themeColor="text1"/>
          <w:szCs w:val="22"/>
        </w:rPr>
        <w:t>A total of 149 countries of ITU’s 193 members are part of one of the largest cybersecurity alliance under the framework of ITU.</w:t>
      </w:r>
    </w:p>
    <w:p w:rsidR="000F233D" w:rsidRPr="000F233D" w:rsidRDefault="000F233D" w:rsidP="000F233D">
      <w:pPr>
        <w:tabs>
          <w:tab w:val="clear" w:pos="567"/>
          <w:tab w:val="clear" w:pos="1134"/>
          <w:tab w:val="clear" w:pos="1701"/>
          <w:tab w:val="clear" w:pos="2268"/>
          <w:tab w:val="clear" w:pos="2835"/>
        </w:tabs>
        <w:snapToGrid w:val="0"/>
        <w:spacing w:after="120"/>
        <w:rPr>
          <w:rFonts w:asciiTheme="minorHAnsi" w:hAnsiTheme="minorHAnsi" w:cstheme="minorHAnsi"/>
          <w:color w:val="000000" w:themeColor="text1"/>
          <w:szCs w:val="22"/>
        </w:rPr>
      </w:pPr>
      <w:r w:rsidRPr="000F233D">
        <w:rPr>
          <w:rFonts w:asciiTheme="minorHAnsi" w:hAnsiTheme="minorHAnsi" w:cstheme="minorHAnsi"/>
          <w:color w:val="000000" w:themeColor="text1"/>
          <w:szCs w:val="22"/>
        </w:rPr>
        <w:lastRenderedPageBreak/>
        <w:t>IMPACT has been involved in various activities and projects concerned with enhancing the cybersecurity of ITU’s Member States since 2009.</w:t>
      </w:r>
    </w:p>
    <w:p w:rsidR="000F233D" w:rsidRPr="000F233D" w:rsidRDefault="000F233D" w:rsidP="000F233D">
      <w:pPr>
        <w:tabs>
          <w:tab w:val="clear" w:pos="567"/>
          <w:tab w:val="clear" w:pos="1134"/>
          <w:tab w:val="clear" w:pos="1701"/>
          <w:tab w:val="clear" w:pos="2268"/>
          <w:tab w:val="clear" w:pos="2835"/>
        </w:tabs>
        <w:snapToGrid w:val="0"/>
        <w:spacing w:after="120"/>
        <w:rPr>
          <w:rFonts w:asciiTheme="minorHAnsi" w:hAnsiTheme="minorHAnsi" w:cstheme="minorHAnsi"/>
          <w:color w:val="000000" w:themeColor="text1"/>
          <w:szCs w:val="22"/>
        </w:rPr>
      </w:pPr>
      <w:r w:rsidRPr="000F233D">
        <w:rPr>
          <w:rFonts w:asciiTheme="minorHAnsi" w:hAnsiTheme="minorHAnsi" w:cstheme="minorHAnsi"/>
          <w:color w:val="000000" w:themeColor="text1"/>
          <w:szCs w:val="22"/>
        </w:rPr>
        <w:t>All of their collaborative workshops, trainings and seminars with key partners will be available to ITU and its Member States at no cost.</w:t>
      </w:r>
    </w:p>
    <w:p w:rsidR="000F233D" w:rsidRPr="000F233D" w:rsidRDefault="000F233D" w:rsidP="000F233D">
      <w:pPr>
        <w:tabs>
          <w:tab w:val="clear" w:pos="567"/>
          <w:tab w:val="clear" w:pos="1134"/>
          <w:tab w:val="clear" w:pos="1701"/>
          <w:tab w:val="clear" w:pos="2268"/>
          <w:tab w:val="clear" w:pos="2835"/>
        </w:tabs>
        <w:snapToGrid w:val="0"/>
        <w:spacing w:after="120"/>
        <w:rPr>
          <w:rFonts w:asciiTheme="minorHAnsi" w:hAnsiTheme="minorHAnsi" w:cstheme="minorHAnsi"/>
          <w:color w:val="000000" w:themeColor="text1"/>
          <w:szCs w:val="22"/>
        </w:rPr>
      </w:pPr>
      <w:r w:rsidRPr="000F233D">
        <w:rPr>
          <w:rFonts w:asciiTheme="minorHAnsi" w:hAnsiTheme="minorHAnsi" w:cstheme="minorHAnsi"/>
          <w:color w:val="000000" w:themeColor="text1"/>
          <w:szCs w:val="22"/>
        </w:rPr>
        <w:t>IMPACT has put together a repository of resources related to collaborative activities with its partners. These resources include white papers, tools, Child Online Protection material, etc. All of these resources will be made available to ITU and its Member States at no cost.</w:t>
      </w:r>
    </w:p>
    <w:p w:rsidR="000F233D" w:rsidRPr="000F233D" w:rsidRDefault="000F233D" w:rsidP="00251DD4">
      <w:pPr>
        <w:tabs>
          <w:tab w:val="clear" w:pos="567"/>
          <w:tab w:val="clear" w:pos="1134"/>
          <w:tab w:val="clear" w:pos="1701"/>
          <w:tab w:val="clear" w:pos="2268"/>
          <w:tab w:val="clear" w:pos="2835"/>
        </w:tabs>
        <w:snapToGrid w:val="0"/>
        <w:spacing w:before="240" w:after="120"/>
        <w:rPr>
          <w:rFonts w:asciiTheme="minorHAnsi" w:hAnsiTheme="minorHAnsi" w:cs="Calibri"/>
          <w:szCs w:val="24"/>
          <w:lang w:val="en-US"/>
        </w:rPr>
      </w:pPr>
      <w:r w:rsidRPr="000F233D">
        <w:rPr>
          <w:rFonts w:asciiTheme="minorHAnsi" w:hAnsiTheme="minorHAnsi" w:cs="Calibri"/>
          <w:szCs w:val="24"/>
          <w:lang w:val="en-US"/>
        </w:rPr>
        <w:t>6.</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472"/>
        <w:gridCol w:w="1559"/>
        <w:gridCol w:w="2213"/>
        <w:gridCol w:w="2250"/>
      </w:tblGrid>
      <w:tr w:rsidR="000F233D" w:rsidRPr="000F233D">
        <w:trPr>
          <w:cantSplit/>
          <w:jc w:val="center"/>
        </w:trPr>
        <w:tc>
          <w:tcPr>
            <w:tcW w:w="3472" w:type="dxa"/>
          </w:tcPr>
          <w:p w:rsidR="000F233D" w:rsidRPr="000F233D" w:rsidRDefault="000F233D" w:rsidP="00251DD4">
            <w:pPr>
              <w:pStyle w:val="TableHead0"/>
              <w:keepNext w:val="0"/>
              <w:spacing w:before="60" w:after="60"/>
              <w:rPr>
                <w:rFonts w:asciiTheme="minorHAnsi" w:hAnsiTheme="minorHAnsi" w:cs="Calibri"/>
                <w:szCs w:val="24"/>
                <w:lang w:val="en-US"/>
              </w:rPr>
            </w:pPr>
            <w:r w:rsidRPr="000F233D">
              <w:rPr>
                <w:rFonts w:asciiTheme="minorHAnsi" w:hAnsiTheme="minorHAnsi" w:cs="Calibri"/>
                <w:szCs w:val="24"/>
                <w:lang w:val="en-US"/>
              </w:rPr>
              <w:t>Organization</w:t>
            </w:r>
          </w:p>
        </w:tc>
        <w:tc>
          <w:tcPr>
            <w:tcW w:w="1559" w:type="dxa"/>
          </w:tcPr>
          <w:p w:rsidR="000F233D" w:rsidRPr="000F233D" w:rsidRDefault="000F233D" w:rsidP="00251DD4">
            <w:pPr>
              <w:pStyle w:val="TableHead0"/>
              <w:keepNext w:val="0"/>
              <w:spacing w:before="60" w:after="60"/>
              <w:rPr>
                <w:rFonts w:asciiTheme="minorHAnsi" w:hAnsiTheme="minorHAnsi" w:cs="Calibri"/>
                <w:szCs w:val="24"/>
                <w:lang w:val="en-US"/>
              </w:rPr>
            </w:pPr>
            <w:r w:rsidRPr="000F233D">
              <w:rPr>
                <w:rFonts w:asciiTheme="minorHAnsi" w:hAnsiTheme="minorHAnsi" w:cs="Calibri"/>
                <w:szCs w:val="24"/>
                <w:lang w:val="en-US"/>
              </w:rPr>
              <w:t>Sector</w:t>
            </w:r>
          </w:p>
        </w:tc>
        <w:tc>
          <w:tcPr>
            <w:tcW w:w="2213" w:type="dxa"/>
          </w:tcPr>
          <w:p w:rsidR="000F233D" w:rsidRPr="000F233D" w:rsidRDefault="000F233D" w:rsidP="00251DD4">
            <w:pPr>
              <w:pStyle w:val="TableHead0"/>
              <w:keepNext w:val="0"/>
              <w:spacing w:before="60" w:after="60"/>
              <w:rPr>
                <w:rFonts w:asciiTheme="minorHAnsi" w:hAnsiTheme="minorHAnsi" w:cs="Calibri"/>
                <w:szCs w:val="24"/>
                <w:lang w:val="en-US"/>
              </w:rPr>
            </w:pPr>
            <w:r w:rsidRPr="000F233D">
              <w:rPr>
                <w:rFonts w:asciiTheme="minorHAnsi" w:hAnsiTheme="minorHAnsi" w:cs="Calibri"/>
                <w:szCs w:val="24"/>
                <w:lang w:val="en-US"/>
              </w:rPr>
              <w:t>Complies with criteria</w:t>
            </w:r>
          </w:p>
        </w:tc>
        <w:tc>
          <w:tcPr>
            <w:tcW w:w="2250" w:type="dxa"/>
          </w:tcPr>
          <w:p w:rsidR="000F233D" w:rsidRPr="000F233D" w:rsidRDefault="000F233D" w:rsidP="00251DD4">
            <w:pPr>
              <w:pStyle w:val="TableHead0"/>
              <w:keepNext w:val="0"/>
              <w:spacing w:before="60" w:after="60"/>
              <w:rPr>
                <w:rFonts w:asciiTheme="minorHAnsi" w:hAnsiTheme="minorHAnsi" w:cs="Calibri"/>
                <w:szCs w:val="24"/>
                <w:lang w:val="en-US"/>
              </w:rPr>
            </w:pPr>
            <w:r w:rsidRPr="000F233D">
              <w:rPr>
                <w:rFonts w:asciiTheme="minorHAnsi" w:hAnsiTheme="minorHAnsi" w:cs="Calibri"/>
                <w:szCs w:val="24"/>
                <w:lang w:val="en-US"/>
              </w:rPr>
              <w:t>SG</w:t>
            </w:r>
            <w:r w:rsidRPr="000F233D">
              <w:rPr>
                <w:rFonts w:asciiTheme="minorHAnsi" w:hAnsiTheme="minorHAnsi" w:cs="Calibri"/>
                <w:szCs w:val="24"/>
                <w:lang w:val="en-US"/>
              </w:rPr>
              <w:br/>
              <w:t>Recommendation</w:t>
            </w:r>
          </w:p>
        </w:tc>
      </w:tr>
      <w:tr w:rsidR="000F233D" w:rsidRPr="000F233D">
        <w:trPr>
          <w:cantSplit/>
          <w:jc w:val="center"/>
        </w:trPr>
        <w:tc>
          <w:tcPr>
            <w:tcW w:w="3472" w:type="dxa"/>
            <w:vAlign w:val="center"/>
          </w:tcPr>
          <w:p w:rsidR="000F233D" w:rsidRPr="000F233D" w:rsidRDefault="000F233D" w:rsidP="00251DD4">
            <w:pPr>
              <w:overflowPunct/>
              <w:autoSpaceDE/>
              <w:autoSpaceDN/>
              <w:adjustRightInd/>
              <w:spacing w:before="0"/>
              <w:textAlignment w:val="auto"/>
              <w:rPr>
                <w:rFonts w:asciiTheme="minorHAnsi" w:hAnsiTheme="minorHAnsi" w:cs="Calibri"/>
                <w:b/>
                <w:bCs/>
                <w:iCs/>
                <w:sz w:val="22"/>
                <w:szCs w:val="22"/>
                <w:lang w:val="en-US"/>
              </w:rPr>
            </w:pPr>
            <w:r w:rsidRPr="000F233D">
              <w:rPr>
                <w:rFonts w:asciiTheme="minorHAnsi" w:hAnsiTheme="minorHAnsi" w:cs="Calibri"/>
                <w:b/>
                <w:bCs/>
                <w:sz w:val="22"/>
                <w:szCs w:val="22"/>
              </w:rPr>
              <w:t>PITA - Pacific Islands Telecommunications Association</w:t>
            </w:r>
            <w:r w:rsidRPr="000F233D">
              <w:rPr>
                <w:rFonts w:asciiTheme="minorHAnsi" w:hAnsiTheme="minorHAnsi" w:cs="Calibri"/>
                <w:sz w:val="22"/>
                <w:szCs w:val="22"/>
              </w:rPr>
              <w:t> </w:t>
            </w:r>
          </w:p>
        </w:tc>
        <w:tc>
          <w:tcPr>
            <w:tcW w:w="1559" w:type="dxa"/>
            <w:vAlign w:val="center"/>
          </w:tcPr>
          <w:p w:rsidR="000F233D" w:rsidRPr="000F233D" w:rsidRDefault="000F233D" w:rsidP="00251DD4">
            <w:pPr>
              <w:pStyle w:val="TableText1"/>
              <w:spacing w:before="120" w:after="60"/>
              <w:jc w:val="center"/>
              <w:rPr>
                <w:rFonts w:asciiTheme="minorHAnsi" w:hAnsiTheme="minorHAnsi" w:cs="Calibri"/>
                <w:szCs w:val="24"/>
                <w:lang w:val="fr-CH"/>
              </w:rPr>
            </w:pPr>
            <w:r w:rsidRPr="000F233D">
              <w:rPr>
                <w:rFonts w:asciiTheme="minorHAnsi" w:hAnsiTheme="minorHAnsi" w:cs="Calibri"/>
                <w:szCs w:val="24"/>
                <w:lang w:val="fr-CH"/>
              </w:rPr>
              <w:t>ITU-R</w:t>
            </w:r>
            <w:r w:rsidRPr="000F233D">
              <w:rPr>
                <w:rFonts w:asciiTheme="minorHAnsi" w:hAnsiTheme="minorHAnsi" w:cs="Calibri"/>
                <w:szCs w:val="24"/>
                <w:lang w:val="fr-CH"/>
              </w:rPr>
              <w:br/>
              <w:t>ITU-D</w:t>
            </w:r>
          </w:p>
        </w:tc>
        <w:tc>
          <w:tcPr>
            <w:tcW w:w="2213" w:type="dxa"/>
            <w:vAlign w:val="center"/>
          </w:tcPr>
          <w:p w:rsidR="000F233D" w:rsidRPr="000F233D" w:rsidRDefault="000F233D" w:rsidP="00251DD4">
            <w:pPr>
              <w:pStyle w:val="TableText1"/>
              <w:spacing w:before="120" w:after="60"/>
              <w:jc w:val="center"/>
              <w:rPr>
                <w:rFonts w:asciiTheme="minorHAnsi" w:hAnsiTheme="minorHAnsi" w:cs="Calibri"/>
                <w:szCs w:val="24"/>
                <w:lang w:val="fr-CH"/>
              </w:rPr>
            </w:pPr>
            <w:r w:rsidRPr="000F233D">
              <w:rPr>
                <w:rFonts w:asciiTheme="minorHAnsi" w:hAnsiTheme="minorHAnsi" w:cs="Calibri"/>
                <w:szCs w:val="24"/>
                <w:lang w:val="fr-CH"/>
              </w:rPr>
              <w:t>YES</w:t>
            </w:r>
            <w:r w:rsidRPr="000F233D">
              <w:rPr>
                <w:rFonts w:asciiTheme="minorHAnsi" w:hAnsiTheme="minorHAnsi" w:cs="Calibri"/>
                <w:szCs w:val="24"/>
                <w:lang w:val="fr-CH"/>
              </w:rPr>
              <w:br/>
              <w:t>YES</w:t>
            </w:r>
          </w:p>
        </w:tc>
        <w:tc>
          <w:tcPr>
            <w:tcW w:w="2250" w:type="dxa"/>
            <w:vAlign w:val="center"/>
          </w:tcPr>
          <w:p w:rsidR="000F233D" w:rsidRPr="000F233D" w:rsidRDefault="000F233D" w:rsidP="00251DD4">
            <w:pPr>
              <w:pStyle w:val="TableText1"/>
              <w:spacing w:before="120" w:after="60"/>
              <w:jc w:val="center"/>
              <w:rPr>
                <w:rFonts w:asciiTheme="minorHAnsi" w:hAnsiTheme="minorHAnsi" w:cs="Calibri"/>
                <w:szCs w:val="24"/>
                <w:lang w:val="fr-CH"/>
              </w:rPr>
            </w:pPr>
            <w:r w:rsidRPr="000F233D">
              <w:rPr>
                <w:rFonts w:asciiTheme="minorHAnsi" w:hAnsiTheme="minorHAnsi" w:cs="Calibri"/>
                <w:szCs w:val="24"/>
                <w:lang w:val="fr-CH"/>
              </w:rPr>
              <w:t>YES</w:t>
            </w:r>
            <w:r w:rsidRPr="000F233D">
              <w:rPr>
                <w:rFonts w:asciiTheme="minorHAnsi" w:hAnsiTheme="minorHAnsi" w:cs="Calibri"/>
                <w:szCs w:val="24"/>
                <w:lang w:val="fr-CH"/>
              </w:rPr>
              <w:br/>
              <w:t>YES</w:t>
            </w:r>
          </w:p>
        </w:tc>
      </w:tr>
    </w:tbl>
    <w:p w:rsidR="000F233D" w:rsidRPr="000F233D" w:rsidRDefault="000F233D" w:rsidP="00251DD4">
      <w:pPr>
        <w:tabs>
          <w:tab w:val="clear" w:pos="567"/>
          <w:tab w:val="clear" w:pos="1134"/>
          <w:tab w:val="clear" w:pos="1701"/>
          <w:tab w:val="clear" w:pos="2268"/>
          <w:tab w:val="clear" w:pos="2835"/>
        </w:tabs>
        <w:snapToGrid w:val="0"/>
        <w:spacing w:before="240" w:after="120"/>
        <w:jc w:val="both"/>
        <w:rPr>
          <w:rFonts w:asciiTheme="minorHAnsi" w:hAnsiTheme="minorHAnsi" w:cs="Calibri"/>
          <w:lang w:val="en-US"/>
        </w:rPr>
      </w:pPr>
      <w:r w:rsidRPr="000F233D">
        <w:rPr>
          <w:rFonts w:asciiTheme="minorHAnsi" w:hAnsiTheme="minorHAnsi" w:cs="Calibri"/>
          <w:b/>
          <w:lang w:val="en-US"/>
        </w:rPr>
        <w:t>Comments on mutual advantages</w:t>
      </w:r>
      <w:r w:rsidRPr="000F233D">
        <w:rPr>
          <w:rFonts w:asciiTheme="minorHAnsi" w:hAnsiTheme="minorHAnsi" w:cs="Calibri"/>
          <w:lang w:val="en-US"/>
        </w:rPr>
        <w:t>:</w:t>
      </w:r>
    </w:p>
    <w:p w:rsidR="000F233D" w:rsidRPr="000F233D" w:rsidRDefault="000F233D" w:rsidP="000F233D">
      <w:pPr>
        <w:tabs>
          <w:tab w:val="clear" w:pos="567"/>
          <w:tab w:val="clear" w:pos="1134"/>
          <w:tab w:val="clear" w:pos="1701"/>
          <w:tab w:val="clear" w:pos="2268"/>
          <w:tab w:val="clear" w:pos="2835"/>
        </w:tabs>
        <w:snapToGrid w:val="0"/>
        <w:spacing w:after="120"/>
        <w:jc w:val="both"/>
        <w:rPr>
          <w:rFonts w:asciiTheme="minorHAnsi" w:hAnsiTheme="minorHAnsi" w:cs="Calibri"/>
          <w:color w:val="000000"/>
          <w:szCs w:val="24"/>
        </w:rPr>
      </w:pPr>
      <w:r w:rsidRPr="000F233D">
        <w:rPr>
          <w:rFonts w:asciiTheme="minorHAnsi" w:hAnsiTheme="minorHAnsi" w:cs="Calibri"/>
          <w:color w:val="000000"/>
          <w:szCs w:val="24"/>
          <w:lang w:val="en-US"/>
        </w:rPr>
        <w:t xml:space="preserve">The main activities of the Pacific Islands Telecommunications Association (PITA) are to promote, enhance and improve telecommunication in its member countries. The activities include regional meetings, technical workshops, training, and technical cooperation to foster greater exchange of skills, knowledge and capacity amongst the member countries and with organizations from the developed world. </w:t>
      </w:r>
      <w:r w:rsidRPr="000F233D">
        <w:rPr>
          <w:rFonts w:asciiTheme="minorHAnsi" w:hAnsiTheme="minorHAnsi" w:cs="Calibri"/>
          <w:color w:val="000000"/>
          <w:szCs w:val="24"/>
        </w:rPr>
        <w:t>The members are telecommunication entities from Pacific Island states and territories. Associate members are industry organizations, suppliers and solution providers from around the world. PITA has a special category for governments and regulatory bodies.</w:t>
      </w:r>
    </w:p>
    <w:p w:rsidR="000F233D" w:rsidRPr="000F233D" w:rsidRDefault="000F233D" w:rsidP="000F233D">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hAnsiTheme="minorHAnsi" w:cs="Arial"/>
          <w:color w:val="000000"/>
          <w:sz w:val="22"/>
          <w:szCs w:val="22"/>
        </w:rPr>
      </w:pPr>
      <w:r w:rsidRPr="000F233D">
        <w:rPr>
          <w:rFonts w:asciiTheme="minorHAnsi" w:hAnsiTheme="minorHAnsi" w:cs="Calibri"/>
          <w:color w:val="000000"/>
          <w:szCs w:val="24"/>
        </w:rPr>
        <w:t>PITA has collaborated with ITU to organize meetings and projects in the Pacific, using their own funding sources to perform their respective responsibilities under any such arrangement for the Pacific. PITA extends invitations to ITU without any registration fees to attend its meetings and activities. These activities have provided valuable and cost effective opportunities for ITU-D to report, exchange and discuss possibilities of common activities with key players from the Pacific Islands</w:t>
      </w:r>
      <w:r w:rsidRPr="000F233D">
        <w:rPr>
          <w:rFonts w:asciiTheme="minorHAnsi" w:hAnsiTheme="minorHAnsi" w:cs="Arial"/>
          <w:color w:val="000000"/>
          <w:sz w:val="22"/>
          <w:szCs w:val="22"/>
        </w:rPr>
        <w:t>.</w:t>
      </w:r>
    </w:p>
    <w:p w:rsidR="000F233D" w:rsidRPr="000F233D" w:rsidRDefault="000F233D" w:rsidP="000F233D">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hAnsiTheme="minorHAnsi" w:cs="Calibri"/>
          <w:color w:val="000000"/>
          <w:szCs w:val="24"/>
        </w:rPr>
      </w:pPr>
      <w:r w:rsidRPr="000F233D">
        <w:rPr>
          <w:rFonts w:asciiTheme="minorHAnsi" w:hAnsiTheme="minorHAnsi" w:cs="Calibri"/>
          <w:szCs w:val="22"/>
        </w:rPr>
        <w:t xml:space="preserve">PITA has also been assisting with ITU-R initiatives for the Pacific Islands. </w:t>
      </w:r>
      <w:r w:rsidRPr="000F233D">
        <w:rPr>
          <w:rFonts w:asciiTheme="minorHAnsi" w:hAnsiTheme="minorHAnsi" w:cs="Calibri"/>
          <w:color w:val="000000"/>
          <w:szCs w:val="24"/>
        </w:rPr>
        <w:t>In 2013, ITU-R and PITA organized in a partnership a Radio Seminar for Asia Pacific as well as a workshop on the future of</w:t>
      </w:r>
      <w:r w:rsidR="00C717B5">
        <w:rPr>
          <w:rFonts w:asciiTheme="minorHAnsi" w:hAnsiTheme="minorHAnsi" w:cs="Calibri"/>
          <w:color w:val="000000"/>
          <w:szCs w:val="24"/>
        </w:rPr>
        <w:t xml:space="preserve"> C band in the Pacific region. </w:t>
      </w:r>
      <w:r w:rsidRPr="000F233D">
        <w:rPr>
          <w:rFonts w:asciiTheme="minorHAnsi" w:hAnsiTheme="minorHAnsi" w:cs="Calibri"/>
          <w:color w:val="000000"/>
          <w:szCs w:val="24"/>
        </w:rPr>
        <w:t xml:space="preserve">For 2014, the ITU-R is currently preparing a high-level workshop with PITA, and will participate on PITA’s Assembly, as it has done for the last two years. </w:t>
      </w:r>
    </w:p>
    <w:p w:rsidR="000F233D" w:rsidRPr="000F233D" w:rsidRDefault="000F233D" w:rsidP="000F233D">
      <w:pPr>
        <w:tabs>
          <w:tab w:val="clear" w:pos="567"/>
          <w:tab w:val="clear" w:pos="1134"/>
          <w:tab w:val="clear" w:pos="1701"/>
          <w:tab w:val="clear" w:pos="2268"/>
          <w:tab w:val="clear" w:pos="2835"/>
        </w:tabs>
        <w:overflowPunct/>
        <w:autoSpaceDE/>
        <w:autoSpaceDN/>
        <w:adjustRightInd/>
        <w:snapToGrid w:val="0"/>
        <w:spacing w:after="120"/>
        <w:jc w:val="both"/>
        <w:textAlignment w:val="auto"/>
        <w:rPr>
          <w:rFonts w:asciiTheme="minorHAnsi" w:hAnsiTheme="minorHAnsi" w:cs="Calibri"/>
          <w:szCs w:val="24"/>
          <w:lang w:val="en-US"/>
        </w:rPr>
      </w:pPr>
      <w:r w:rsidRPr="000F233D">
        <w:rPr>
          <w:rFonts w:asciiTheme="minorHAnsi" w:hAnsiTheme="minorHAnsi" w:cs="Calibri"/>
          <w:szCs w:val="24"/>
          <w:lang w:val="en-US"/>
        </w:rPr>
        <w:t>As such, PITA is one of the valuable partners for ITU-R and ITU-D programs for the Pacific Islands, allowing for common benefits in exploring opportunities to promote regional telecommunications and information technology standards, to mutually cooperate in capacity building and transfer of skills, knowledge and competency to the Pacific Islands region.</w:t>
      </w:r>
    </w:p>
    <w:p w:rsidR="000F233D" w:rsidRPr="000F233D" w:rsidRDefault="000F233D" w:rsidP="000F233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bCs/>
        </w:rPr>
      </w:pPr>
      <w:r w:rsidRPr="000F233D">
        <w:rPr>
          <w:rFonts w:asciiTheme="minorHAnsi" w:hAnsiTheme="minorHAnsi"/>
          <w:b/>
          <w:bCs/>
        </w:rPr>
        <w:br w:type="page"/>
      </w:r>
    </w:p>
    <w:p w:rsidR="008E6960" w:rsidRPr="000F233D" w:rsidRDefault="008E6960" w:rsidP="008E6960">
      <w:pPr>
        <w:pStyle w:val="AnnexNo"/>
      </w:pPr>
      <w:r w:rsidRPr="000F233D">
        <w:lastRenderedPageBreak/>
        <w:t>ANNEX 2</w:t>
      </w:r>
    </w:p>
    <w:p w:rsidR="008E6960" w:rsidRPr="000F233D" w:rsidRDefault="008E6960" w:rsidP="008E6960">
      <w:pPr>
        <w:pStyle w:val="Annextitle"/>
      </w:pPr>
      <w:r w:rsidRPr="000F233D">
        <w:t>Current List of Exempted Entities</w:t>
      </w:r>
    </w:p>
    <w:p w:rsidR="008E6960" w:rsidRPr="000F233D" w:rsidRDefault="008E6960" w:rsidP="008E6960">
      <w:pPr>
        <w:jc w:val="center"/>
        <w:rPr>
          <w:rFonts w:asciiTheme="minorHAnsi" w:hAnsiTheme="minorHAnsi"/>
        </w:rPr>
      </w:pPr>
    </w:p>
    <w:tbl>
      <w:tblPr>
        <w:tblStyle w:val="TableGrid"/>
        <w:tblW w:w="0" w:type="auto"/>
        <w:jc w:val="center"/>
        <w:tblLayout w:type="fixed"/>
        <w:tblLook w:val="04A0" w:firstRow="1" w:lastRow="0" w:firstColumn="1" w:lastColumn="0" w:noHBand="0" w:noVBand="1"/>
      </w:tblPr>
      <w:tblGrid>
        <w:gridCol w:w="5353"/>
        <w:gridCol w:w="1134"/>
        <w:gridCol w:w="1134"/>
        <w:gridCol w:w="1134"/>
        <w:gridCol w:w="1134"/>
      </w:tblGrid>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b/>
                <w:bCs/>
                <w:sz w:val="22"/>
                <w:lang w:val="en-US" w:eastAsia="zh-CN"/>
              </w:rPr>
            </w:pPr>
            <w:r w:rsidRPr="000F233D">
              <w:rPr>
                <w:rFonts w:asciiTheme="minorHAnsi" w:hAnsiTheme="minorHAnsi" w:cstheme="minorHAnsi"/>
                <w:b/>
                <w:bCs/>
                <w:sz w:val="22"/>
                <w:lang w:val="en-US" w:eastAsia="zh-CN"/>
              </w:rPr>
              <w:t>ENTITY</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b/>
                <w:bCs/>
                <w:sz w:val="22"/>
                <w:lang w:val="en-US" w:eastAsia="zh-CN"/>
              </w:rPr>
            </w:pPr>
            <w:r w:rsidRPr="000F233D">
              <w:rPr>
                <w:rFonts w:asciiTheme="minorHAnsi" w:hAnsiTheme="minorHAnsi" w:cstheme="minorHAnsi"/>
                <w:b/>
                <w:bCs/>
                <w:sz w:val="22"/>
                <w:lang w:val="en-US" w:eastAsia="zh-CN"/>
              </w:rPr>
              <w:t>ITU-R</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b/>
                <w:bCs/>
                <w:sz w:val="22"/>
                <w:lang w:val="en-US" w:eastAsia="zh-CN"/>
              </w:rPr>
            </w:pPr>
            <w:r w:rsidRPr="000F233D">
              <w:rPr>
                <w:rFonts w:asciiTheme="minorHAnsi" w:hAnsiTheme="minorHAnsi" w:cstheme="minorHAnsi"/>
                <w:b/>
                <w:bCs/>
                <w:sz w:val="22"/>
                <w:lang w:val="en-US" w:eastAsia="zh-CN"/>
              </w:rPr>
              <w:t>ITU-T</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b/>
                <w:bCs/>
                <w:sz w:val="22"/>
                <w:lang w:val="en-US" w:eastAsia="zh-CN"/>
              </w:rPr>
            </w:pPr>
            <w:r w:rsidRPr="000F233D">
              <w:rPr>
                <w:rFonts w:asciiTheme="minorHAnsi" w:hAnsiTheme="minorHAnsi" w:cstheme="minorHAnsi"/>
                <w:b/>
                <w:bCs/>
                <w:sz w:val="22"/>
                <w:lang w:val="en-US" w:eastAsia="zh-CN"/>
              </w:rPr>
              <w:t>ITU-D</w:t>
            </w:r>
          </w:p>
        </w:tc>
        <w:tc>
          <w:tcPr>
            <w:tcW w:w="1134" w:type="dxa"/>
            <w:tcBorders>
              <w:top w:val="single" w:sz="4" w:space="0" w:color="auto"/>
              <w:left w:val="single" w:sz="4" w:space="0" w:color="auto"/>
              <w:bottom w:val="single" w:sz="4" w:space="0" w:color="auto"/>
              <w:right w:val="single" w:sz="4" w:space="0" w:color="auto"/>
            </w:tcBorders>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b/>
                <w:bCs/>
                <w:sz w:val="22"/>
                <w:lang w:val="en-US" w:eastAsia="zh-CN"/>
              </w:rPr>
            </w:pPr>
            <w:r>
              <w:rPr>
                <w:rFonts w:asciiTheme="minorHAnsi" w:hAnsiTheme="minorHAnsi" w:cstheme="minorHAnsi"/>
                <w:b/>
                <w:bCs/>
                <w:sz w:val="22"/>
                <w:lang w:val="en-US" w:eastAsia="zh-CN"/>
              </w:rPr>
              <w:t xml:space="preserve">Survey response </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African Civil Society for the Information Society (ACSIS)</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African ICT Consumers Network (AICN)</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African Telecommunications Union</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African Union</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African Union of Broadcasting</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N</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Arab Business Forum for Information and Communication Technology</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N</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Arab Information and Communication Technology Organization (AICTO)</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8E6960" w:rsidRPr="000F233D" w:rsidRDefault="00070407"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Arab Private Broadcasting Union</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N</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Arab Regulators Network</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Arab States Broadcasting Union</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N</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Asia-Pacific Broadcasting Union</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Asia-Pacific Institute for Broadcasting Development</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Asia-Pacific Telecommunity</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s-ES_tradnl" w:eastAsia="zh-CN"/>
              </w:rPr>
            </w:pPr>
            <w:r w:rsidRPr="000F233D">
              <w:rPr>
                <w:rFonts w:asciiTheme="minorHAnsi" w:hAnsiTheme="minorHAnsi" w:cstheme="minorHAnsi"/>
                <w:sz w:val="22"/>
                <w:lang w:val="es-ES_tradnl" w:eastAsia="zh-CN"/>
              </w:rPr>
              <w:t>Asociación Iberoamericana de Centros de Investigación y Empresas de Telecomunicaciones</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s-ES_tradnl" w:eastAsia="zh-CN"/>
              </w:rPr>
            </w:pPr>
            <w:r w:rsidRPr="000F233D">
              <w:rPr>
                <w:rFonts w:asciiTheme="minorHAnsi" w:hAnsiTheme="minorHAnsi" w:cstheme="minorHAnsi"/>
                <w:sz w:val="22"/>
                <w:lang w:val="es-ES_tradnl" w:eastAsia="zh-CN"/>
              </w:rPr>
              <w:t>Asociación de Reguladores Administrador del Foro Latinoamericano de Entes Reguladores de Telecomunicaciones</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s-ES_tradnl" w:eastAsia="zh-CN"/>
              </w:rPr>
            </w:pPr>
            <w:r w:rsidRPr="000F233D">
              <w:rPr>
                <w:rFonts w:asciiTheme="minorHAnsi" w:hAnsiTheme="minorHAnsi" w:cstheme="minorHAnsi"/>
                <w:sz w:val="22"/>
                <w:lang w:val="es-ES_tradnl" w:eastAsia="zh-CN"/>
              </w:rPr>
              <w:t>Associação Empresarial de Comunicações de Portugal</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s-ES_tradnl" w:eastAsia="zh-CN"/>
              </w:rPr>
            </w:pPr>
            <w:r w:rsidRPr="000F233D">
              <w:rPr>
                <w:rFonts w:asciiTheme="minorHAnsi" w:hAnsiTheme="minorHAnsi" w:cstheme="minorHAnsi"/>
                <w:sz w:val="22"/>
                <w:lang w:val="es-ES_tradnl" w:eastAsia="zh-CN"/>
              </w:rPr>
              <w:t>Associação de Reguladores de Comunicações e Telecomunicações da Comunidade dos Países de Língua Portuguesa (ARCTEL-CPLP)</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Association of Andean Community Telecommunications Enterprises</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N</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Broadcast Networks Europe</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Caribbean Association of National Telecommunication Organizations</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N</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Caribbean Broadcasting Union</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Caribbean Telecommunications Union</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Centre for Environment and Development for the Arab Region and Europe</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Child Helpline International</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Committee on Radio Astronomy Frequencies</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Committee on Space Research</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Commonwealth ITU Group</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 xml:space="preserve">Commonwealth Telecommunications </w:t>
            </w:r>
            <w:r>
              <w:rPr>
                <w:rFonts w:asciiTheme="minorHAnsi" w:hAnsiTheme="minorHAnsi" w:cstheme="minorHAnsi"/>
                <w:sz w:val="22"/>
                <w:lang w:val="en-US" w:eastAsia="zh-CN"/>
              </w:rPr>
              <w:t>Organis</w:t>
            </w:r>
            <w:r w:rsidRPr="000F233D">
              <w:rPr>
                <w:rFonts w:asciiTheme="minorHAnsi" w:hAnsiTheme="minorHAnsi" w:cstheme="minorHAnsi"/>
                <w:sz w:val="22"/>
                <w:lang w:val="en-US" w:eastAsia="zh-CN"/>
              </w:rPr>
              <w:t>ation</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bl>
    <w:p w:rsidR="008E6960" w:rsidRPr="000F233D" w:rsidRDefault="008E6960" w:rsidP="008E6960">
      <w:pPr>
        <w:rPr>
          <w:rFonts w:asciiTheme="minorHAnsi" w:hAnsiTheme="minorHAnsi"/>
        </w:rPr>
      </w:pPr>
      <w:r w:rsidRPr="000F233D">
        <w:rPr>
          <w:rFonts w:asciiTheme="minorHAnsi" w:hAnsiTheme="minorHAnsi"/>
        </w:rPr>
        <w:br w:type="page"/>
      </w:r>
    </w:p>
    <w:tbl>
      <w:tblPr>
        <w:tblStyle w:val="TableGrid"/>
        <w:tblW w:w="0" w:type="auto"/>
        <w:jc w:val="center"/>
        <w:tblLayout w:type="fixed"/>
        <w:tblLook w:val="04A0" w:firstRow="1" w:lastRow="0" w:firstColumn="1" w:lastColumn="0" w:noHBand="0" w:noVBand="1"/>
      </w:tblPr>
      <w:tblGrid>
        <w:gridCol w:w="5353"/>
        <w:gridCol w:w="1134"/>
        <w:gridCol w:w="1134"/>
        <w:gridCol w:w="1134"/>
        <w:gridCol w:w="1134"/>
      </w:tblGrid>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b/>
                <w:bCs/>
                <w:sz w:val="22"/>
                <w:lang w:val="fr-CH" w:eastAsia="zh-CN"/>
              </w:rPr>
            </w:pPr>
            <w:r w:rsidRPr="000F233D">
              <w:rPr>
                <w:rFonts w:asciiTheme="minorHAnsi" w:hAnsiTheme="minorHAnsi" w:cstheme="minorHAnsi"/>
                <w:b/>
                <w:bCs/>
                <w:sz w:val="22"/>
                <w:lang w:val="fr-CH" w:eastAsia="zh-CN"/>
              </w:rPr>
              <w:lastRenderedPageBreak/>
              <w:t>ENTITY</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b/>
                <w:bCs/>
                <w:sz w:val="22"/>
                <w:lang w:val="en-US" w:eastAsia="zh-CN"/>
              </w:rPr>
            </w:pPr>
            <w:r w:rsidRPr="000F233D">
              <w:rPr>
                <w:rFonts w:asciiTheme="minorHAnsi" w:hAnsiTheme="minorHAnsi" w:cstheme="minorHAnsi"/>
                <w:b/>
                <w:bCs/>
                <w:sz w:val="22"/>
                <w:lang w:val="en-US" w:eastAsia="zh-CN"/>
              </w:rPr>
              <w:t>ITU-R</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b/>
                <w:bCs/>
                <w:sz w:val="22"/>
                <w:lang w:val="en-US" w:eastAsia="zh-CN"/>
              </w:rPr>
            </w:pPr>
            <w:r w:rsidRPr="000F233D">
              <w:rPr>
                <w:rFonts w:asciiTheme="minorHAnsi" w:hAnsiTheme="minorHAnsi" w:cstheme="minorHAnsi"/>
                <w:b/>
                <w:bCs/>
                <w:sz w:val="22"/>
                <w:lang w:val="en-US" w:eastAsia="zh-CN"/>
              </w:rPr>
              <w:t>ITU-T</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b/>
                <w:bCs/>
                <w:sz w:val="22"/>
                <w:lang w:val="en-US" w:eastAsia="zh-CN"/>
              </w:rPr>
            </w:pPr>
            <w:r w:rsidRPr="000F233D">
              <w:rPr>
                <w:rFonts w:asciiTheme="minorHAnsi" w:hAnsiTheme="minorHAnsi" w:cstheme="minorHAnsi"/>
                <w:b/>
                <w:bCs/>
                <w:sz w:val="22"/>
                <w:lang w:val="en-US" w:eastAsia="zh-CN"/>
              </w:rPr>
              <w:t>ITU-D</w:t>
            </w:r>
          </w:p>
        </w:tc>
        <w:tc>
          <w:tcPr>
            <w:tcW w:w="1134" w:type="dxa"/>
            <w:tcBorders>
              <w:top w:val="single" w:sz="4" w:space="0" w:color="auto"/>
              <w:left w:val="single" w:sz="4" w:space="0" w:color="auto"/>
              <w:bottom w:val="single" w:sz="4" w:space="0" w:color="auto"/>
              <w:right w:val="single" w:sz="4" w:space="0" w:color="auto"/>
            </w:tcBorders>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b/>
                <w:bCs/>
                <w:sz w:val="22"/>
                <w:lang w:val="en-US" w:eastAsia="zh-CN"/>
              </w:rPr>
            </w:pPr>
            <w:r>
              <w:rPr>
                <w:rFonts w:asciiTheme="minorHAnsi" w:hAnsiTheme="minorHAnsi" w:cstheme="minorHAnsi"/>
                <w:b/>
                <w:bCs/>
                <w:sz w:val="22"/>
                <w:lang w:val="en-US" w:eastAsia="zh-CN"/>
              </w:rPr>
              <w:t>Survey response</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fr-CH" w:eastAsia="zh-CN"/>
              </w:rPr>
            </w:pPr>
            <w:r w:rsidRPr="000F233D">
              <w:rPr>
                <w:rFonts w:asciiTheme="minorHAnsi" w:hAnsiTheme="minorHAnsi" w:cstheme="minorHAnsi"/>
                <w:sz w:val="22"/>
                <w:lang w:val="fr-CH" w:eastAsia="zh-CN"/>
              </w:rPr>
              <w:t>Consortium d'Appui aux Actions pour la Promotion et le Développement de l'Afrique (CAPDA)</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N</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Consumers International</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Continua Health Alliance</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N</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keepNext/>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Cooperation Council for the Arab States of the Gulf</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keepNext/>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keepNext/>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keepNext/>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8E6960" w:rsidRPr="000F233D" w:rsidRDefault="008E6960" w:rsidP="00946EDD">
            <w:pPr>
              <w:keepNext/>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fr-CH" w:eastAsia="zh-CN"/>
              </w:rPr>
            </w:pPr>
            <w:r w:rsidRPr="000F233D">
              <w:rPr>
                <w:rFonts w:asciiTheme="minorHAnsi" w:hAnsiTheme="minorHAnsi" w:cstheme="minorHAnsi"/>
                <w:sz w:val="22"/>
                <w:lang w:val="fr-CH" w:eastAsia="zh-CN"/>
              </w:rPr>
              <w:t>Diaspora africaine pour la société de l'information</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Digital Opportunity Trust</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Digital Radio Mondiale</w:t>
            </w:r>
          </w:p>
        </w:tc>
        <w:tc>
          <w:tcPr>
            <w:tcW w:w="1134" w:type="dxa"/>
            <w:tcBorders>
              <w:top w:val="single" w:sz="4" w:space="0" w:color="auto"/>
              <w:left w:val="single" w:sz="4" w:space="0" w:color="auto"/>
              <w:bottom w:val="single" w:sz="4" w:space="0" w:color="auto"/>
              <w:right w:val="single" w:sz="4" w:space="0" w:color="auto"/>
            </w:tcBorders>
            <w:hideMark/>
          </w:tcPr>
          <w:p w:rsidR="008E6960" w:rsidRPr="00617A0C" w:rsidRDefault="008E6960" w:rsidP="00946EDD">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8E6960" w:rsidRPr="00617A0C" w:rsidRDefault="008E6960" w:rsidP="00946EDD">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617A0C" w:rsidRDefault="008E6960" w:rsidP="00946EDD">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8E6960" w:rsidRPr="00617A0C" w:rsidRDefault="008E6960" w:rsidP="00946EDD">
            <w:pPr>
              <w:tabs>
                <w:tab w:val="clear" w:pos="567"/>
                <w:tab w:val="left" w:pos="720"/>
              </w:tabs>
              <w:overflowPunct/>
              <w:autoSpaceDE/>
              <w:adjustRightInd/>
              <w:spacing w:before="0"/>
              <w:jc w:val="center"/>
              <w:rPr>
                <w:rFonts w:asciiTheme="minorHAnsi" w:hAnsiTheme="minorHAnsi" w:cstheme="minorHAnsi"/>
                <w:caps/>
                <w:sz w:val="22"/>
                <w:lang w:val="en-US" w:eastAsia="zh-CN"/>
              </w:rPr>
            </w:pPr>
            <w:r>
              <w:rPr>
                <w:rFonts w:asciiTheme="minorHAnsi" w:hAnsiTheme="minorHAnsi" w:cstheme="minorHAnsi"/>
                <w:caps/>
                <w:sz w:val="22"/>
                <w:lang w:val="en-US" w:eastAsia="zh-CN"/>
              </w:rPr>
              <w:t>N</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Dominic Foundation</w:t>
            </w:r>
          </w:p>
        </w:tc>
        <w:tc>
          <w:tcPr>
            <w:tcW w:w="1134" w:type="dxa"/>
            <w:tcBorders>
              <w:top w:val="single" w:sz="4" w:space="0" w:color="auto"/>
              <w:left w:val="single" w:sz="4" w:space="0" w:color="auto"/>
              <w:bottom w:val="single" w:sz="4" w:space="0" w:color="auto"/>
              <w:right w:val="single" w:sz="4" w:space="0" w:color="auto"/>
            </w:tcBorders>
            <w:hideMark/>
          </w:tcPr>
          <w:p w:rsidR="008E6960" w:rsidRPr="00617A0C" w:rsidRDefault="008E6960" w:rsidP="00946EDD">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hideMark/>
          </w:tcPr>
          <w:p w:rsidR="008E6960" w:rsidRPr="00617A0C" w:rsidRDefault="008E6960" w:rsidP="00946EDD">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617A0C" w:rsidRDefault="008E6960" w:rsidP="00946EDD">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8E6960" w:rsidRPr="00617A0C" w:rsidRDefault="008E6960" w:rsidP="00946EDD">
            <w:pPr>
              <w:tabs>
                <w:tab w:val="clear" w:pos="567"/>
                <w:tab w:val="left" w:pos="720"/>
              </w:tabs>
              <w:overflowPunct/>
              <w:autoSpaceDE/>
              <w:adjustRightInd/>
              <w:spacing w:before="0"/>
              <w:jc w:val="center"/>
              <w:rPr>
                <w:rFonts w:asciiTheme="minorHAnsi" w:hAnsiTheme="minorHAnsi" w:cstheme="minorHAnsi"/>
                <w:caps/>
                <w:sz w:val="22"/>
                <w:lang w:val="en-US" w:eastAsia="zh-CN"/>
              </w:rPr>
            </w:pPr>
            <w:r>
              <w:rPr>
                <w:rFonts w:asciiTheme="minorHAnsi" w:hAnsiTheme="minorHAnsi" w:cstheme="minorHAnsi"/>
                <w:caps/>
                <w:sz w:val="22"/>
                <w:lang w:val="en-US" w:eastAsia="zh-CN"/>
              </w:rPr>
              <w:t>Y</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EIDQ Association -The Association for the Directory Information and Related Search Industry</w:t>
            </w:r>
          </w:p>
        </w:tc>
        <w:tc>
          <w:tcPr>
            <w:tcW w:w="1134" w:type="dxa"/>
            <w:tcBorders>
              <w:top w:val="single" w:sz="4" w:space="0" w:color="auto"/>
              <w:left w:val="single" w:sz="4" w:space="0" w:color="auto"/>
              <w:bottom w:val="single" w:sz="4" w:space="0" w:color="auto"/>
              <w:right w:val="single" w:sz="4" w:space="0" w:color="auto"/>
            </w:tcBorders>
            <w:hideMark/>
          </w:tcPr>
          <w:p w:rsidR="008E6960" w:rsidRPr="00617A0C" w:rsidRDefault="008E6960" w:rsidP="00946EDD">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hideMark/>
          </w:tcPr>
          <w:p w:rsidR="008E6960" w:rsidRPr="00617A0C" w:rsidRDefault="008E6960" w:rsidP="00946EDD">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A17</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617A0C" w:rsidRDefault="008E6960" w:rsidP="00946EDD">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tcPr>
          <w:p w:rsidR="008E6960" w:rsidRPr="00617A0C" w:rsidRDefault="008E6960" w:rsidP="00946EDD">
            <w:pPr>
              <w:tabs>
                <w:tab w:val="clear" w:pos="567"/>
                <w:tab w:val="left" w:pos="720"/>
              </w:tabs>
              <w:overflowPunct/>
              <w:autoSpaceDE/>
              <w:adjustRightInd/>
              <w:spacing w:before="0"/>
              <w:jc w:val="center"/>
              <w:rPr>
                <w:rFonts w:asciiTheme="minorHAnsi" w:hAnsiTheme="minorHAnsi" w:cstheme="minorHAnsi"/>
                <w:caps/>
                <w:sz w:val="22"/>
                <w:lang w:val="en-US" w:eastAsia="zh-CN"/>
              </w:rPr>
            </w:pPr>
            <w:r>
              <w:rPr>
                <w:rFonts w:asciiTheme="minorHAnsi" w:hAnsiTheme="minorHAnsi" w:cstheme="minorHAnsi"/>
                <w:caps/>
                <w:sz w:val="22"/>
                <w:lang w:val="en-US" w:eastAsia="zh-CN"/>
              </w:rPr>
              <w:t>N</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East African Communications Organization</w:t>
            </w:r>
          </w:p>
        </w:tc>
        <w:tc>
          <w:tcPr>
            <w:tcW w:w="1134" w:type="dxa"/>
            <w:tcBorders>
              <w:top w:val="single" w:sz="4" w:space="0" w:color="auto"/>
              <w:left w:val="single" w:sz="4" w:space="0" w:color="auto"/>
              <w:bottom w:val="single" w:sz="4" w:space="0" w:color="auto"/>
              <w:right w:val="single" w:sz="4" w:space="0" w:color="auto"/>
            </w:tcBorders>
            <w:hideMark/>
          </w:tcPr>
          <w:p w:rsidR="008E6960" w:rsidRPr="00617A0C" w:rsidRDefault="008E6960" w:rsidP="00946EDD">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8E6960" w:rsidRPr="00617A0C" w:rsidRDefault="008E6960" w:rsidP="00946EDD">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617A0C" w:rsidRDefault="008E6960" w:rsidP="00946EDD">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8E6960" w:rsidRPr="00617A0C" w:rsidRDefault="008E6960" w:rsidP="00946EDD">
            <w:pPr>
              <w:tabs>
                <w:tab w:val="clear" w:pos="567"/>
                <w:tab w:val="left" w:pos="720"/>
              </w:tabs>
              <w:overflowPunct/>
              <w:autoSpaceDE/>
              <w:adjustRightInd/>
              <w:spacing w:before="0"/>
              <w:jc w:val="center"/>
              <w:rPr>
                <w:rFonts w:asciiTheme="minorHAnsi" w:hAnsiTheme="minorHAnsi" w:cstheme="minorHAnsi"/>
                <w:caps/>
                <w:sz w:val="22"/>
                <w:lang w:val="en-US" w:eastAsia="zh-CN"/>
              </w:rPr>
            </w:pPr>
            <w:r>
              <w:rPr>
                <w:rFonts w:asciiTheme="minorHAnsi" w:hAnsiTheme="minorHAnsi" w:cstheme="minorHAnsi"/>
                <w:caps/>
                <w:sz w:val="22"/>
                <w:lang w:val="en-US" w:eastAsia="zh-CN"/>
              </w:rPr>
              <w:t>Y</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East African Community</w:t>
            </w:r>
          </w:p>
        </w:tc>
        <w:tc>
          <w:tcPr>
            <w:tcW w:w="1134" w:type="dxa"/>
            <w:tcBorders>
              <w:top w:val="single" w:sz="4" w:space="0" w:color="auto"/>
              <w:left w:val="single" w:sz="4" w:space="0" w:color="auto"/>
              <w:bottom w:val="single" w:sz="4" w:space="0" w:color="auto"/>
              <w:right w:val="single" w:sz="4" w:space="0" w:color="auto"/>
            </w:tcBorders>
            <w:hideMark/>
          </w:tcPr>
          <w:p w:rsidR="008E6960" w:rsidRPr="00617A0C" w:rsidRDefault="008E6960" w:rsidP="00946EDD">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hideMark/>
          </w:tcPr>
          <w:p w:rsidR="008E6960" w:rsidRPr="00617A0C" w:rsidRDefault="008E6960" w:rsidP="00946EDD">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617A0C" w:rsidRDefault="008E6960" w:rsidP="00946EDD">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8E6960" w:rsidRPr="00617A0C" w:rsidRDefault="008E6960" w:rsidP="00946EDD">
            <w:pPr>
              <w:tabs>
                <w:tab w:val="clear" w:pos="567"/>
                <w:tab w:val="left" w:pos="720"/>
              </w:tabs>
              <w:overflowPunct/>
              <w:autoSpaceDE/>
              <w:adjustRightInd/>
              <w:spacing w:before="0"/>
              <w:jc w:val="center"/>
              <w:rPr>
                <w:rFonts w:asciiTheme="minorHAnsi" w:hAnsiTheme="minorHAnsi" w:cstheme="minorHAnsi"/>
                <w:caps/>
                <w:sz w:val="22"/>
                <w:lang w:val="en-US" w:eastAsia="zh-CN"/>
              </w:rPr>
            </w:pPr>
            <w:r>
              <w:rPr>
                <w:rFonts w:asciiTheme="minorHAnsi" w:hAnsiTheme="minorHAnsi" w:cstheme="minorHAnsi"/>
                <w:caps/>
                <w:sz w:val="22"/>
                <w:lang w:val="en-US" w:eastAsia="zh-CN"/>
              </w:rPr>
              <w:t>N</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fr-CH" w:eastAsia="zh-CN"/>
              </w:rPr>
            </w:pPr>
            <w:r w:rsidRPr="000F233D">
              <w:rPr>
                <w:rFonts w:asciiTheme="minorHAnsi" w:hAnsiTheme="minorHAnsi" w:cstheme="minorHAnsi"/>
                <w:sz w:val="22"/>
                <w:lang w:val="fr-CH" w:eastAsia="zh-CN"/>
              </w:rPr>
              <w:t>Ecole Supérieure Multinationale des Télécommunications</w:t>
            </w:r>
          </w:p>
        </w:tc>
        <w:tc>
          <w:tcPr>
            <w:tcW w:w="1134" w:type="dxa"/>
            <w:tcBorders>
              <w:top w:val="single" w:sz="4" w:space="0" w:color="auto"/>
              <w:left w:val="single" w:sz="4" w:space="0" w:color="auto"/>
              <w:bottom w:val="single" w:sz="4" w:space="0" w:color="auto"/>
              <w:right w:val="single" w:sz="4" w:space="0" w:color="auto"/>
            </w:tcBorders>
            <w:hideMark/>
          </w:tcPr>
          <w:p w:rsidR="008E6960" w:rsidRPr="00617A0C" w:rsidRDefault="008E6960" w:rsidP="00946EDD">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8E6960" w:rsidRPr="00617A0C" w:rsidRDefault="008E6960" w:rsidP="00946EDD">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617A0C" w:rsidRDefault="008E6960" w:rsidP="00946EDD">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8E6960" w:rsidRPr="00617A0C" w:rsidRDefault="008E6960" w:rsidP="00946EDD">
            <w:pPr>
              <w:tabs>
                <w:tab w:val="clear" w:pos="567"/>
                <w:tab w:val="left" w:pos="720"/>
              </w:tabs>
              <w:overflowPunct/>
              <w:autoSpaceDE/>
              <w:adjustRightInd/>
              <w:spacing w:before="0"/>
              <w:jc w:val="center"/>
              <w:rPr>
                <w:rFonts w:asciiTheme="minorHAnsi" w:hAnsiTheme="minorHAnsi" w:cstheme="minorHAnsi"/>
                <w:caps/>
                <w:sz w:val="22"/>
                <w:lang w:val="en-US" w:eastAsia="zh-CN"/>
              </w:rPr>
            </w:pPr>
            <w:r>
              <w:rPr>
                <w:rFonts w:asciiTheme="minorHAnsi" w:hAnsiTheme="minorHAnsi" w:cstheme="minorHAnsi"/>
                <w:caps/>
                <w:sz w:val="22"/>
                <w:lang w:val="en-US" w:eastAsia="zh-CN"/>
              </w:rPr>
              <w:t>Y</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Economic Community for West African States</w:t>
            </w:r>
          </w:p>
        </w:tc>
        <w:tc>
          <w:tcPr>
            <w:tcW w:w="1134" w:type="dxa"/>
            <w:tcBorders>
              <w:top w:val="single" w:sz="4" w:space="0" w:color="auto"/>
              <w:left w:val="single" w:sz="4" w:space="0" w:color="auto"/>
              <w:bottom w:val="single" w:sz="4" w:space="0" w:color="auto"/>
              <w:right w:val="single" w:sz="4" w:space="0" w:color="auto"/>
            </w:tcBorders>
            <w:hideMark/>
          </w:tcPr>
          <w:p w:rsidR="008E6960" w:rsidRPr="00617A0C" w:rsidRDefault="008E6960" w:rsidP="00946EDD">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8E6960" w:rsidRPr="00617A0C" w:rsidRDefault="008E6960" w:rsidP="00946EDD">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617A0C" w:rsidRDefault="008E6960" w:rsidP="00946EDD">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8E6960" w:rsidRPr="00617A0C" w:rsidRDefault="008E6960" w:rsidP="00946EDD">
            <w:pPr>
              <w:tabs>
                <w:tab w:val="clear" w:pos="567"/>
                <w:tab w:val="left" w:pos="720"/>
              </w:tabs>
              <w:overflowPunct/>
              <w:autoSpaceDE/>
              <w:adjustRightInd/>
              <w:spacing w:before="0"/>
              <w:jc w:val="center"/>
              <w:rPr>
                <w:rFonts w:asciiTheme="minorHAnsi" w:hAnsiTheme="minorHAnsi" w:cstheme="minorHAnsi"/>
                <w:caps/>
                <w:sz w:val="22"/>
                <w:lang w:val="en-US" w:eastAsia="zh-CN"/>
              </w:rPr>
            </w:pPr>
            <w:r>
              <w:rPr>
                <w:rFonts w:asciiTheme="minorHAnsi" w:hAnsiTheme="minorHAnsi" w:cstheme="minorHAnsi"/>
                <w:caps/>
                <w:sz w:val="22"/>
                <w:lang w:val="en-US" w:eastAsia="zh-CN"/>
              </w:rPr>
              <w:t>Y</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European Broadcasting Union</w:t>
            </w:r>
          </w:p>
        </w:tc>
        <w:tc>
          <w:tcPr>
            <w:tcW w:w="1134" w:type="dxa"/>
            <w:tcBorders>
              <w:top w:val="single" w:sz="4" w:space="0" w:color="auto"/>
              <w:left w:val="single" w:sz="4" w:space="0" w:color="auto"/>
              <w:bottom w:val="single" w:sz="4" w:space="0" w:color="auto"/>
              <w:right w:val="single" w:sz="4" w:space="0" w:color="auto"/>
            </w:tcBorders>
            <w:hideMark/>
          </w:tcPr>
          <w:p w:rsidR="008E6960" w:rsidRPr="00617A0C" w:rsidRDefault="008E6960" w:rsidP="00946EDD">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8E6960" w:rsidRPr="00617A0C" w:rsidRDefault="008E6960" w:rsidP="00946EDD">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617A0C" w:rsidRDefault="008E6960" w:rsidP="00946EDD">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8E6960" w:rsidRPr="00617A0C" w:rsidRDefault="008E6960" w:rsidP="00946EDD">
            <w:pPr>
              <w:tabs>
                <w:tab w:val="clear" w:pos="567"/>
                <w:tab w:val="left" w:pos="720"/>
              </w:tabs>
              <w:overflowPunct/>
              <w:autoSpaceDE/>
              <w:adjustRightInd/>
              <w:spacing w:before="0"/>
              <w:jc w:val="center"/>
              <w:rPr>
                <w:rFonts w:asciiTheme="minorHAnsi" w:hAnsiTheme="minorHAnsi" w:cstheme="minorHAnsi"/>
                <w:caps/>
                <w:sz w:val="22"/>
                <w:lang w:val="en-US" w:eastAsia="zh-CN"/>
              </w:rPr>
            </w:pPr>
            <w:r>
              <w:rPr>
                <w:rFonts w:asciiTheme="minorHAnsi" w:hAnsiTheme="minorHAnsi" w:cstheme="minorHAnsi"/>
                <w:caps/>
                <w:sz w:val="22"/>
                <w:lang w:val="en-US" w:eastAsia="zh-CN"/>
              </w:rPr>
              <w:t>y</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European Communications Office</w:t>
            </w:r>
          </w:p>
        </w:tc>
        <w:tc>
          <w:tcPr>
            <w:tcW w:w="1134" w:type="dxa"/>
            <w:tcBorders>
              <w:top w:val="single" w:sz="4" w:space="0" w:color="auto"/>
              <w:left w:val="single" w:sz="4" w:space="0" w:color="auto"/>
              <w:bottom w:val="single" w:sz="4" w:space="0" w:color="auto"/>
              <w:right w:val="single" w:sz="4" w:space="0" w:color="auto"/>
            </w:tcBorders>
            <w:hideMark/>
          </w:tcPr>
          <w:p w:rsidR="008E6960" w:rsidRPr="00617A0C" w:rsidRDefault="008E6960" w:rsidP="00946EDD">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8E6960" w:rsidRPr="00617A0C" w:rsidRDefault="008E6960" w:rsidP="00946EDD">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617A0C" w:rsidRDefault="008E6960" w:rsidP="00946EDD">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8E6960" w:rsidRPr="00617A0C" w:rsidRDefault="008E6960" w:rsidP="00946EDD">
            <w:pPr>
              <w:tabs>
                <w:tab w:val="clear" w:pos="567"/>
                <w:tab w:val="left" w:pos="720"/>
              </w:tabs>
              <w:overflowPunct/>
              <w:autoSpaceDE/>
              <w:adjustRightInd/>
              <w:spacing w:before="0"/>
              <w:jc w:val="center"/>
              <w:rPr>
                <w:rFonts w:asciiTheme="minorHAnsi" w:hAnsiTheme="minorHAnsi" w:cstheme="minorHAnsi"/>
                <w:caps/>
                <w:sz w:val="22"/>
                <w:lang w:val="en-US" w:eastAsia="zh-CN"/>
              </w:rPr>
            </w:pPr>
            <w:r>
              <w:rPr>
                <w:rFonts w:asciiTheme="minorHAnsi" w:hAnsiTheme="minorHAnsi" w:cstheme="minorHAnsi"/>
                <w:caps/>
                <w:sz w:val="22"/>
                <w:lang w:val="en-US" w:eastAsia="zh-CN"/>
              </w:rPr>
              <w:t>Y</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European Competitive Telecommunications Association</w:t>
            </w:r>
          </w:p>
        </w:tc>
        <w:tc>
          <w:tcPr>
            <w:tcW w:w="1134" w:type="dxa"/>
            <w:tcBorders>
              <w:top w:val="single" w:sz="4" w:space="0" w:color="auto"/>
              <w:left w:val="single" w:sz="4" w:space="0" w:color="auto"/>
              <w:bottom w:val="single" w:sz="4" w:space="0" w:color="auto"/>
              <w:right w:val="single" w:sz="4" w:space="0" w:color="auto"/>
            </w:tcBorders>
            <w:hideMark/>
          </w:tcPr>
          <w:p w:rsidR="008E6960" w:rsidRPr="00617A0C" w:rsidRDefault="008E6960" w:rsidP="00946EDD">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8E6960" w:rsidRPr="00617A0C" w:rsidRDefault="008E6960" w:rsidP="00946EDD">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617A0C" w:rsidRDefault="008E6960" w:rsidP="00946EDD">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8E6960" w:rsidRPr="00617A0C" w:rsidRDefault="008E6960" w:rsidP="00946EDD">
            <w:pPr>
              <w:tabs>
                <w:tab w:val="clear" w:pos="567"/>
                <w:tab w:val="left" w:pos="720"/>
              </w:tabs>
              <w:overflowPunct/>
              <w:autoSpaceDE/>
              <w:adjustRightInd/>
              <w:spacing w:before="0"/>
              <w:jc w:val="center"/>
              <w:rPr>
                <w:rFonts w:asciiTheme="minorHAnsi" w:hAnsiTheme="minorHAnsi" w:cstheme="minorHAnsi"/>
                <w:caps/>
                <w:sz w:val="22"/>
                <w:lang w:val="en-US" w:eastAsia="zh-CN"/>
              </w:rPr>
            </w:pPr>
            <w:r>
              <w:rPr>
                <w:rFonts w:asciiTheme="minorHAnsi" w:hAnsiTheme="minorHAnsi" w:cstheme="minorHAnsi"/>
                <w:caps/>
                <w:sz w:val="22"/>
                <w:lang w:val="en-US" w:eastAsia="zh-CN"/>
              </w:rPr>
              <w:t>N</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European Conference of Postal and Telecommunications Administrations</w:t>
            </w:r>
          </w:p>
        </w:tc>
        <w:tc>
          <w:tcPr>
            <w:tcW w:w="1134" w:type="dxa"/>
            <w:tcBorders>
              <w:top w:val="single" w:sz="4" w:space="0" w:color="auto"/>
              <w:left w:val="single" w:sz="4" w:space="0" w:color="auto"/>
              <w:bottom w:val="single" w:sz="4" w:space="0" w:color="auto"/>
              <w:right w:val="single" w:sz="4" w:space="0" w:color="auto"/>
            </w:tcBorders>
            <w:hideMark/>
          </w:tcPr>
          <w:p w:rsidR="008E6960" w:rsidRPr="00617A0C" w:rsidRDefault="008E6960" w:rsidP="00946EDD">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8E6960" w:rsidRPr="00617A0C" w:rsidRDefault="008E6960" w:rsidP="00946EDD">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617A0C" w:rsidRDefault="008E6960" w:rsidP="00946EDD">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8E6960" w:rsidRPr="00617A0C" w:rsidRDefault="008E6960" w:rsidP="00946EDD">
            <w:pPr>
              <w:tabs>
                <w:tab w:val="clear" w:pos="567"/>
                <w:tab w:val="left" w:pos="720"/>
              </w:tabs>
              <w:overflowPunct/>
              <w:autoSpaceDE/>
              <w:adjustRightInd/>
              <w:spacing w:before="0"/>
              <w:jc w:val="center"/>
              <w:rPr>
                <w:rFonts w:asciiTheme="minorHAnsi" w:hAnsiTheme="minorHAnsi" w:cstheme="minorHAnsi"/>
                <w:caps/>
                <w:sz w:val="22"/>
                <w:lang w:val="en-US" w:eastAsia="zh-CN"/>
              </w:rPr>
            </w:pPr>
            <w:r>
              <w:rPr>
                <w:rFonts w:asciiTheme="minorHAnsi" w:hAnsiTheme="minorHAnsi" w:cstheme="minorHAnsi"/>
                <w:caps/>
                <w:sz w:val="22"/>
                <w:lang w:val="en-US" w:eastAsia="zh-CN"/>
              </w:rPr>
              <w:t>Y</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European Telecommunications Network Operators' Association</w:t>
            </w:r>
          </w:p>
        </w:tc>
        <w:tc>
          <w:tcPr>
            <w:tcW w:w="1134" w:type="dxa"/>
            <w:tcBorders>
              <w:top w:val="single" w:sz="4" w:space="0" w:color="auto"/>
              <w:left w:val="single" w:sz="4" w:space="0" w:color="auto"/>
              <w:bottom w:val="single" w:sz="4" w:space="0" w:color="auto"/>
              <w:right w:val="single" w:sz="4" w:space="0" w:color="auto"/>
            </w:tcBorders>
            <w:hideMark/>
          </w:tcPr>
          <w:p w:rsidR="008E6960" w:rsidRPr="00617A0C" w:rsidRDefault="008E6960" w:rsidP="00946EDD">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8E6960" w:rsidRPr="00617A0C" w:rsidRDefault="008E6960" w:rsidP="00946EDD">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617A0C" w:rsidRDefault="008E6960" w:rsidP="00946EDD">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8E6960" w:rsidRPr="00617A0C" w:rsidRDefault="008E6960" w:rsidP="00946EDD">
            <w:pPr>
              <w:tabs>
                <w:tab w:val="clear" w:pos="567"/>
                <w:tab w:val="left" w:pos="720"/>
              </w:tabs>
              <w:overflowPunct/>
              <w:autoSpaceDE/>
              <w:adjustRightInd/>
              <w:spacing w:before="0"/>
              <w:jc w:val="center"/>
              <w:rPr>
                <w:rFonts w:asciiTheme="minorHAnsi" w:hAnsiTheme="minorHAnsi" w:cstheme="minorHAnsi"/>
                <w:caps/>
                <w:sz w:val="22"/>
                <w:lang w:val="en-US" w:eastAsia="zh-CN"/>
              </w:rPr>
            </w:pPr>
            <w:r>
              <w:rPr>
                <w:rFonts w:asciiTheme="minorHAnsi" w:hAnsiTheme="minorHAnsi" w:cstheme="minorHAnsi"/>
                <w:caps/>
                <w:sz w:val="22"/>
                <w:lang w:val="en-US" w:eastAsia="zh-CN"/>
              </w:rPr>
              <w:t>Y</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European Telecommunications Satellite Organisation</w:t>
            </w:r>
          </w:p>
        </w:tc>
        <w:tc>
          <w:tcPr>
            <w:tcW w:w="1134" w:type="dxa"/>
            <w:tcBorders>
              <w:top w:val="single" w:sz="4" w:space="0" w:color="auto"/>
              <w:left w:val="single" w:sz="4" w:space="0" w:color="auto"/>
              <w:bottom w:val="single" w:sz="4" w:space="0" w:color="auto"/>
              <w:right w:val="single" w:sz="4" w:space="0" w:color="auto"/>
            </w:tcBorders>
            <w:hideMark/>
          </w:tcPr>
          <w:p w:rsidR="008E6960" w:rsidRPr="00617A0C" w:rsidRDefault="008E6960" w:rsidP="00946EDD">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8E6960" w:rsidRPr="00617A0C" w:rsidRDefault="008E6960" w:rsidP="00946EDD">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617A0C" w:rsidRDefault="008E6960" w:rsidP="00946EDD">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8E6960" w:rsidRPr="00617A0C" w:rsidRDefault="008E6960" w:rsidP="00946EDD">
            <w:pPr>
              <w:tabs>
                <w:tab w:val="clear" w:pos="567"/>
                <w:tab w:val="left" w:pos="720"/>
              </w:tabs>
              <w:overflowPunct/>
              <w:autoSpaceDE/>
              <w:adjustRightInd/>
              <w:spacing w:before="0"/>
              <w:jc w:val="center"/>
              <w:rPr>
                <w:rFonts w:asciiTheme="minorHAnsi" w:hAnsiTheme="minorHAnsi" w:cstheme="minorHAnsi"/>
                <w:caps/>
                <w:sz w:val="22"/>
                <w:lang w:val="en-US" w:eastAsia="zh-CN"/>
              </w:rPr>
            </w:pPr>
            <w:r>
              <w:rPr>
                <w:rFonts w:asciiTheme="minorHAnsi" w:hAnsiTheme="minorHAnsi" w:cstheme="minorHAnsi"/>
                <w:caps/>
                <w:sz w:val="22"/>
                <w:lang w:val="en-US" w:eastAsia="zh-CN"/>
              </w:rPr>
              <w:t>Y</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European Telecommunications Standards Institute</w:t>
            </w:r>
          </w:p>
        </w:tc>
        <w:tc>
          <w:tcPr>
            <w:tcW w:w="1134" w:type="dxa"/>
            <w:tcBorders>
              <w:top w:val="single" w:sz="4" w:space="0" w:color="auto"/>
              <w:left w:val="single" w:sz="4" w:space="0" w:color="auto"/>
              <w:bottom w:val="single" w:sz="4" w:space="0" w:color="auto"/>
              <w:right w:val="single" w:sz="4" w:space="0" w:color="auto"/>
            </w:tcBorders>
            <w:hideMark/>
          </w:tcPr>
          <w:p w:rsidR="008E6960" w:rsidRPr="00617A0C" w:rsidRDefault="008E6960" w:rsidP="00946EDD">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8E6960" w:rsidRPr="00617A0C" w:rsidRDefault="008E6960" w:rsidP="00946EDD">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617A0C" w:rsidRDefault="008E6960" w:rsidP="00946EDD">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8E6960" w:rsidRPr="00617A0C" w:rsidRDefault="008E6960" w:rsidP="00946EDD">
            <w:pPr>
              <w:tabs>
                <w:tab w:val="clear" w:pos="567"/>
                <w:tab w:val="left" w:pos="720"/>
              </w:tabs>
              <w:overflowPunct/>
              <w:autoSpaceDE/>
              <w:adjustRightInd/>
              <w:spacing w:before="0"/>
              <w:jc w:val="center"/>
              <w:rPr>
                <w:rFonts w:asciiTheme="minorHAnsi" w:hAnsiTheme="minorHAnsi" w:cstheme="minorHAnsi"/>
                <w:caps/>
                <w:sz w:val="22"/>
                <w:lang w:val="en-US" w:eastAsia="zh-CN"/>
              </w:rPr>
            </w:pPr>
            <w:r>
              <w:rPr>
                <w:rFonts w:asciiTheme="minorHAnsi" w:hAnsiTheme="minorHAnsi" w:cstheme="minorHAnsi"/>
                <w:caps/>
                <w:sz w:val="22"/>
                <w:lang w:val="en-US" w:eastAsia="zh-CN"/>
              </w:rPr>
              <w:t>N</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FTTH Council Asia-Pacific</w:t>
            </w:r>
          </w:p>
        </w:tc>
        <w:tc>
          <w:tcPr>
            <w:tcW w:w="1134" w:type="dxa"/>
            <w:tcBorders>
              <w:top w:val="single" w:sz="4" w:space="0" w:color="auto"/>
              <w:left w:val="single" w:sz="4" w:space="0" w:color="auto"/>
              <w:bottom w:val="single" w:sz="4" w:space="0" w:color="auto"/>
              <w:right w:val="single" w:sz="4" w:space="0" w:color="auto"/>
            </w:tcBorders>
            <w:hideMark/>
          </w:tcPr>
          <w:p w:rsidR="008E6960" w:rsidRPr="00617A0C" w:rsidRDefault="008E6960" w:rsidP="00946EDD">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hideMark/>
          </w:tcPr>
          <w:p w:rsidR="008E6960" w:rsidRPr="00617A0C" w:rsidRDefault="008E6960" w:rsidP="00946EDD">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617A0C" w:rsidRDefault="008E6960" w:rsidP="00946EDD">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8E6960" w:rsidRPr="00617A0C" w:rsidRDefault="008E6960" w:rsidP="00946EDD">
            <w:pPr>
              <w:tabs>
                <w:tab w:val="clear" w:pos="567"/>
                <w:tab w:val="left" w:pos="720"/>
              </w:tabs>
              <w:overflowPunct/>
              <w:autoSpaceDE/>
              <w:adjustRightInd/>
              <w:spacing w:before="0"/>
              <w:jc w:val="center"/>
              <w:rPr>
                <w:rFonts w:asciiTheme="minorHAnsi" w:hAnsiTheme="minorHAnsi" w:cstheme="minorHAnsi"/>
                <w:caps/>
                <w:sz w:val="22"/>
                <w:lang w:val="en-US" w:eastAsia="zh-CN"/>
              </w:rPr>
            </w:pPr>
            <w:r>
              <w:rPr>
                <w:rFonts w:asciiTheme="minorHAnsi" w:hAnsiTheme="minorHAnsi" w:cstheme="minorHAnsi"/>
                <w:caps/>
                <w:sz w:val="22"/>
                <w:lang w:val="en-US" w:eastAsia="zh-CN"/>
              </w:rPr>
              <w:t>Y</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Fibre to the Home Council Middle East &amp; North Africa (FTTH MENA)</w:t>
            </w:r>
          </w:p>
        </w:tc>
        <w:tc>
          <w:tcPr>
            <w:tcW w:w="1134" w:type="dxa"/>
            <w:tcBorders>
              <w:top w:val="single" w:sz="4" w:space="0" w:color="auto"/>
              <w:left w:val="single" w:sz="4" w:space="0" w:color="auto"/>
              <w:bottom w:val="single" w:sz="4" w:space="0" w:color="auto"/>
              <w:right w:val="single" w:sz="4" w:space="0" w:color="auto"/>
            </w:tcBorders>
            <w:hideMark/>
          </w:tcPr>
          <w:p w:rsidR="008E6960" w:rsidRPr="00617A0C" w:rsidRDefault="008E6960" w:rsidP="00946EDD">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hideMark/>
          </w:tcPr>
          <w:p w:rsidR="008E6960" w:rsidRPr="00617A0C" w:rsidRDefault="008E6960" w:rsidP="00946EDD">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617A0C" w:rsidRDefault="008E6960" w:rsidP="00946EDD">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8E6960" w:rsidRPr="00617A0C" w:rsidRDefault="008E6960" w:rsidP="00946EDD">
            <w:pPr>
              <w:tabs>
                <w:tab w:val="clear" w:pos="567"/>
                <w:tab w:val="left" w:pos="720"/>
              </w:tabs>
              <w:overflowPunct/>
              <w:autoSpaceDE/>
              <w:adjustRightInd/>
              <w:spacing w:before="0"/>
              <w:jc w:val="center"/>
              <w:rPr>
                <w:rFonts w:asciiTheme="minorHAnsi" w:hAnsiTheme="minorHAnsi" w:cstheme="minorHAnsi"/>
                <w:caps/>
                <w:sz w:val="22"/>
                <w:lang w:val="en-US" w:eastAsia="zh-CN"/>
              </w:rPr>
            </w:pPr>
            <w:r>
              <w:rPr>
                <w:rFonts w:asciiTheme="minorHAnsi" w:hAnsiTheme="minorHAnsi" w:cstheme="minorHAnsi"/>
                <w:caps/>
                <w:sz w:val="22"/>
                <w:lang w:val="en-US" w:eastAsia="zh-CN"/>
              </w:rPr>
              <w:t>Y</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Forum of Incident Response and Security Teams (FIRST)</w:t>
            </w:r>
          </w:p>
        </w:tc>
        <w:tc>
          <w:tcPr>
            <w:tcW w:w="1134" w:type="dxa"/>
            <w:tcBorders>
              <w:top w:val="single" w:sz="4" w:space="0" w:color="auto"/>
              <w:left w:val="single" w:sz="4" w:space="0" w:color="auto"/>
              <w:bottom w:val="single" w:sz="4" w:space="0" w:color="auto"/>
              <w:right w:val="single" w:sz="4" w:space="0" w:color="auto"/>
            </w:tcBorders>
            <w:hideMark/>
          </w:tcPr>
          <w:p w:rsidR="008E6960" w:rsidRPr="00617A0C" w:rsidRDefault="008E6960" w:rsidP="00946EDD">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hideMark/>
          </w:tcPr>
          <w:p w:rsidR="008E6960" w:rsidRPr="00617A0C" w:rsidRDefault="008E6960" w:rsidP="00946EDD">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617A0C" w:rsidRDefault="008E6960" w:rsidP="00946EDD">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8E6960" w:rsidRPr="00617A0C" w:rsidRDefault="008E6960" w:rsidP="00946EDD">
            <w:pPr>
              <w:tabs>
                <w:tab w:val="clear" w:pos="567"/>
                <w:tab w:val="left" w:pos="720"/>
              </w:tabs>
              <w:overflowPunct/>
              <w:autoSpaceDE/>
              <w:adjustRightInd/>
              <w:spacing w:before="0"/>
              <w:jc w:val="center"/>
              <w:rPr>
                <w:rFonts w:asciiTheme="minorHAnsi" w:hAnsiTheme="minorHAnsi" w:cstheme="minorHAnsi"/>
                <w:caps/>
                <w:sz w:val="22"/>
                <w:lang w:val="en-US" w:eastAsia="zh-CN"/>
              </w:rPr>
            </w:pPr>
            <w:r>
              <w:rPr>
                <w:rFonts w:asciiTheme="minorHAnsi" w:hAnsiTheme="minorHAnsi" w:cstheme="minorHAnsi"/>
                <w:caps/>
                <w:sz w:val="22"/>
                <w:lang w:val="en-US" w:eastAsia="zh-CN"/>
              </w:rPr>
              <w:t>Y</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G3ict - Global Initiative for Inclusive Information and Communication Technologies</w:t>
            </w:r>
          </w:p>
        </w:tc>
        <w:tc>
          <w:tcPr>
            <w:tcW w:w="1134" w:type="dxa"/>
            <w:tcBorders>
              <w:top w:val="single" w:sz="4" w:space="0" w:color="auto"/>
              <w:left w:val="single" w:sz="4" w:space="0" w:color="auto"/>
              <w:bottom w:val="single" w:sz="4" w:space="0" w:color="auto"/>
              <w:right w:val="single" w:sz="4" w:space="0" w:color="auto"/>
            </w:tcBorders>
            <w:hideMark/>
          </w:tcPr>
          <w:p w:rsidR="008E6960" w:rsidRPr="00617A0C" w:rsidRDefault="008E6960" w:rsidP="00946EDD">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hideMark/>
          </w:tcPr>
          <w:p w:rsidR="008E6960" w:rsidRPr="00617A0C" w:rsidRDefault="008E6960" w:rsidP="00946EDD">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617A0C" w:rsidRDefault="008E6960" w:rsidP="00946EDD">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8E6960" w:rsidRPr="00617A0C" w:rsidRDefault="008E6960" w:rsidP="00946EDD">
            <w:pPr>
              <w:tabs>
                <w:tab w:val="clear" w:pos="567"/>
                <w:tab w:val="left" w:pos="720"/>
              </w:tabs>
              <w:overflowPunct/>
              <w:autoSpaceDE/>
              <w:adjustRightInd/>
              <w:spacing w:before="0"/>
              <w:jc w:val="center"/>
              <w:rPr>
                <w:rFonts w:asciiTheme="minorHAnsi" w:hAnsiTheme="minorHAnsi" w:cstheme="minorHAnsi"/>
                <w:caps/>
                <w:sz w:val="22"/>
                <w:lang w:val="en-US" w:eastAsia="zh-CN"/>
              </w:rPr>
            </w:pPr>
            <w:r>
              <w:rPr>
                <w:rFonts w:asciiTheme="minorHAnsi" w:hAnsiTheme="minorHAnsi" w:cstheme="minorHAnsi"/>
                <w:caps/>
                <w:sz w:val="22"/>
                <w:lang w:val="en-US" w:eastAsia="zh-CN"/>
              </w:rPr>
              <w:t>Y</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Global Knowledge Partnership Foundation</w:t>
            </w:r>
          </w:p>
        </w:tc>
        <w:tc>
          <w:tcPr>
            <w:tcW w:w="1134" w:type="dxa"/>
            <w:tcBorders>
              <w:top w:val="single" w:sz="4" w:space="0" w:color="auto"/>
              <w:left w:val="single" w:sz="4" w:space="0" w:color="auto"/>
              <w:bottom w:val="single" w:sz="4" w:space="0" w:color="auto"/>
              <w:right w:val="single" w:sz="4" w:space="0" w:color="auto"/>
            </w:tcBorders>
            <w:hideMark/>
          </w:tcPr>
          <w:p w:rsidR="008E6960" w:rsidRPr="00617A0C" w:rsidRDefault="008E6960" w:rsidP="00946EDD">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hideMark/>
          </w:tcPr>
          <w:p w:rsidR="008E6960" w:rsidRPr="00617A0C" w:rsidRDefault="008E6960" w:rsidP="00946EDD">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617A0C" w:rsidRDefault="008E6960" w:rsidP="00946EDD">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8E6960" w:rsidRPr="00617A0C" w:rsidRDefault="008E6960" w:rsidP="00946EDD">
            <w:pPr>
              <w:tabs>
                <w:tab w:val="clear" w:pos="567"/>
                <w:tab w:val="left" w:pos="720"/>
              </w:tabs>
              <w:overflowPunct/>
              <w:autoSpaceDE/>
              <w:adjustRightInd/>
              <w:spacing w:before="0"/>
              <w:jc w:val="center"/>
              <w:rPr>
                <w:rFonts w:asciiTheme="minorHAnsi" w:hAnsiTheme="minorHAnsi" w:cstheme="minorHAnsi"/>
                <w:caps/>
                <w:sz w:val="22"/>
                <w:lang w:val="en-US" w:eastAsia="zh-CN"/>
              </w:rPr>
            </w:pPr>
            <w:r>
              <w:rPr>
                <w:rFonts w:asciiTheme="minorHAnsi" w:hAnsiTheme="minorHAnsi" w:cstheme="minorHAnsi"/>
                <w:caps/>
                <w:sz w:val="22"/>
                <w:lang w:val="en-US" w:eastAsia="zh-CN"/>
              </w:rPr>
              <w:t>N</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Global VSAT Forum</w:t>
            </w:r>
          </w:p>
        </w:tc>
        <w:tc>
          <w:tcPr>
            <w:tcW w:w="1134" w:type="dxa"/>
            <w:tcBorders>
              <w:top w:val="single" w:sz="4" w:space="0" w:color="auto"/>
              <w:left w:val="single" w:sz="4" w:space="0" w:color="auto"/>
              <w:bottom w:val="single" w:sz="4" w:space="0" w:color="auto"/>
              <w:right w:val="single" w:sz="4" w:space="0" w:color="auto"/>
            </w:tcBorders>
            <w:hideMark/>
          </w:tcPr>
          <w:p w:rsidR="008E6960" w:rsidRPr="00617A0C" w:rsidRDefault="008E6960" w:rsidP="00946EDD">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hideMark/>
          </w:tcPr>
          <w:p w:rsidR="008E6960" w:rsidRPr="00617A0C" w:rsidRDefault="008E6960" w:rsidP="00946EDD">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617A0C" w:rsidRDefault="008E6960" w:rsidP="00946EDD">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8E6960" w:rsidRPr="00617A0C" w:rsidRDefault="008E6960" w:rsidP="00946EDD">
            <w:pPr>
              <w:tabs>
                <w:tab w:val="clear" w:pos="567"/>
                <w:tab w:val="left" w:pos="720"/>
              </w:tabs>
              <w:overflowPunct/>
              <w:autoSpaceDE/>
              <w:adjustRightInd/>
              <w:spacing w:before="0"/>
              <w:jc w:val="center"/>
              <w:rPr>
                <w:rFonts w:asciiTheme="minorHAnsi" w:hAnsiTheme="minorHAnsi" w:cstheme="minorHAnsi"/>
                <w:caps/>
                <w:sz w:val="22"/>
                <w:lang w:val="en-US" w:eastAsia="zh-CN"/>
              </w:rPr>
            </w:pPr>
            <w:r>
              <w:rPr>
                <w:rFonts w:asciiTheme="minorHAnsi" w:hAnsiTheme="minorHAnsi" w:cstheme="minorHAnsi"/>
                <w:caps/>
                <w:sz w:val="22"/>
                <w:lang w:val="en-US" w:eastAsia="zh-CN"/>
              </w:rPr>
              <w:t>Y</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Gobal ICT Standardization Forum for India (GISFI)</w:t>
            </w:r>
          </w:p>
        </w:tc>
        <w:tc>
          <w:tcPr>
            <w:tcW w:w="1134" w:type="dxa"/>
            <w:tcBorders>
              <w:top w:val="single" w:sz="4" w:space="0" w:color="auto"/>
              <w:left w:val="single" w:sz="4" w:space="0" w:color="auto"/>
              <w:bottom w:val="single" w:sz="4" w:space="0" w:color="auto"/>
              <w:right w:val="single" w:sz="4" w:space="0" w:color="auto"/>
            </w:tcBorders>
            <w:hideMark/>
          </w:tcPr>
          <w:p w:rsidR="008E6960" w:rsidRPr="00617A0C" w:rsidRDefault="008E6960" w:rsidP="00946EDD">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hideMark/>
          </w:tcPr>
          <w:p w:rsidR="008E6960" w:rsidRPr="00617A0C" w:rsidRDefault="008E6960" w:rsidP="00946EDD">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617A0C" w:rsidRDefault="008E6960" w:rsidP="00946EDD">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tcPr>
          <w:p w:rsidR="008E6960" w:rsidRPr="00617A0C" w:rsidRDefault="008E6960" w:rsidP="00946EDD">
            <w:pPr>
              <w:tabs>
                <w:tab w:val="clear" w:pos="567"/>
                <w:tab w:val="left" w:pos="720"/>
              </w:tabs>
              <w:overflowPunct/>
              <w:autoSpaceDE/>
              <w:adjustRightInd/>
              <w:spacing w:before="0"/>
              <w:jc w:val="center"/>
              <w:rPr>
                <w:rFonts w:asciiTheme="minorHAnsi" w:hAnsiTheme="minorHAnsi" w:cstheme="minorHAnsi"/>
                <w:caps/>
                <w:sz w:val="22"/>
                <w:lang w:val="en-US" w:eastAsia="zh-CN"/>
              </w:rPr>
            </w:pPr>
            <w:r>
              <w:rPr>
                <w:rFonts w:asciiTheme="minorHAnsi" w:hAnsiTheme="minorHAnsi" w:cstheme="minorHAnsi"/>
                <w:caps/>
                <w:sz w:val="22"/>
                <w:lang w:val="en-US" w:eastAsia="zh-CN"/>
              </w:rPr>
              <w:t>Y</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High Frequency Co-ordination Conference</w:t>
            </w:r>
          </w:p>
        </w:tc>
        <w:tc>
          <w:tcPr>
            <w:tcW w:w="1134" w:type="dxa"/>
            <w:tcBorders>
              <w:top w:val="single" w:sz="4" w:space="0" w:color="auto"/>
              <w:left w:val="single" w:sz="4" w:space="0" w:color="auto"/>
              <w:bottom w:val="single" w:sz="4" w:space="0" w:color="auto"/>
              <w:right w:val="single" w:sz="4" w:space="0" w:color="auto"/>
            </w:tcBorders>
            <w:hideMark/>
          </w:tcPr>
          <w:p w:rsidR="008E6960" w:rsidRPr="00617A0C" w:rsidRDefault="008E6960" w:rsidP="00946EDD">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8E6960" w:rsidRPr="00617A0C" w:rsidRDefault="008E6960" w:rsidP="00946EDD">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617A0C" w:rsidRDefault="008E6960" w:rsidP="00946EDD">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tcPr>
          <w:p w:rsidR="008E6960" w:rsidRPr="00617A0C" w:rsidRDefault="008E6960" w:rsidP="00946EDD">
            <w:pPr>
              <w:tabs>
                <w:tab w:val="clear" w:pos="567"/>
                <w:tab w:val="left" w:pos="720"/>
              </w:tabs>
              <w:overflowPunct/>
              <w:autoSpaceDE/>
              <w:adjustRightInd/>
              <w:spacing w:before="0"/>
              <w:jc w:val="center"/>
              <w:rPr>
                <w:rFonts w:asciiTheme="minorHAnsi" w:hAnsiTheme="minorHAnsi" w:cstheme="minorHAnsi"/>
                <w:caps/>
                <w:sz w:val="22"/>
                <w:lang w:val="en-US" w:eastAsia="zh-CN"/>
              </w:rPr>
            </w:pPr>
            <w:r>
              <w:rPr>
                <w:rFonts w:asciiTheme="minorHAnsi" w:hAnsiTheme="minorHAnsi" w:cstheme="minorHAnsi"/>
                <w:caps/>
                <w:sz w:val="22"/>
                <w:lang w:val="en-US" w:eastAsia="zh-CN"/>
              </w:rPr>
              <w:t>Y</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IJMA3-The Arab ICT Organization</w:t>
            </w:r>
          </w:p>
        </w:tc>
        <w:tc>
          <w:tcPr>
            <w:tcW w:w="1134" w:type="dxa"/>
            <w:tcBorders>
              <w:top w:val="single" w:sz="4" w:space="0" w:color="auto"/>
              <w:left w:val="single" w:sz="4" w:space="0" w:color="auto"/>
              <w:bottom w:val="single" w:sz="4" w:space="0" w:color="auto"/>
              <w:right w:val="single" w:sz="4" w:space="0" w:color="auto"/>
            </w:tcBorders>
            <w:hideMark/>
          </w:tcPr>
          <w:p w:rsidR="008E6960" w:rsidRPr="00617A0C" w:rsidRDefault="008E6960" w:rsidP="00946EDD">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hideMark/>
          </w:tcPr>
          <w:p w:rsidR="008E6960" w:rsidRPr="00617A0C" w:rsidRDefault="008E6960" w:rsidP="00946EDD">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617A0C" w:rsidRDefault="008E6960" w:rsidP="00946EDD">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8E6960" w:rsidRPr="00617A0C" w:rsidRDefault="008E6960" w:rsidP="00946EDD">
            <w:pPr>
              <w:tabs>
                <w:tab w:val="clear" w:pos="567"/>
                <w:tab w:val="left" w:pos="720"/>
              </w:tabs>
              <w:overflowPunct/>
              <w:autoSpaceDE/>
              <w:adjustRightInd/>
              <w:spacing w:before="0"/>
              <w:jc w:val="center"/>
              <w:rPr>
                <w:rFonts w:asciiTheme="minorHAnsi" w:hAnsiTheme="minorHAnsi" w:cstheme="minorHAnsi"/>
                <w:caps/>
                <w:sz w:val="22"/>
                <w:lang w:val="en-US" w:eastAsia="zh-CN"/>
              </w:rPr>
            </w:pPr>
            <w:r>
              <w:rPr>
                <w:rFonts w:asciiTheme="minorHAnsi" w:hAnsiTheme="minorHAnsi" w:cstheme="minorHAnsi"/>
                <w:caps/>
                <w:sz w:val="22"/>
                <w:lang w:val="en-US" w:eastAsia="zh-CN"/>
              </w:rPr>
              <w:t>N</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ITU-APT Foundation of India</w:t>
            </w:r>
          </w:p>
        </w:tc>
        <w:tc>
          <w:tcPr>
            <w:tcW w:w="1134" w:type="dxa"/>
            <w:tcBorders>
              <w:top w:val="single" w:sz="4" w:space="0" w:color="auto"/>
              <w:left w:val="single" w:sz="4" w:space="0" w:color="auto"/>
              <w:bottom w:val="single" w:sz="4" w:space="0" w:color="auto"/>
              <w:right w:val="single" w:sz="4" w:space="0" w:color="auto"/>
            </w:tcBorders>
            <w:hideMark/>
          </w:tcPr>
          <w:p w:rsidR="008E6960" w:rsidRPr="00617A0C" w:rsidRDefault="008E6960" w:rsidP="00946EDD">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hideMark/>
          </w:tcPr>
          <w:p w:rsidR="008E6960" w:rsidRPr="00617A0C" w:rsidRDefault="008E6960" w:rsidP="00946EDD">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617A0C" w:rsidRDefault="008E6960" w:rsidP="00946EDD">
            <w:pPr>
              <w:tabs>
                <w:tab w:val="clear" w:pos="567"/>
                <w:tab w:val="left" w:pos="720"/>
              </w:tabs>
              <w:overflowPunct/>
              <w:autoSpaceDE/>
              <w:adjustRightInd/>
              <w:spacing w:before="0"/>
              <w:jc w:val="center"/>
              <w:rPr>
                <w:rFonts w:asciiTheme="minorHAnsi" w:hAnsiTheme="minorHAnsi" w:cstheme="minorHAnsi"/>
                <w:caps/>
                <w:sz w:val="22"/>
                <w:lang w:val="en-US" w:eastAsia="zh-CN"/>
              </w:rPr>
            </w:pPr>
            <w:r w:rsidRPr="00617A0C">
              <w:rPr>
                <w:rFonts w:asciiTheme="minorHAnsi" w:hAnsiTheme="minorHAnsi" w:cstheme="minorHAnsi"/>
                <w:caps/>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8E6960" w:rsidRPr="00617A0C" w:rsidRDefault="008E6960" w:rsidP="00946EDD">
            <w:pPr>
              <w:tabs>
                <w:tab w:val="clear" w:pos="567"/>
                <w:tab w:val="left" w:pos="720"/>
              </w:tabs>
              <w:overflowPunct/>
              <w:autoSpaceDE/>
              <w:adjustRightInd/>
              <w:spacing w:before="0"/>
              <w:jc w:val="center"/>
              <w:rPr>
                <w:rFonts w:asciiTheme="minorHAnsi" w:hAnsiTheme="minorHAnsi" w:cstheme="minorHAnsi"/>
                <w:caps/>
                <w:sz w:val="22"/>
                <w:lang w:val="en-US" w:eastAsia="zh-CN"/>
              </w:rPr>
            </w:pPr>
            <w:r>
              <w:rPr>
                <w:rFonts w:asciiTheme="minorHAnsi" w:hAnsiTheme="minorHAnsi" w:cstheme="minorHAnsi"/>
                <w:caps/>
                <w:sz w:val="22"/>
                <w:lang w:val="en-US" w:eastAsia="zh-CN"/>
              </w:rPr>
              <w:t>Y</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Indigenous Peoples ICT Task Force</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N</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Institute of Electrical and Electronics Engineers, Inc.</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bl>
    <w:p w:rsidR="008E6960" w:rsidRPr="000F233D" w:rsidRDefault="008E6960" w:rsidP="008E6960">
      <w:pPr>
        <w:rPr>
          <w:rFonts w:asciiTheme="minorHAnsi" w:hAnsiTheme="minorHAnsi"/>
        </w:rPr>
      </w:pPr>
      <w:r w:rsidRPr="000F233D">
        <w:rPr>
          <w:rFonts w:asciiTheme="minorHAnsi" w:hAnsiTheme="minorHAnsi"/>
        </w:rPr>
        <w:br w:type="page"/>
      </w:r>
    </w:p>
    <w:tbl>
      <w:tblPr>
        <w:tblStyle w:val="TableGrid"/>
        <w:tblW w:w="0" w:type="auto"/>
        <w:jc w:val="center"/>
        <w:tblLayout w:type="fixed"/>
        <w:tblLook w:val="04A0" w:firstRow="1" w:lastRow="0" w:firstColumn="1" w:lastColumn="0" w:noHBand="0" w:noVBand="1"/>
      </w:tblPr>
      <w:tblGrid>
        <w:gridCol w:w="5353"/>
        <w:gridCol w:w="1134"/>
        <w:gridCol w:w="1134"/>
        <w:gridCol w:w="1134"/>
        <w:gridCol w:w="1134"/>
      </w:tblGrid>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b/>
                <w:bCs/>
                <w:sz w:val="22"/>
                <w:lang w:val="en-US" w:eastAsia="zh-CN"/>
              </w:rPr>
            </w:pPr>
            <w:r w:rsidRPr="000F233D">
              <w:rPr>
                <w:rFonts w:asciiTheme="minorHAnsi" w:hAnsiTheme="minorHAnsi" w:cstheme="minorHAnsi"/>
                <w:b/>
                <w:bCs/>
                <w:sz w:val="22"/>
                <w:lang w:val="en-US" w:eastAsia="zh-CN"/>
              </w:rPr>
              <w:lastRenderedPageBreak/>
              <w:t>ENTITY</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b/>
                <w:bCs/>
                <w:sz w:val="22"/>
                <w:lang w:val="en-US" w:eastAsia="zh-CN"/>
              </w:rPr>
            </w:pPr>
            <w:r w:rsidRPr="000F233D">
              <w:rPr>
                <w:rFonts w:asciiTheme="minorHAnsi" w:hAnsiTheme="minorHAnsi" w:cstheme="minorHAnsi"/>
                <w:b/>
                <w:bCs/>
                <w:sz w:val="22"/>
                <w:lang w:val="en-US" w:eastAsia="zh-CN"/>
              </w:rPr>
              <w:t>ITU-R</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b/>
                <w:bCs/>
                <w:sz w:val="22"/>
                <w:lang w:val="en-US" w:eastAsia="zh-CN"/>
              </w:rPr>
            </w:pPr>
            <w:r w:rsidRPr="000F233D">
              <w:rPr>
                <w:rFonts w:asciiTheme="minorHAnsi" w:hAnsiTheme="minorHAnsi" w:cstheme="minorHAnsi"/>
                <w:b/>
                <w:bCs/>
                <w:sz w:val="22"/>
                <w:lang w:val="en-US" w:eastAsia="zh-CN"/>
              </w:rPr>
              <w:t>ITU-T</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b/>
                <w:bCs/>
                <w:sz w:val="22"/>
                <w:lang w:val="en-US" w:eastAsia="zh-CN"/>
              </w:rPr>
            </w:pPr>
            <w:r w:rsidRPr="000F233D">
              <w:rPr>
                <w:rFonts w:asciiTheme="minorHAnsi" w:hAnsiTheme="minorHAnsi" w:cstheme="minorHAnsi"/>
                <w:b/>
                <w:bCs/>
                <w:sz w:val="22"/>
                <w:lang w:val="en-US" w:eastAsia="zh-CN"/>
              </w:rPr>
              <w:t>ITU-D</w:t>
            </w:r>
          </w:p>
        </w:tc>
        <w:tc>
          <w:tcPr>
            <w:tcW w:w="1134" w:type="dxa"/>
            <w:tcBorders>
              <w:top w:val="single" w:sz="4" w:space="0" w:color="auto"/>
              <w:left w:val="single" w:sz="4" w:space="0" w:color="auto"/>
              <w:bottom w:val="single" w:sz="4" w:space="0" w:color="auto"/>
              <w:right w:val="single" w:sz="4" w:space="0" w:color="auto"/>
            </w:tcBorders>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b/>
                <w:bCs/>
                <w:sz w:val="22"/>
                <w:lang w:val="en-US" w:eastAsia="zh-CN"/>
              </w:rPr>
            </w:pPr>
            <w:r>
              <w:rPr>
                <w:rFonts w:asciiTheme="minorHAnsi" w:hAnsiTheme="minorHAnsi" w:cstheme="minorHAnsi"/>
                <w:b/>
                <w:bCs/>
                <w:sz w:val="22"/>
                <w:lang w:val="en-US" w:eastAsia="zh-CN"/>
              </w:rPr>
              <w:t>Survey response</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Inter-American Telecommunication Commission</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N</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International Air Transport Association</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International Amateur Radio Union</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International Association of Broadcasting</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International Association of IT Lawyers (IAITL)</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International Association of Marine Aids to Navigation and Lighthouse Authorities</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International Astronautical Federation</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International Astronomical Union</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International Bureau of Weights and Measures</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International Center for Disability Resources on the Internet (ICDRI)</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International Center for Promotion of Enterprises</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International Committee of the Red Cross</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International Council for Science</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N</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International Council on Large Electric Systems</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N</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International Electrotechnical Commission</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N</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International Federation for Information Processing</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International Maritime Radio Association</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International Mobile Satellite Organization</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International Organization for Standardization</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N</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International Satellite System for Search and Rescue</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International Special Committee on Radio Interference</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International Telecommunication Academy</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A13</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A2</w:t>
            </w:r>
          </w:p>
        </w:tc>
        <w:tc>
          <w:tcPr>
            <w:tcW w:w="1134" w:type="dxa"/>
            <w:tcBorders>
              <w:top w:val="single" w:sz="4" w:space="0" w:color="auto"/>
              <w:left w:val="single" w:sz="4" w:space="0" w:color="auto"/>
              <w:bottom w:val="single" w:sz="4" w:space="0" w:color="auto"/>
              <w:right w:val="single" w:sz="4" w:space="0" w:color="auto"/>
            </w:tcBorders>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International Telecommunications Satellite Organization</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International Telecommunications Users Group</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International Union of Radio Science</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Internet Society</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Internet Systems Consortium</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N</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League of Arab States</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Mandat International</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NetHope Inc</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North American Broadcasters Association (NABA)</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Open Geospatial Consortium (OGC)</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Pacific Islands Telecommunications Association</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Regional African Satellite Communications Organization</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Regional Commonwealth in the Field of Communications</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Scientific Committee on Frequency Allocations for Radio Astronomy and Space Science</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Sintesio Foundation</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N</w:t>
            </w:r>
          </w:p>
        </w:tc>
      </w:tr>
    </w:tbl>
    <w:p w:rsidR="008E6960" w:rsidRPr="000F233D" w:rsidRDefault="008E6960" w:rsidP="008E6960">
      <w:pPr>
        <w:rPr>
          <w:rFonts w:asciiTheme="minorHAnsi" w:hAnsiTheme="minorHAnsi"/>
        </w:rPr>
      </w:pPr>
      <w:r w:rsidRPr="000F233D">
        <w:rPr>
          <w:rFonts w:asciiTheme="minorHAnsi" w:hAnsiTheme="minorHAnsi"/>
        </w:rPr>
        <w:br w:type="page"/>
      </w:r>
    </w:p>
    <w:tbl>
      <w:tblPr>
        <w:tblStyle w:val="TableGrid"/>
        <w:tblW w:w="0" w:type="auto"/>
        <w:jc w:val="center"/>
        <w:tblLayout w:type="fixed"/>
        <w:tblLook w:val="04A0" w:firstRow="1" w:lastRow="0" w:firstColumn="1" w:lastColumn="0" w:noHBand="0" w:noVBand="1"/>
      </w:tblPr>
      <w:tblGrid>
        <w:gridCol w:w="5353"/>
        <w:gridCol w:w="1134"/>
        <w:gridCol w:w="1134"/>
        <w:gridCol w:w="1134"/>
        <w:gridCol w:w="1134"/>
      </w:tblGrid>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keepNext/>
              <w:tabs>
                <w:tab w:val="clear" w:pos="567"/>
                <w:tab w:val="left" w:pos="720"/>
              </w:tabs>
              <w:overflowPunct/>
              <w:autoSpaceDE/>
              <w:adjustRightInd/>
              <w:spacing w:before="0"/>
              <w:jc w:val="center"/>
              <w:rPr>
                <w:rFonts w:asciiTheme="minorHAnsi" w:hAnsiTheme="minorHAnsi" w:cstheme="minorHAnsi"/>
                <w:b/>
                <w:bCs/>
                <w:sz w:val="22"/>
                <w:lang w:val="en-US" w:eastAsia="zh-CN"/>
              </w:rPr>
            </w:pPr>
            <w:r w:rsidRPr="000F233D">
              <w:rPr>
                <w:rFonts w:asciiTheme="minorHAnsi" w:hAnsiTheme="minorHAnsi" w:cstheme="minorHAnsi"/>
                <w:b/>
                <w:bCs/>
                <w:sz w:val="22"/>
                <w:lang w:val="en-US" w:eastAsia="zh-CN"/>
              </w:rPr>
              <w:lastRenderedPageBreak/>
              <w:t>ENTITY</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keepNext/>
              <w:tabs>
                <w:tab w:val="clear" w:pos="567"/>
                <w:tab w:val="left" w:pos="720"/>
              </w:tabs>
              <w:overflowPunct/>
              <w:autoSpaceDE/>
              <w:adjustRightInd/>
              <w:spacing w:before="0"/>
              <w:jc w:val="center"/>
              <w:rPr>
                <w:rFonts w:asciiTheme="minorHAnsi" w:hAnsiTheme="minorHAnsi" w:cstheme="minorHAnsi"/>
                <w:b/>
                <w:bCs/>
                <w:sz w:val="22"/>
                <w:lang w:val="en-US" w:eastAsia="zh-CN"/>
              </w:rPr>
            </w:pPr>
            <w:r w:rsidRPr="000F233D">
              <w:rPr>
                <w:rFonts w:asciiTheme="minorHAnsi" w:hAnsiTheme="minorHAnsi" w:cstheme="minorHAnsi"/>
                <w:b/>
                <w:bCs/>
                <w:sz w:val="22"/>
                <w:lang w:val="en-US" w:eastAsia="zh-CN"/>
              </w:rPr>
              <w:t>ITU-R</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keepNext/>
              <w:tabs>
                <w:tab w:val="clear" w:pos="567"/>
                <w:tab w:val="left" w:pos="720"/>
              </w:tabs>
              <w:overflowPunct/>
              <w:autoSpaceDE/>
              <w:adjustRightInd/>
              <w:spacing w:before="0"/>
              <w:jc w:val="center"/>
              <w:rPr>
                <w:rFonts w:asciiTheme="minorHAnsi" w:hAnsiTheme="minorHAnsi" w:cstheme="minorHAnsi"/>
                <w:b/>
                <w:bCs/>
                <w:sz w:val="22"/>
                <w:lang w:val="en-US" w:eastAsia="zh-CN"/>
              </w:rPr>
            </w:pPr>
            <w:r w:rsidRPr="000F233D">
              <w:rPr>
                <w:rFonts w:asciiTheme="minorHAnsi" w:hAnsiTheme="minorHAnsi" w:cstheme="minorHAnsi"/>
                <w:b/>
                <w:bCs/>
                <w:sz w:val="22"/>
                <w:lang w:val="en-US" w:eastAsia="zh-CN"/>
              </w:rPr>
              <w:t>ITU-T</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keepNext/>
              <w:tabs>
                <w:tab w:val="clear" w:pos="567"/>
                <w:tab w:val="left" w:pos="720"/>
              </w:tabs>
              <w:overflowPunct/>
              <w:autoSpaceDE/>
              <w:adjustRightInd/>
              <w:spacing w:before="0"/>
              <w:jc w:val="center"/>
              <w:rPr>
                <w:rFonts w:asciiTheme="minorHAnsi" w:hAnsiTheme="minorHAnsi" w:cstheme="minorHAnsi"/>
                <w:b/>
                <w:bCs/>
                <w:sz w:val="22"/>
                <w:lang w:val="en-US" w:eastAsia="zh-CN"/>
              </w:rPr>
            </w:pPr>
            <w:r w:rsidRPr="000F233D">
              <w:rPr>
                <w:rFonts w:asciiTheme="minorHAnsi" w:hAnsiTheme="minorHAnsi" w:cstheme="minorHAnsi"/>
                <w:b/>
                <w:bCs/>
                <w:sz w:val="22"/>
                <w:lang w:val="en-US" w:eastAsia="zh-CN"/>
              </w:rPr>
              <w:t>ITU-D</w:t>
            </w:r>
          </w:p>
        </w:tc>
        <w:tc>
          <w:tcPr>
            <w:tcW w:w="1134" w:type="dxa"/>
            <w:tcBorders>
              <w:top w:val="single" w:sz="4" w:space="0" w:color="auto"/>
              <w:left w:val="single" w:sz="4" w:space="0" w:color="auto"/>
              <w:bottom w:val="single" w:sz="4" w:space="0" w:color="auto"/>
              <w:right w:val="single" w:sz="4" w:space="0" w:color="auto"/>
            </w:tcBorders>
          </w:tcPr>
          <w:p w:rsidR="008E6960" w:rsidRPr="000F233D" w:rsidRDefault="008E6960" w:rsidP="00946EDD">
            <w:pPr>
              <w:keepNext/>
              <w:tabs>
                <w:tab w:val="clear" w:pos="567"/>
                <w:tab w:val="left" w:pos="720"/>
              </w:tabs>
              <w:overflowPunct/>
              <w:autoSpaceDE/>
              <w:adjustRightInd/>
              <w:spacing w:before="0"/>
              <w:jc w:val="center"/>
              <w:rPr>
                <w:rFonts w:asciiTheme="minorHAnsi" w:hAnsiTheme="minorHAnsi" w:cstheme="minorHAnsi"/>
                <w:b/>
                <w:bCs/>
                <w:sz w:val="22"/>
                <w:lang w:val="en-US" w:eastAsia="zh-CN"/>
              </w:rPr>
            </w:pPr>
            <w:r>
              <w:rPr>
                <w:rFonts w:asciiTheme="minorHAnsi" w:hAnsiTheme="minorHAnsi" w:cstheme="minorHAnsi"/>
                <w:b/>
                <w:bCs/>
                <w:sz w:val="22"/>
                <w:lang w:val="en-US" w:eastAsia="zh-CN"/>
              </w:rPr>
              <w:t>Survey response</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keepNext/>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Society of Motion Picture and Television Engineers</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keepNext/>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keepNext/>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keepNext/>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tcPr>
          <w:p w:rsidR="008E6960" w:rsidRPr="000F233D" w:rsidRDefault="008E6960" w:rsidP="00946EDD">
            <w:pPr>
              <w:keepNext/>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Southern Africa Telecentre Networks</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Southern African Development Community</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N</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Telecentre.org Foundation</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N</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Telecommunications Regional Technical Commission</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The Abdus Salam International Centre for Theoretical Physics</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The Asia-Pacific Satellite Communications Council</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UMTS Forum</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N</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fr-CH" w:eastAsia="zh-CN"/>
              </w:rPr>
            </w:pPr>
            <w:r w:rsidRPr="000F233D">
              <w:rPr>
                <w:rFonts w:asciiTheme="minorHAnsi" w:hAnsiTheme="minorHAnsi" w:cstheme="minorHAnsi"/>
                <w:sz w:val="22"/>
                <w:lang w:val="fr-CH" w:eastAsia="zh-CN"/>
              </w:rPr>
              <w:t>Union Economique et Monétaire Ouest Africaine</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N</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United Kingdom Telecommunications Academy (UKTA)</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N</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WebForce International Federation</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West Africa Telecommunications Regulators Assembly</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keepNext/>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World Association of Community Radio Broadcasters</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keepNext/>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keepNext/>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keepNext/>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tcPr>
          <w:p w:rsidR="008E6960" w:rsidRPr="000F233D" w:rsidRDefault="008E6960" w:rsidP="00946EDD">
            <w:pPr>
              <w:keepNext/>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N</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World Broadcasting Unions - Technical Committee</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Y</w:t>
            </w:r>
          </w:p>
        </w:tc>
      </w:tr>
      <w:tr w:rsidR="008E6960" w:rsidRPr="000F233D" w:rsidTr="00946EDD">
        <w:trPr>
          <w:trHeight w:val="255"/>
          <w:jc w:val="center"/>
        </w:trPr>
        <w:tc>
          <w:tcPr>
            <w:tcW w:w="5353"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rPr>
                <w:rFonts w:asciiTheme="minorHAnsi" w:hAnsiTheme="minorHAnsi" w:cstheme="minorHAnsi"/>
                <w:sz w:val="22"/>
                <w:lang w:val="en-US" w:eastAsia="zh-CN"/>
              </w:rPr>
            </w:pPr>
            <w:r w:rsidRPr="000F233D">
              <w:rPr>
                <w:rFonts w:asciiTheme="minorHAnsi" w:hAnsiTheme="minorHAnsi" w:cstheme="minorHAnsi"/>
                <w:sz w:val="22"/>
                <w:lang w:val="en-US" w:eastAsia="zh-CN"/>
              </w:rPr>
              <w:t>World Forum for Digital Audio Broadcasting</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Y</w:t>
            </w:r>
          </w:p>
        </w:tc>
        <w:tc>
          <w:tcPr>
            <w:tcW w:w="1134" w:type="dxa"/>
            <w:tcBorders>
              <w:top w:val="single" w:sz="4" w:space="0" w:color="auto"/>
              <w:left w:val="single" w:sz="4" w:space="0" w:color="auto"/>
              <w:bottom w:val="single" w:sz="4" w:space="0" w:color="auto"/>
              <w:right w:val="single" w:sz="4" w:space="0" w:color="auto"/>
            </w:tcBorders>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noWrap/>
            <w:hideMark/>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sidRPr="000F233D">
              <w:rPr>
                <w:rFonts w:asciiTheme="minorHAnsi" w:hAnsiTheme="minorHAnsi" w:cstheme="minorHAnsi"/>
                <w:sz w:val="22"/>
                <w:lang w:val="en-US" w:eastAsia="zh-CN"/>
              </w:rPr>
              <w:t>N</w:t>
            </w:r>
          </w:p>
        </w:tc>
        <w:tc>
          <w:tcPr>
            <w:tcW w:w="1134" w:type="dxa"/>
            <w:tcBorders>
              <w:top w:val="single" w:sz="4" w:space="0" w:color="auto"/>
              <w:left w:val="single" w:sz="4" w:space="0" w:color="auto"/>
              <w:bottom w:val="single" w:sz="4" w:space="0" w:color="auto"/>
              <w:right w:val="single" w:sz="4" w:space="0" w:color="auto"/>
            </w:tcBorders>
          </w:tcPr>
          <w:p w:rsidR="008E6960" w:rsidRPr="000F233D" w:rsidRDefault="008E6960" w:rsidP="00946EDD">
            <w:pPr>
              <w:tabs>
                <w:tab w:val="clear" w:pos="567"/>
                <w:tab w:val="left" w:pos="720"/>
              </w:tabs>
              <w:overflowPunct/>
              <w:autoSpaceDE/>
              <w:adjustRightInd/>
              <w:spacing w:before="0"/>
              <w:jc w:val="center"/>
              <w:rPr>
                <w:rFonts w:asciiTheme="minorHAnsi" w:hAnsiTheme="minorHAnsi" w:cstheme="minorHAnsi"/>
                <w:sz w:val="22"/>
                <w:lang w:val="en-US" w:eastAsia="zh-CN"/>
              </w:rPr>
            </w:pPr>
            <w:r>
              <w:rPr>
                <w:rFonts w:asciiTheme="minorHAnsi" w:hAnsiTheme="minorHAnsi" w:cstheme="minorHAnsi"/>
                <w:sz w:val="22"/>
                <w:lang w:val="en-US" w:eastAsia="zh-CN"/>
              </w:rPr>
              <w:t>N</w:t>
            </w:r>
          </w:p>
        </w:tc>
      </w:tr>
    </w:tbl>
    <w:p w:rsidR="002460D9" w:rsidRPr="000F233D" w:rsidRDefault="000F233D" w:rsidP="000F233D">
      <w:pPr>
        <w:tabs>
          <w:tab w:val="clear" w:pos="567"/>
          <w:tab w:val="clear" w:pos="1134"/>
          <w:tab w:val="clear" w:pos="1701"/>
          <w:tab w:val="clear" w:pos="2268"/>
          <w:tab w:val="clear" w:pos="2835"/>
        </w:tabs>
        <w:overflowPunct/>
        <w:autoSpaceDE/>
        <w:autoSpaceDN/>
        <w:adjustRightInd/>
        <w:spacing w:before="840"/>
        <w:jc w:val="center"/>
        <w:textAlignment w:val="auto"/>
        <w:rPr>
          <w:rFonts w:asciiTheme="minorHAnsi" w:hAnsiTheme="minorHAnsi"/>
          <w:bCs/>
        </w:rPr>
      </w:pPr>
      <w:r w:rsidRPr="000F233D">
        <w:rPr>
          <w:rFonts w:asciiTheme="minorHAnsi" w:hAnsiTheme="minorHAnsi"/>
          <w:bCs/>
        </w:rPr>
        <w:t>_________________</w:t>
      </w:r>
    </w:p>
    <w:sectPr w:rsidR="002460D9" w:rsidRPr="000F233D" w:rsidSect="00251DD4">
      <w:headerReference w:type="default" r:id="rId30"/>
      <w:footerReference w:type="first" r:id="rId31"/>
      <w:type w:val="continuous"/>
      <w:pgSz w:w="11913" w:h="16834" w:code="9"/>
      <w:pgMar w:top="1418" w:right="1134" w:bottom="1418" w:left="1134" w:header="720" w:footer="720" w:gutter="0"/>
      <w:paperSrc w:first="7" w:other="7"/>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EDD" w:rsidRDefault="00946EDD">
      <w:r>
        <w:separator/>
      </w:r>
    </w:p>
  </w:endnote>
  <w:endnote w:type="continuationSeparator" w:id="0">
    <w:p w:rsidR="00946EDD" w:rsidRDefault="00946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EDD" w:rsidRPr="002460D9" w:rsidRDefault="00946EDD" w:rsidP="002460D9">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EDD" w:rsidRDefault="00946EDD">
      <w:r>
        <w:t>____________________</w:t>
      </w:r>
    </w:p>
  </w:footnote>
  <w:footnote w:type="continuationSeparator" w:id="0">
    <w:p w:rsidR="00946EDD" w:rsidRDefault="00946E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EDD" w:rsidRDefault="00946EDD" w:rsidP="00CE1B90">
    <w:pPr>
      <w:pStyle w:val="Header"/>
    </w:pPr>
    <w:r>
      <w:fldChar w:fldCharType="begin"/>
    </w:r>
    <w:r>
      <w:instrText xml:space="preserve"> PAGE   \* MERGEFORMAT </w:instrText>
    </w:r>
    <w:r>
      <w:fldChar w:fldCharType="separate"/>
    </w:r>
    <w:r w:rsidR="00587572">
      <w:rPr>
        <w:noProof/>
      </w:rPr>
      <w:t>3</w:t>
    </w:r>
    <w:r>
      <w:rPr>
        <w:noProof/>
      </w:rPr>
      <w:fldChar w:fldCharType="end"/>
    </w:r>
    <w:r>
      <w:t>/</w:t>
    </w:r>
    <w:fldSimple w:instr=" NUMPAGES   \* MERGEFORMAT ">
      <w:r w:rsidR="00587572">
        <w:rPr>
          <w:noProof/>
        </w:rPr>
        <w:t>11</w:t>
      </w:r>
    </w:fldSimple>
  </w:p>
  <w:p w:rsidR="00946EDD" w:rsidRDefault="00946EDD" w:rsidP="002460D9">
    <w:pPr>
      <w:pStyle w:val="Header"/>
    </w:pPr>
    <w:r>
      <w:t>PP14/61-E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A8C05AE"/>
    <w:lvl w:ilvl="0">
      <w:start w:val="1"/>
      <w:numFmt w:val="decimal"/>
      <w:lvlText w:val="%1."/>
      <w:lvlJc w:val="left"/>
      <w:pPr>
        <w:tabs>
          <w:tab w:val="num" w:pos="1492"/>
        </w:tabs>
        <w:ind w:left="1492" w:hanging="360"/>
      </w:pPr>
    </w:lvl>
  </w:abstractNum>
  <w:abstractNum w:abstractNumId="1">
    <w:nsid w:val="FFFFFF7D"/>
    <w:multiLevelType w:val="singleLevel"/>
    <w:tmpl w:val="C1B4B2C6"/>
    <w:lvl w:ilvl="0">
      <w:start w:val="1"/>
      <w:numFmt w:val="decimal"/>
      <w:lvlText w:val="%1."/>
      <w:lvlJc w:val="left"/>
      <w:pPr>
        <w:tabs>
          <w:tab w:val="num" w:pos="1209"/>
        </w:tabs>
        <w:ind w:left="1209" w:hanging="360"/>
      </w:pPr>
    </w:lvl>
  </w:abstractNum>
  <w:abstractNum w:abstractNumId="2">
    <w:nsid w:val="FFFFFF7E"/>
    <w:multiLevelType w:val="singleLevel"/>
    <w:tmpl w:val="24F07526"/>
    <w:lvl w:ilvl="0">
      <w:start w:val="1"/>
      <w:numFmt w:val="decimal"/>
      <w:lvlText w:val="%1."/>
      <w:lvlJc w:val="left"/>
      <w:pPr>
        <w:tabs>
          <w:tab w:val="num" w:pos="926"/>
        </w:tabs>
        <w:ind w:left="926" w:hanging="360"/>
      </w:pPr>
    </w:lvl>
  </w:abstractNum>
  <w:abstractNum w:abstractNumId="3">
    <w:nsid w:val="FFFFFF7F"/>
    <w:multiLevelType w:val="singleLevel"/>
    <w:tmpl w:val="73585B76"/>
    <w:lvl w:ilvl="0">
      <w:start w:val="1"/>
      <w:numFmt w:val="decimal"/>
      <w:lvlText w:val="%1."/>
      <w:lvlJc w:val="left"/>
      <w:pPr>
        <w:tabs>
          <w:tab w:val="num" w:pos="643"/>
        </w:tabs>
        <w:ind w:left="643" w:hanging="360"/>
      </w:pPr>
    </w:lvl>
  </w:abstractNum>
  <w:abstractNum w:abstractNumId="4">
    <w:nsid w:val="FFFFFF80"/>
    <w:multiLevelType w:val="singleLevel"/>
    <w:tmpl w:val="2AF0A3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5AAC3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E447E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A6CD5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15E190E"/>
    <w:lvl w:ilvl="0">
      <w:start w:val="1"/>
      <w:numFmt w:val="decimal"/>
      <w:lvlText w:val="%1."/>
      <w:lvlJc w:val="left"/>
      <w:pPr>
        <w:tabs>
          <w:tab w:val="num" w:pos="360"/>
        </w:tabs>
        <w:ind w:left="360" w:hanging="360"/>
      </w:pPr>
    </w:lvl>
  </w:abstractNum>
  <w:abstractNum w:abstractNumId="9">
    <w:nsid w:val="FFFFFF89"/>
    <w:multiLevelType w:val="singleLevel"/>
    <w:tmpl w:val="D5D873AE"/>
    <w:lvl w:ilvl="0">
      <w:start w:val="1"/>
      <w:numFmt w:val="bullet"/>
      <w:lvlText w:val=""/>
      <w:lvlJc w:val="left"/>
      <w:pPr>
        <w:tabs>
          <w:tab w:val="num" w:pos="360"/>
        </w:tabs>
        <w:ind w:left="360" w:hanging="360"/>
      </w:pPr>
      <w:rPr>
        <w:rFonts w:ascii="Symbol" w:hAnsi="Symbol" w:hint="default"/>
      </w:rPr>
    </w:lvl>
  </w:abstractNum>
  <w:abstractNum w:abstractNumId="10">
    <w:nsid w:val="06F17907"/>
    <w:multiLevelType w:val="hybridMultilevel"/>
    <w:tmpl w:val="4350CD22"/>
    <w:lvl w:ilvl="0" w:tplc="D8DAE22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1A22B32"/>
    <w:multiLevelType w:val="singleLevel"/>
    <w:tmpl w:val="BB1461B2"/>
    <w:lvl w:ilvl="0">
      <w:start w:val="1"/>
      <w:numFmt w:val="lowerLetter"/>
      <w:lvlText w:val="%1."/>
      <w:lvlJc w:val="left"/>
      <w:pPr>
        <w:tabs>
          <w:tab w:val="num" w:pos="1068"/>
        </w:tabs>
        <w:ind w:left="1068" w:hanging="360"/>
      </w:pPr>
      <w:rPr>
        <w:rFonts w:hint="default"/>
      </w:rPr>
    </w:lvl>
  </w:abstractNum>
  <w:abstractNum w:abstractNumId="12">
    <w:nsid w:val="253C25FA"/>
    <w:multiLevelType w:val="hybridMultilevel"/>
    <w:tmpl w:val="40FEADB4"/>
    <w:lvl w:ilvl="0" w:tplc="12BC03BC">
      <w:start w:val="20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860EFD"/>
    <w:multiLevelType w:val="hybridMultilevel"/>
    <w:tmpl w:val="FF26F3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6A2282"/>
    <w:multiLevelType w:val="hybridMultilevel"/>
    <w:tmpl w:val="211C7838"/>
    <w:lvl w:ilvl="0" w:tplc="3E2C6AA2">
      <w:start w:val="1"/>
      <w:numFmt w:val="decimal"/>
      <w:lvlText w:val="%1."/>
      <w:lvlJc w:val="left"/>
      <w:pPr>
        <w:ind w:left="720" w:hanging="360"/>
      </w:pPr>
      <w:rPr>
        <w:rFonts w:asciiTheme="minorHAnsi" w:hAnsiTheme="minorHAns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D64E79"/>
    <w:multiLevelType w:val="hybridMultilevel"/>
    <w:tmpl w:val="09ECE444"/>
    <w:lvl w:ilvl="0" w:tplc="D77E7982">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6B04B5"/>
    <w:multiLevelType w:val="hybridMultilevel"/>
    <w:tmpl w:val="171865F0"/>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E6028CD"/>
    <w:multiLevelType w:val="singleLevel"/>
    <w:tmpl w:val="0470A0E6"/>
    <w:lvl w:ilvl="0">
      <w:start w:val="1"/>
      <w:numFmt w:val="lowerLetter"/>
      <w:lvlText w:val="%1."/>
      <w:lvlJc w:val="left"/>
      <w:pPr>
        <w:tabs>
          <w:tab w:val="num" w:pos="1068"/>
        </w:tabs>
        <w:ind w:left="1068" w:hanging="360"/>
      </w:pPr>
      <w:rPr>
        <w:rFonts w:hint="default"/>
      </w:rPr>
    </w:lvl>
  </w:abstractNum>
  <w:abstractNum w:abstractNumId="18">
    <w:nsid w:val="45162DB6"/>
    <w:multiLevelType w:val="multilevel"/>
    <w:tmpl w:val="B2DE6A74"/>
    <w:lvl w:ilvl="0">
      <w:start w:val="3"/>
      <w:numFmt w:val="decimal"/>
      <w:lvlText w:val="%1"/>
      <w:lvlJc w:val="left"/>
      <w:pPr>
        <w:ind w:left="360" w:hanging="360"/>
      </w:pPr>
      <w:rPr>
        <w:rFonts w:cs="Calibri" w:hint="default"/>
      </w:rPr>
    </w:lvl>
    <w:lvl w:ilvl="1">
      <w:start w:val="2"/>
      <w:numFmt w:val="decimal"/>
      <w:lvlText w:val="%1.%2"/>
      <w:lvlJc w:val="left"/>
      <w:pPr>
        <w:ind w:left="360" w:hanging="360"/>
      </w:pPr>
      <w:rPr>
        <w:rFonts w:cs="Calibri" w:hint="default"/>
      </w:rPr>
    </w:lvl>
    <w:lvl w:ilvl="2">
      <w:start w:val="2"/>
      <w:numFmt w:val="decimal"/>
      <w:lvlText w:val="3.%3"/>
      <w:lvlJc w:val="left"/>
      <w:pPr>
        <w:ind w:left="720" w:hanging="720"/>
      </w:pPr>
      <w:rPr>
        <w:rFonts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19">
    <w:nsid w:val="53AC29FB"/>
    <w:multiLevelType w:val="hybridMultilevel"/>
    <w:tmpl w:val="FF26F3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3165FB"/>
    <w:multiLevelType w:val="hybridMultilevel"/>
    <w:tmpl w:val="6682E37A"/>
    <w:lvl w:ilvl="0" w:tplc="0C0A000D">
      <w:start w:val="1"/>
      <w:numFmt w:val="bullet"/>
      <w:lvlText w:val=""/>
      <w:lvlJc w:val="left"/>
      <w:pPr>
        <w:ind w:left="786"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64F30E1"/>
    <w:multiLevelType w:val="hybridMultilevel"/>
    <w:tmpl w:val="ACFCC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753364"/>
    <w:multiLevelType w:val="hybridMultilevel"/>
    <w:tmpl w:val="F856A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 w:numId="14">
    <w:abstractNumId w:val="20"/>
  </w:num>
  <w:num w:numId="15">
    <w:abstractNumId w:val="16"/>
  </w:num>
  <w:num w:numId="16">
    <w:abstractNumId w:val="17"/>
  </w:num>
  <w:num w:numId="17">
    <w:abstractNumId w:val="11"/>
  </w:num>
  <w:num w:numId="18">
    <w:abstractNumId w:val="12"/>
  </w:num>
  <w:num w:numId="19">
    <w:abstractNumId w:val="22"/>
  </w:num>
  <w:num w:numId="20">
    <w:abstractNumId w:val="10"/>
  </w:num>
  <w:num w:numId="21">
    <w:abstractNumId w:val="14"/>
  </w:num>
  <w:num w:numId="22">
    <w:abstractNumId w:val="13"/>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48E4"/>
    <w:rsid w:val="00010B2A"/>
    <w:rsid w:val="00011208"/>
    <w:rsid w:val="000143FA"/>
    <w:rsid w:val="00014808"/>
    <w:rsid w:val="00015E97"/>
    <w:rsid w:val="00041924"/>
    <w:rsid w:val="000507C1"/>
    <w:rsid w:val="00052E71"/>
    <w:rsid w:val="00053B97"/>
    <w:rsid w:val="00070407"/>
    <w:rsid w:val="000727DE"/>
    <w:rsid w:val="00082EB9"/>
    <w:rsid w:val="0008540E"/>
    <w:rsid w:val="00094B4F"/>
    <w:rsid w:val="000A1015"/>
    <w:rsid w:val="000B03F9"/>
    <w:rsid w:val="000B0A77"/>
    <w:rsid w:val="000B0D6C"/>
    <w:rsid w:val="000B5BB9"/>
    <w:rsid w:val="000B7152"/>
    <w:rsid w:val="000C4701"/>
    <w:rsid w:val="000E4C7A"/>
    <w:rsid w:val="000E5E15"/>
    <w:rsid w:val="000F233D"/>
    <w:rsid w:val="000F5A9A"/>
    <w:rsid w:val="000F73D1"/>
    <w:rsid w:val="001001C5"/>
    <w:rsid w:val="00105EFE"/>
    <w:rsid w:val="00106777"/>
    <w:rsid w:val="001120E3"/>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2115E0"/>
    <w:rsid w:val="00215F12"/>
    <w:rsid w:val="00221368"/>
    <w:rsid w:val="00232B31"/>
    <w:rsid w:val="00235A3B"/>
    <w:rsid w:val="00243BE4"/>
    <w:rsid w:val="002460D9"/>
    <w:rsid w:val="00251DD4"/>
    <w:rsid w:val="00257188"/>
    <w:rsid w:val="002578B4"/>
    <w:rsid w:val="00267D12"/>
    <w:rsid w:val="00281792"/>
    <w:rsid w:val="0028799E"/>
    <w:rsid w:val="002962A8"/>
    <w:rsid w:val="002A11E7"/>
    <w:rsid w:val="002A56C0"/>
    <w:rsid w:val="002E77F4"/>
    <w:rsid w:val="002F36B9"/>
    <w:rsid w:val="002F5FA2"/>
    <w:rsid w:val="003126B0"/>
    <w:rsid w:val="00312CA8"/>
    <w:rsid w:val="00314127"/>
    <w:rsid w:val="00314C12"/>
    <w:rsid w:val="003261C3"/>
    <w:rsid w:val="003453DA"/>
    <w:rsid w:val="00357754"/>
    <w:rsid w:val="003578E4"/>
    <w:rsid w:val="00361097"/>
    <w:rsid w:val="00373A0D"/>
    <w:rsid w:val="003740BC"/>
    <w:rsid w:val="00375076"/>
    <w:rsid w:val="00375BBA"/>
    <w:rsid w:val="00380BA4"/>
    <w:rsid w:val="003826EA"/>
    <w:rsid w:val="00394AF3"/>
    <w:rsid w:val="00395CE4"/>
    <w:rsid w:val="003A3938"/>
    <w:rsid w:val="003A4E67"/>
    <w:rsid w:val="003A5FFB"/>
    <w:rsid w:val="003A7FB6"/>
    <w:rsid w:val="003B3751"/>
    <w:rsid w:val="003F0763"/>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A797B"/>
    <w:rsid w:val="004B0C10"/>
    <w:rsid w:val="004C19D7"/>
    <w:rsid w:val="004C2606"/>
    <w:rsid w:val="004C297B"/>
    <w:rsid w:val="004C73C9"/>
    <w:rsid w:val="004D36DF"/>
    <w:rsid w:val="004E01FA"/>
    <w:rsid w:val="004E6764"/>
    <w:rsid w:val="004F041D"/>
    <w:rsid w:val="004F1C55"/>
    <w:rsid w:val="00504FE5"/>
    <w:rsid w:val="00507348"/>
    <w:rsid w:val="00522C97"/>
    <w:rsid w:val="00530774"/>
    <w:rsid w:val="005356FD"/>
    <w:rsid w:val="00547D75"/>
    <w:rsid w:val="00551C8B"/>
    <w:rsid w:val="00554E24"/>
    <w:rsid w:val="00555A0F"/>
    <w:rsid w:val="00567130"/>
    <w:rsid w:val="0057034B"/>
    <w:rsid w:val="00581E8F"/>
    <w:rsid w:val="00586A98"/>
    <w:rsid w:val="00587572"/>
    <w:rsid w:val="005927A4"/>
    <w:rsid w:val="00596B48"/>
    <w:rsid w:val="005B10E8"/>
    <w:rsid w:val="005B5026"/>
    <w:rsid w:val="005B661F"/>
    <w:rsid w:val="005C3315"/>
    <w:rsid w:val="005E1CC3"/>
    <w:rsid w:val="005F05C8"/>
    <w:rsid w:val="00604079"/>
    <w:rsid w:val="00617A0C"/>
    <w:rsid w:val="00617BE4"/>
    <w:rsid w:val="00620233"/>
    <w:rsid w:val="006404B0"/>
    <w:rsid w:val="0066499C"/>
    <w:rsid w:val="006A7108"/>
    <w:rsid w:val="006B2035"/>
    <w:rsid w:val="006B40DA"/>
    <w:rsid w:val="006C5D5D"/>
    <w:rsid w:val="006E215D"/>
    <w:rsid w:val="006E57C8"/>
    <w:rsid w:val="006E70E1"/>
    <w:rsid w:val="006F565E"/>
    <w:rsid w:val="006F6D8A"/>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3C42"/>
    <w:rsid w:val="007648ED"/>
    <w:rsid w:val="007649DA"/>
    <w:rsid w:val="00765553"/>
    <w:rsid w:val="00777B8B"/>
    <w:rsid w:val="00794795"/>
    <w:rsid w:val="007949EA"/>
    <w:rsid w:val="00796849"/>
    <w:rsid w:val="00797930"/>
    <w:rsid w:val="007A59C3"/>
    <w:rsid w:val="007B0E06"/>
    <w:rsid w:val="007B30FC"/>
    <w:rsid w:val="007C3643"/>
    <w:rsid w:val="007E00D2"/>
    <w:rsid w:val="007E2AD4"/>
    <w:rsid w:val="007E3469"/>
    <w:rsid w:val="007E7B63"/>
    <w:rsid w:val="007F0C9A"/>
    <w:rsid w:val="007F6070"/>
    <w:rsid w:val="00810AD6"/>
    <w:rsid w:val="00816E4E"/>
    <w:rsid w:val="0082780C"/>
    <w:rsid w:val="008333C7"/>
    <w:rsid w:val="00833E0F"/>
    <w:rsid w:val="008360C8"/>
    <w:rsid w:val="008404FD"/>
    <w:rsid w:val="00841AB4"/>
    <w:rsid w:val="0084488B"/>
    <w:rsid w:val="00846DBA"/>
    <w:rsid w:val="00850AEF"/>
    <w:rsid w:val="00855DAB"/>
    <w:rsid w:val="00860C6A"/>
    <w:rsid w:val="00862891"/>
    <w:rsid w:val="00871A1D"/>
    <w:rsid w:val="00875048"/>
    <w:rsid w:val="00875BE1"/>
    <w:rsid w:val="00877715"/>
    <w:rsid w:val="00895CE3"/>
    <w:rsid w:val="0089603F"/>
    <w:rsid w:val="00897970"/>
    <w:rsid w:val="008B5A71"/>
    <w:rsid w:val="008D3BE2"/>
    <w:rsid w:val="008D4D98"/>
    <w:rsid w:val="008E2A7B"/>
    <w:rsid w:val="008E6960"/>
    <w:rsid w:val="008E6E9B"/>
    <w:rsid w:val="008F2C56"/>
    <w:rsid w:val="008F3C99"/>
    <w:rsid w:val="00900D5B"/>
    <w:rsid w:val="009236FE"/>
    <w:rsid w:val="00940E00"/>
    <w:rsid w:val="00945D4B"/>
    <w:rsid w:val="00946EDD"/>
    <w:rsid w:val="00950E0F"/>
    <w:rsid w:val="00954678"/>
    <w:rsid w:val="0096150D"/>
    <w:rsid w:val="009630FA"/>
    <w:rsid w:val="00967103"/>
    <w:rsid w:val="00967670"/>
    <w:rsid w:val="00970996"/>
    <w:rsid w:val="009800CC"/>
    <w:rsid w:val="00983F04"/>
    <w:rsid w:val="009A078E"/>
    <w:rsid w:val="009A2B30"/>
    <w:rsid w:val="009A4211"/>
    <w:rsid w:val="009A47A2"/>
    <w:rsid w:val="009E425E"/>
    <w:rsid w:val="009E4322"/>
    <w:rsid w:val="009F4384"/>
    <w:rsid w:val="009F442D"/>
    <w:rsid w:val="009F50DA"/>
    <w:rsid w:val="00A06D56"/>
    <w:rsid w:val="00A163CA"/>
    <w:rsid w:val="00A314A2"/>
    <w:rsid w:val="00A516BB"/>
    <w:rsid w:val="00A619C5"/>
    <w:rsid w:val="00A808E1"/>
    <w:rsid w:val="00A8262F"/>
    <w:rsid w:val="00A84B32"/>
    <w:rsid w:val="00A84B3A"/>
    <w:rsid w:val="00A93B71"/>
    <w:rsid w:val="00AB0B32"/>
    <w:rsid w:val="00AB2D04"/>
    <w:rsid w:val="00AB5C39"/>
    <w:rsid w:val="00AB75A9"/>
    <w:rsid w:val="00AD1C5C"/>
    <w:rsid w:val="00AD566F"/>
    <w:rsid w:val="00B156F9"/>
    <w:rsid w:val="00B1733E"/>
    <w:rsid w:val="00B25A86"/>
    <w:rsid w:val="00B304B9"/>
    <w:rsid w:val="00B5219D"/>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D74ED"/>
    <w:rsid w:val="00BE0966"/>
    <w:rsid w:val="00BF43BA"/>
    <w:rsid w:val="00BF4BDE"/>
    <w:rsid w:val="00BF5722"/>
    <w:rsid w:val="00BF6268"/>
    <w:rsid w:val="00BF720B"/>
    <w:rsid w:val="00C04511"/>
    <w:rsid w:val="00C16846"/>
    <w:rsid w:val="00C34851"/>
    <w:rsid w:val="00C42A5B"/>
    <w:rsid w:val="00C56038"/>
    <w:rsid w:val="00C565BF"/>
    <w:rsid w:val="00C6729F"/>
    <w:rsid w:val="00C717B5"/>
    <w:rsid w:val="00C72664"/>
    <w:rsid w:val="00C86F24"/>
    <w:rsid w:val="00CA38C9"/>
    <w:rsid w:val="00CB4984"/>
    <w:rsid w:val="00CB5DD7"/>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536D"/>
    <w:rsid w:val="00E438F6"/>
    <w:rsid w:val="00E44456"/>
    <w:rsid w:val="00E553B9"/>
    <w:rsid w:val="00E563FF"/>
    <w:rsid w:val="00E56E57"/>
    <w:rsid w:val="00E6599B"/>
    <w:rsid w:val="00E726DE"/>
    <w:rsid w:val="00E844D5"/>
    <w:rsid w:val="00E86536"/>
    <w:rsid w:val="00E871C2"/>
    <w:rsid w:val="00EA0493"/>
    <w:rsid w:val="00EA1BAA"/>
    <w:rsid w:val="00EC1ED0"/>
    <w:rsid w:val="00ED401C"/>
    <w:rsid w:val="00EE333B"/>
    <w:rsid w:val="00EF2642"/>
    <w:rsid w:val="00EF3681"/>
    <w:rsid w:val="00F10790"/>
    <w:rsid w:val="00F10830"/>
    <w:rsid w:val="00F10E7C"/>
    <w:rsid w:val="00F13C1E"/>
    <w:rsid w:val="00F16F17"/>
    <w:rsid w:val="00F20BC2"/>
    <w:rsid w:val="00F342E4"/>
    <w:rsid w:val="00F35330"/>
    <w:rsid w:val="00F36AAE"/>
    <w:rsid w:val="00F41C91"/>
    <w:rsid w:val="00F433A4"/>
    <w:rsid w:val="00F4421A"/>
    <w:rsid w:val="00F44B1A"/>
    <w:rsid w:val="00F47316"/>
    <w:rsid w:val="00F55DA5"/>
    <w:rsid w:val="00F73BA1"/>
    <w:rsid w:val="00F95ABE"/>
    <w:rsid w:val="00F9756D"/>
    <w:rsid w:val="00FB5F12"/>
    <w:rsid w:val="00FD417F"/>
    <w:rsid w:val="00FD7255"/>
    <w:rsid w:val="00FD7B1D"/>
    <w:rsid w:val="00FE1E22"/>
    <w:rsid w:val="00FF04D6"/>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AD566F"/>
    <w:pPr>
      <w:tabs>
        <w:tab w:val="clear" w:pos="567"/>
        <w:tab w:val="clear" w:pos="1134"/>
        <w:tab w:val="clear" w:pos="1701"/>
        <w:tab w:val="clear" w:pos="2268"/>
        <w:tab w:val="clear" w:pos="2835"/>
      </w:tabs>
      <w:spacing w:before="0"/>
      <w:jc w:val="center"/>
    </w:pPr>
    <w:rPr>
      <w:sz w:val="18"/>
    </w:rPr>
  </w:style>
  <w:style w:type="character" w:customStyle="1" w:styleId="HeaderChar">
    <w:name w:val="Header Char"/>
    <w:basedOn w:val="DefaultParagraphFont"/>
    <w:link w:val="Header"/>
    <w:uiPriority w:val="99"/>
    <w:rsid w:val="001A16ED"/>
    <w:rPr>
      <w:rFonts w:ascii="Calibri" w:hAnsi="Calibri"/>
      <w:sz w:val="18"/>
      <w:lang w:val="en-GB" w:eastAsia="en-US"/>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pPr>
      <w:framePr w:wrap="around"/>
    </w:pPr>
    <w:rPr>
      <w:caps w:val="0"/>
    </w:rPr>
  </w:style>
  <w:style w:type="paragraph" w:customStyle="1" w:styleId="Title2">
    <w:name w:val="Title 2"/>
    <w:basedOn w:val="Source"/>
    <w:next w:val="Title3"/>
    <w:rsid w:val="00AD566F"/>
    <w:pPr>
      <w:framePr w:wrap="around"/>
      <w:spacing w:before="240"/>
    </w:pPr>
    <w:rPr>
      <w:b w:val="0"/>
      <w:caps/>
    </w:rPr>
  </w:style>
  <w:style w:type="paragraph" w:customStyle="1" w:styleId="Source">
    <w:name w:val="Source"/>
    <w:basedOn w:val="Normal"/>
    <w:next w:val="Title1"/>
    <w:autoRedefine/>
    <w:rsid w:val="000F233D"/>
    <w:pPr>
      <w:framePr w:hSpace="180" w:wrap="around" w:hAnchor="margin" w:y="-675"/>
      <w:spacing w:before="600"/>
      <w:jc w:val="center"/>
    </w:pPr>
    <w:rPr>
      <w:b/>
      <w:sz w:val="28"/>
    </w:rPr>
  </w:style>
  <w:style w:type="paragraph" w:customStyle="1" w:styleId="Title1">
    <w:name w:val="Title 1"/>
    <w:basedOn w:val="Source"/>
    <w:next w:val="Title2"/>
    <w:rsid w:val="00AD566F"/>
    <w:pPr>
      <w:framePr w:wrap="around"/>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D566F"/>
    <w:rPr>
      <w:caps w:val="0"/>
    </w:rPr>
  </w:style>
  <w:style w:type="paragraph" w:customStyle="1" w:styleId="Section2">
    <w:name w:val="Section 2"/>
    <w:basedOn w:val="Section1"/>
    <w:next w:val="Normal"/>
    <w:rsid w:val="00AD566F"/>
    <w:pPr>
      <w:spacing w:before="240"/>
    </w:pPr>
    <w:rPr>
      <w:b/>
      <w:i/>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TabletextS2">
    <w:name w:val="Table_text_S2"/>
    <w:basedOn w:val="Tabletext"/>
    <w:rsid w:val="00AD566F"/>
    <w:pPr>
      <w:tabs>
        <w:tab w:val="left" w:pos="851"/>
      </w:tabs>
    </w:pPr>
    <w:rPr>
      <w:b/>
    </w:rPr>
  </w:style>
  <w:style w:type="paragraph" w:customStyle="1" w:styleId="TablelegendS2">
    <w:name w:val="Table_legend_S2"/>
    <w:basedOn w:val="Tablelegend"/>
    <w:rsid w:val="00AD566F"/>
    <w:pPr>
      <w:tabs>
        <w:tab w:val="left" w:pos="851"/>
      </w:tabs>
      <w:spacing w:after="0"/>
    </w:pPr>
    <w:rPr>
      <w:b/>
    </w:r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A808E1"/>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paragraph" w:styleId="BalloonText">
    <w:name w:val="Balloon Text"/>
    <w:basedOn w:val="Normal"/>
    <w:link w:val="BalloonTextChar"/>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rsid w:val="004B12F7"/>
    <w:rPr>
      <w:color w:val="auto"/>
    </w:rPr>
  </w:style>
  <w:style w:type="paragraph" w:styleId="ListParagraph">
    <w:name w:val="List Paragraph"/>
    <w:basedOn w:val="Normal"/>
    <w:uiPriority w:val="34"/>
    <w:qFormat/>
    <w:rsid w:val="002A11E7"/>
    <w:pPr>
      <w:ind w:left="720"/>
      <w:contextualSpacing/>
    </w:pPr>
  </w:style>
  <w:style w:type="paragraph" w:customStyle="1" w:styleId="tabletext0">
    <w:name w:val="table text"/>
    <w:rsid w:val="002460D9"/>
    <w:pPr>
      <w:spacing w:before="40" w:after="40"/>
    </w:pPr>
    <w:rPr>
      <w:rFonts w:ascii="Times New Roman" w:hAnsi="Times New Roman"/>
      <w:noProof/>
      <w:lang w:eastAsia="en-US"/>
    </w:rPr>
  </w:style>
  <w:style w:type="table" w:styleId="TableGrid">
    <w:name w:val="Table Grid"/>
    <w:basedOn w:val="TableNormal"/>
    <w:uiPriority w:val="59"/>
    <w:rsid w:val="000F23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nhideWhenUsed/>
    <w:rsid w:val="000F233D"/>
    <w:pPr>
      <w:tabs>
        <w:tab w:val="clear" w:pos="567"/>
        <w:tab w:val="clear" w:pos="1134"/>
        <w:tab w:val="clear" w:pos="1701"/>
        <w:tab w:val="clear" w:pos="2268"/>
        <w:tab w:val="clear" w:pos="2835"/>
      </w:tabs>
      <w:overflowPunct/>
      <w:autoSpaceDE/>
      <w:autoSpaceDN/>
      <w:adjustRightInd/>
      <w:spacing w:before="0"/>
      <w:textAlignment w:val="auto"/>
    </w:pPr>
    <w:rPr>
      <w:rFonts w:ascii="Consolas" w:eastAsia="Calibri" w:hAnsi="Consolas"/>
      <w:sz w:val="21"/>
      <w:szCs w:val="21"/>
      <w:lang w:val="x-none" w:eastAsia="x-none"/>
    </w:rPr>
  </w:style>
  <w:style w:type="character" w:customStyle="1" w:styleId="PlainTextChar">
    <w:name w:val="Plain Text Char"/>
    <w:basedOn w:val="DefaultParagraphFont"/>
    <w:link w:val="PlainText"/>
    <w:rsid w:val="000F233D"/>
    <w:rPr>
      <w:rFonts w:ascii="Consolas" w:eastAsia="Calibri" w:hAnsi="Consolas"/>
      <w:sz w:val="21"/>
      <w:szCs w:val="21"/>
      <w:lang w:val="x-none" w:eastAsia="x-none"/>
    </w:rPr>
  </w:style>
  <w:style w:type="character" w:customStyle="1" w:styleId="ms-rtestyle-ituxcommuquicklinks">
    <w:name w:val="ms-rtestyle-ituxcommuquicklinks"/>
    <w:basedOn w:val="DefaultParagraphFont"/>
    <w:rsid w:val="000F233D"/>
  </w:style>
  <w:style w:type="character" w:styleId="Strong">
    <w:name w:val="Strong"/>
    <w:uiPriority w:val="22"/>
    <w:qFormat/>
    <w:rsid w:val="000F233D"/>
    <w:rPr>
      <w:b/>
      <w:bCs/>
    </w:rPr>
  </w:style>
  <w:style w:type="paragraph" w:styleId="BodyText2">
    <w:name w:val="Body Text 2"/>
    <w:basedOn w:val="Normal"/>
    <w:link w:val="BodyText2Char"/>
    <w:rsid w:val="000F233D"/>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szCs w:val="24"/>
      <w:lang w:val="en-US"/>
    </w:rPr>
  </w:style>
  <w:style w:type="character" w:customStyle="1" w:styleId="BodyText2Char">
    <w:name w:val="Body Text 2 Char"/>
    <w:basedOn w:val="DefaultParagraphFont"/>
    <w:link w:val="BodyText2"/>
    <w:rsid w:val="000F233D"/>
    <w:rPr>
      <w:rFonts w:ascii="Times New Roman" w:hAnsi="Times New Roman"/>
      <w:sz w:val="24"/>
      <w:szCs w:val="24"/>
      <w:lang w:eastAsia="en-US"/>
    </w:rPr>
  </w:style>
  <w:style w:type="paragraph" w:customStyle="1" w:styleId="TableHead0">
    <w:name w:val="Table_Head"/>
    <w:basedOn w:val="Normal"/>
    <w:rsid w:val="000F233D"/>
    <w:pPr>
      <w:keepNext/>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80" w:after="80"/>
      <w:jc w:val="center"/>
    </w:pPr>
    <w:rPr>
      <w:rFonts w:ascii="Times New Roman" w:hAnsi="Times New Roman"/>
      <w:b/>
    </w:rPr>
  </w:style>
  <w:style w:type="paragraph" w:customStyle="1" w:styleId="TableText1">
    <w:name w:val="Table_Text"/>
    <w:basedOn w:val="Normal"/>
    <w:rsid w:val="000F233D"/>
    <w:pPr>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40" w:after="40"/>
    </w:pPr>
    <w:rPr>
      <w:rFonts w:ascii="Times New Roman" w:hAnsi="Times New Roman"/>
    </w:rPr>
  </w:style>
  <w:style w:type="character" w:styleId="CommentReference">
    <w:name w:val="annotation reference"/>
    <w:basedOn w:val="DefaultParagraphFont"/>
    <w:rsid w:val="000F233D"/>
    <w:rPr>
      <w:sz w:val="16"/>
      <w:szCs w:val="16"/>
    </w:rPr>
  </w:style>
  <w:style w:type="paragraph" w:styleId="CommentText">
    <w:name w:val="annotation text"/>
    <w:basedOn w:val="Normal"/>
    <w:link w:val="CommentTextChar"/>
    <w:rsid w:val="000F233D"/>
    <w:rPr>
      <w:sz w:val="20"/>
    </w:rPr>
  </w:style>
  <w:style w:type="character" w:customStyle="1" w:styleId="CommentTextChar">
    <w:name w:val="Comment Text Char"/>
    <w:basedOn w:val="DefaultParagraphFont"/>
    <w:link w:val="CommentText"/>
    <w:rsid w:val="000F233D"/>
    <w:rPr>
      <w:rFonts w:ascii="Calibri" w:hAnsi="Calibri"/>
      <w:lang w:val="en-GB" w:eastAsia="en-US"/>
    </w:rPr>
  </w:style>
  <w:style w:type="paragraph" w:styleId="CommentSubject">
    <w:name w:val="annotation subject"/>
    <w:basedOn w:val="CommentText"/>
    <w:next w:val="CommentText"/>
    <w:link w:val="CommentSubjectChar"/>
    <w:rsid w:val="000F233D"/>
    <w:rPr>
      <w:b/>
      <w:bCs/>
    </w:rPr>
  </w:style>
  <w:style w:type="character" w:customStyle="1" w:styleId="CommentSubjectChar">
    <w:name w:val="Comment Subject Char"/>
    <w:basedOn w:val="CommentTextChar"/>
    <w:link w:val="CommentSubject"/>
    <w:rsid w:val="000F233D"/>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council/pd/basic-dec-res-rec.doc" TargetMode="External"/><Relationship Id="rId18" Type="http://schemas.openxmlformats.org/officeDocument/2006/relationships/hyperlink" Target="http://www.itu.int/md/S03-ADCL-C-0003/en" TargetMode="External"/><Relationship Id="rId26" Type="http://schemas.openxmlformats.org/officeDocument/2006/relationships/hyperlink" Target="http://www.itu.int/md/S13-CL-C-0044/en" TargetMode="External"/><Relationship Id="rId3" Type="http://schemas.openxmlformats.org/officeDocument/2006/relationships/customXml" Target="../customXml/item2.xml"/><Relationship Id="rId21" Type="http://schemas.openxmlformats.org/officeDocument/2006/relationships/hyperlink" Target="http://www.itu.int/md/S10-CL-C-0038/en" TargetMode="External"/><Relationship Id="rId7" Type="http://schemas.openxmlformats.org/officeDocument/2006/relationships/settings" Target="settings.xml"/><Relationship Id="rId12" Type="http://schemas.openxmlformats.org/officeDocument/2006/relationships/hyperlink" Target="http://www.itu.int/council/pd/convention.doc" TargetMode="External"/><Relationship Id="rId17" Type="http://schemas.openxmlformats.org/officeDocument/2006/relationships/hyperlink" Target="http://www.itu.int/md/S03-CL-C-0040/en" TargetMode="External"/><Relationship Id="rId25" Type="http://schemas.openxmlformats.org/officeDocument/2006/relationships/hyperlink" Target="http://www.itu.int/md/S12-CL-C-0023/en"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itu.int/md/S02-CL-C-0094/en" TargetMode="External"/><Relationship Id="rId20" Type="http://schemas.openxmlformats.org/officeDocument/2006/relationships/hyperlink" Target="http://www.itu.int/md/S09-CL-C-0062/en" TargetMode="External"/><Relationship Id="rId29" Type="http://schemas.openxmlformats.org/officeDocument/2006/relationships/hyperlink" Target="http://www.itu.int/en/plenipotentiary/2014/ties/Documents/061e-exemptions-excel-table.xlsx" TargetMode="Externa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itu.int/md/S11-CL-C-0020/en"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itu.int/itudoc/gs/council/c01/docs/026.html" TargetMode="External"/><Relationship Id="rId23" Type="http://schemas.openxmlformats.org/officeDocument/2006/relationships/hyperlink" Target="http://www.itu.int/md/S10-CL-C-0091/en" TargetMode="External"/><Relationship Id="rId28" Type="http://schemas.openxmlformats.org/officeDocument/2006/relationships/hyperlink" Target="http://www.itu.int/itudoc/gs/council/c00/docs/28rev1.html" TargetMode="External"/><Relationship Id="rId10" Type="http://schemas.openxmlformats.org/officeDocument/2006/relationships/endnotes" Target="endnotes.xml"/><Relationship Id="rId19" Type="http://schemas.openxmlformats.org/officeDocument/2006/relationships/hyperlink" Target="http://www.itu.int/md/S05-CL-C-0040/en" TargetMode="External"/><Relationship Id="rId31"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www.itu.int/itudoc/gs/council/c00/docs/28rev1.html" TargetMode="External"/><Relationship Id="rId22" Type="http://schemas.openxmlformats.org/officeDocument/2006/relationships/hyperlink" Target="http://www.itu.int/md/S10-CL-C-0039/en" TargetMode="External"/><Relationship Id="rId27" Type="http://schemas.openxmlformats.org/officeDocument/2006/relationships/hyperlink" Target="http://www.itu.int/md/S14-CL-C-0008/en"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f8bc2aa6-8490-4cf4-8b27-9370a0d81380" xsi:nil="true"/>
    <DPM_x0020_File_x0020_name xmlns="f8bc2aa6-8490-4cf4-8b27-9370a0d81380" xsi:nil="true"/>
    <DPM_x0020_Version xmlns="f8bc2aa6-8490-4cf4-8b27-9370a0d8138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8bc2aa6-8490-4cf4-8b27-9370a0d81380" targetNamespace="http://schemas.microsoft.com/office/2006/metadata/properties" ma:root="true" ma:fieldsID="d41af5c836d734370eb92e7ee5f83852" ns2:_="" ns3:_="">
    <xsd:import namespace="996b2e75-67fd-4955-a3b0-5ab9934cb50b"/>
    <xsd:import namespace="f8bc2aa6-8490-4cf4-8b27-9370a0d8138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8bc2aa6-8490-4cf4-8b27-9370a0d8138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purl.org/dc/elements/1.1/"/>
    <ds:schemaRef ds:uri="http://www.w3.org/XML/1998/namespace"/>
    <ds:schemaRef ds:uri="http://schemas.microsoft.com/office/2006/documentManagement/types"/>
    <ds:schemaRef ds:uri="http://schemas.microsoft.com/office/infopath/2007/PartnerControls"/>
    <ds:schemaRef ds:uri="f8bc2aa6-8490-4cf4-8b27-9370a0d81380"/>
    <ds:schemaRef ds:uri="http://purl.org/dc/terms/"/>
    <ds:schemaRef ds:uri="http://schemas.openxmlformats.org/package/2006/metadata/core-properties"/>
    <ds:schemaRef ds:uri="996b2e75-67fd-4955-a3b0-5ab9934cb50b"/>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8bc2aa6-8490-4cf4-8b27-9370a0d813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265EAF-F8F4-429D-BAE2-2DD4E18E9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3463</Words>
  <Characters>19740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PP-14</vt:lpstr>
    </vt:vector>
  </TitlesOfParts>
  <LinksUpToDate>false</LinksUpToDate>
  <CharactersWithSpaces>23157</CharactersWithSpaces>
  <SharedDoc>false</SharedDoc>
  <HyperlinkBase>http://www.itu.int/en/plenipotentiary/2014/Pages/about.aspx</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PP-14</dc:title>
  <dc:subject>Plenipotentiary Conference (PP-14)</dc:subject>
  <dc:creator/>
  <cp:keywords>DPM_v5.7.0.4_prod</cp:keywords>
  <cp:lastModifiedBy/>
  <cp:revision>1</cp:revision>
  <dcterms:created xsi:type="dcterms:W3CDTF">2014-08-29T08:08:00Z</dcterms:created>
  <dcterms:modified xsi:type="dcterms:W3CDTF">2014-08-29T08:30:00Z</dcterms:modified>
  <cp:category>Conference document</cp:category>
</cp:coreProperties>
</file>