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6"/>
        <w:gridCol w:w="3689"/>
      </w:tblGrid>
      <w:tr w:rsidR="00B6419E" w:rsidTr="00657226">
        <w:tc>
          <w:tcPr>
            <w:tcW w:w="9855" w:type="dxa"/>
            <w:gridSpan w:val="2"/>
            <w:hideMark/>
          </w:tcPr>
          <w:p w:rsidR="00B6419E" w:rsidRDefault="00B6419E" w:rsidP="007252BC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6B4600C" wp14:editId="60D5922F">
                  <wp:extent cx="6120765" cy="96393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PF-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419E" w:rsidTr="00657226">
        <w:tc>
          <w:tcPr>
            <w:tcW w:w="98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6419E" w:rsidRDefault="00B6419E" w:rsidP="00B6419E">
            <w:pPr>
              <w:pStyle w:val="Header"/>
              <w:tabs>
                <w:tab w:val="left" w:pos="284"/>
              </w:tabs>
              <w:spacing w:before="60" w:line="360" w:lineRule="auto"/>
              <w:ind w:left="284"/>
              <w:jc w:val="left"/>
              <w:rPr>
                <w:noProof/>
              </w:rPr>
            </w:pPr>
            <w:r>
              <w:rPr>
                <w:sz w:val="28"/>
                <w:szCs w:val="28"/>
              </w:rPr>
              <w:t>Ginebra, 14-16 de mayo de 2013</w:t>
            </w:r>
          </w:p>
        </w:tc>
      </w:tr>
      <w:tr w:rsidR="00B6419E" w:rsidTr="00F153B6">
        <w:tc>
          <w:tcPr>
            <w:tcW w:w="6166" w:type="dxa"/>
            <w:tcBorders>
              <w:top w:val="single" w:sz="12" w:space="0" w:color="auto"/>
              <w:left w:val="nil"/>
            </w:tcBorders>
            <w:hideMark/>
          </w:tcPr>
          <w:p w:rsidR="00B6419E" w:rsidRDefault="00B6419E" w:rsidP="007252BC">
            <w:pPr>
              <w:pStyle w:val="Header"/>
              <w:tabs>
                <w:tab w:val="left" w:pos="6521"/>
              </w:tabs>
              <w:spacing w:before="160"/>
              <w:ind w:left="284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12" w:space="0" w:color="auto"/>
              <w:right w:val="nil"/>
            </w:tcBorders>
          </w:tcPr>
          <w:p w:rsidR="00B6419E" w:rsidRPr="00141432" w:rsidRDefault="00B6419E" w:rsidP="00B6419E">
            <w:pPr>
              <w:rPr>
                <w:b/>
                <w:bCs/>
              </w:rPr>
            </w:pPr>
            <w:r w:rsidRPr="00141432">
              <w:rPr>
                <w:b/>
                <w:bCs/>
              </w:rPr>
              <w:t>Document</w:t>
            </w:r>
            <w:r>
              <w:rPr>
                <w:b/>
                <w:bCs/>
              </w:rPr>
              <w:t>o</w:t>
            </w:r>
            <w:r w:rsidRPr="00141432">
              <w:rPr>
                <w:b/>
                <w:bCs/>
              </w:rPr>
              <w:t xml:space="preserve"> WTPF-13/</w:t>
            </w:r>
            <w:r w:rsidR="00657226">
              <w:rPr>
                <w:b/>
                <w:bCs/>
              </w:rPr>
              <w:t>DT/1</w:t>
            </w:r>
            <w:r w:rsidRPr="00141432">
              <w:rPr>
                <w:b/>
                <w:bCs/>
              </w:rPr>
              <w:t>-</w:t>
            </w:r>
            <w:r>
              <w:rPr>
                <w:b/>
                <w:bCs/>
              </w:rPr>
              <w:t>S</w:t>
            </w:r>
          </w:p>
          <w:p w:rsidR="00B6419E" w:rsidRPr="00141432" w:rsidRDefault="00657226" w:rsidP="007252BC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14 de mayo de 2013</w:t>
            </w:r>
          </w:p>
          <w:p w:rsidR="00B6419E" w:rsidRDefault="00B6419E" w:rsidP="007252BC">
            <w:pPr>
              <w:pStyle w:val="Header"/>
              <w:tabs>
                <w:tab w:val="left" w:pos="6521"/>
              </w:tabs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Original: </w:t>
            </w:r>
            <w:r w:rsidR="00657226">
              <w:rPr>
                <w:b/>
                <w:bCs/>
                <w:sz w:val="24"/>
                <w:szCs w:val="24"/>
              </w:rPr>
              <w:t>inglés</w:t>
            </w:r>
          </w:p>
        </w:tc>
      </w:tr>
      <w:tr w:rsidR="00657226" w:rsidRPr="00377834" w:rsidTr="00F153B6">
        <w:tc>
          <w:tcPr>
            <w:tcW w:w="9855" w:type="dxa"/>
            <w:gridSpan w:val="2"/>
          </w:tcPr>
          <w:p w:rsidR="00657226" w:rsidRPr="00261B45" w:rsidRDefault="00657226" w:rsidP="001872D6">
            <w:pPr>
              <w:pStyle w:val="Title4"/>
              <w:rPr>
                <w:caps/>
                <w:szCs w:val="24"/>
              </w:rPr>
            </w:pPr>
            <w:r w:rsidRPr="00261B45">
              <w:rPr>
                <w:lang w:val="es-ES"/>
              </w:rPr>
              <w:t xml:space="preserve">PROYECTO DE OPINIÓN 1: </w:t>
            </w:r>
            <w:r w:rsidR="00F153B6">
              <w:rPr>
                <w:lang w:val="es-ES"/>
              </w:rPr>
              <w:t>P</w:t>
            </w:r>
            <w:r w:rsidR="00F153B6" w:rsidRPr="00377834">
              <w:rPr>
                <w:lang w:val="es-ES"/>
              </w:rPr>
              <w:t xml:space="preserve">romover </w:t>
            </w:r>
            <w:r w:rsidR="00F153B6">
              <w:rPr>
                <w:lang w:val="es-ES"/>
              </w:rPr>
              <w:t xml:space="preserve">los puntos de intercambio de </w:t>
            </w:r>
            <w:r w:rsidR="00F153B6">
              <w:rPr>
                <w:lang w:val="es-ES"/>
              </w:rPr>
              <w:br/>
              <w:t>tráfico</w:t>
            </w:r>
            <w:r w:rsidR="00F153B6" w:rsidRPr="00377834">
              <w:rPr>
                <w:lang w:val="es-ES"/>
              </w:rPr>
              <w:t xml:space="preserve"> </w:t>
            </w:r>
            <w:r w:rsidR="00F153B6">
              <w:rPr>
                <w:lang w:val="es-ES"/>
              </w:rPr>
              <w:t>I</w:t>
            </w:r>
            <w:r w:rsidR="00F153B6" w:rsidRPr="00377834">
              <w:rPr>
                <w:lang w:val="es-ES"/>
              </w:rPr>
              <w:t xml:space="preserve">nternet (IXP), la solución a largo plazo para </w:t>
            </w:r>
            <w:r w:rsidR="00F153B6">
              <w:rPr>
                <w:lang w:val="es-ES"/>
              </w:rPr>
              <w:br/>
            </w:r>
            <w:r w:rsidR="00F153B6" w:rsidRPr="00377834">
              <w:rPr>
                <w:lang w:val="es-ES"/>
              </w:rPr>
              <w:t>potenciar la conectividad</w:t>
            </w:r>
          </w:p>
        </w:tc>
      </w:tr>
    </w:tbl>
    <w:p w:rsidR="00657226" w:rsidRPr="00924614" w:rsidRDefault="00657226" w:rsidP="00657226">
      <w:pPr>
        <w:pStyle w:val="Normalaftertitle"/>
        <w:spacing w:before="480"/>
      </w:pPr>
      <w:r w:rsidRPr="004F620D">
        <w:rPr>
          <w:rFonts w:asciiTheme="minorHAnsi" w:hAnsiTheme="minorHAnsi" w:cstheme="minorHAnsi"/>
          <w:szCs w:val="24"/>
          <w:lang w:val="es-ES"/>
        </w:rPr>
        <w:t xml:space="preserve">El </w:t>
      </w:r>
      <w:r>
        <w:rPr>
          <w:rFonts w:asciiTheme="minorHAnsi" w:hAnsiTheme="minorHAnsi" w:cstheme="minorHAnsi"/>
          <w:szCs w:val="24"/>
          <w:lang w:val="es-ES"/>
        </w:rPr>
        <w:t>quinto</w:t>
      </w:r>
      <w:r w:rsidRPr="004F620D">
        <w:rPr>
          <w:rFonts w:asciiTheme="minorHAnsi" w:hAnsiTheme="minorHAnsi" w:cstheme="minorHAnsi"/>
          <w:szCs w:val="24"/>
          <w:lang w:val="es-ES"/>
        </w:rPr>
        <w:t xml:space="preserve"> Foro Mundial de Política de las Telecomunicaciones</w:t>
      </w:r>
      <w:r>
        <w:rPr>
          <w:rFonts w:asciiTheme="minorHAnsi" w:hAnsiTheme="minorHAnsi" w:cstheme="minorHAnsi"/>
          <w:szCs w:val="24"/>
          <w:lang w:val="es-ES"/>
        </w:rPr>
        <w:t>/TIC</w:t>
      </w:r>
      <w:r w:rsidRPr="004F620D">
        <w:rPr>
          <w:rFonts w:asciiTheme="minorHAnsi" w:hAnsiTheme="minorHAnsi" w:cstheme="minorHAnsi"/>
          <w:szCs w:val="24"/>
          <w:lang w:val="es-ES"/>
        </w:rPr>
        <w:t xml:space="preserve"> (G</w:t>
      </w:r>
      <w:r>
        <w:rPr>
          <w:rFonts w:asciiTheme="minorHAnsi" w:hAnsiTheme="minorHAnsi" w:cstheme="minorHAnsi"/>
          <w:szCs w:val="24"/>
          <w:lang w:val="es-ES"/>
        </w:rPr>
        <w:t>inebr</w:t>
      </w:r>
      <w:r w:rsidRPr="004F620D">
        <w:rPr>
          <w:rFonts w:asciiTheme="minorHAnsi" w:hAnsiTheme="minorHAnsi" w:cstheme="minorHAnsi"/>
          <w:szCs w:val="24"/>
          <w:lang w:val="es-ES"/>
        </w:rPr>
        <w:t>a, 2013),</w:t>
      </w:r>
    </w:p>
    <w:p w:rsidR="00657226" w:rsidRPr="00924614" w:rsidRDefault="00657226" w:rsidP="00657226">
      <w:pPr>
        <w:pStyle w:val="Call"/>
      </w:pPr>
      <w:r w:rsidRPr="00924614">
        <w:t>recordando</w:t>
      </w:r>
    </w:p>
    <w:p w:rsidR="00657226" w:rsidRPr="00924614" w:rsidRDefault="00657226" w:rsidP="00657226">
      <w:r w:rsidRPr="00924614">
        <w:t>a)</w:t>
      </w:r>
      <w:r w:rsidRPr="00924614">
        <w:tab/>
      </w:r>
      <w:r w:rsidRPr="00640113">
        <w:rPr>
          <w:rFonts w:asciiTheme="minorHAnsi" w:hAnsiTheme="minorHAnsi" w:cstheme="minorHAnsi"/>
          <w:szCs w:val="24"/>
        </w:rPr>
        <w:t xml:space="preserve">que en el inciso 27, c)i de la Agenda de Túnez se reconoce que </w:t>
      </w:r>
      <w:r>
        <w:rPr>
          <w:rFonts w:asciiTheme="minorHAnsi" w:hAnsiTheme="minorHAnsi" w:cstheme="minorHAnsi"/>
          <w:szCs w:val="24"/>
        </w:rPr>
        <w:t>los puntos de intercambio de tráfico</w:t>
      </w:r>
      <w:r w:rsidRPr="00640113">
        <w:rPr>
          <w:rFonts w:asciiTheme="minorHAnsi" w:hAnsiTheme="minorHAnsi" w:cstheme="minorHAnsi"/>
          <w:szCs w:val="24"/>
        </w:rPr>
        <w:t xml:space="preserve"> Internet pueden contribuir a la reducción de los costes de interconexión y ampliar el acceso a la red</w:t>
      </w:r>
      <w:r w:rsidRPr="00924614">
        <w:t>;</w:t>
      </w:r>
    </w:p>
    <w:p w:rsidR="00657226" w:rsidRPr="00924614" w:rsidRDefault="00657226" w:rsidP="00657226">
      <w:r w:rsidRPr="00924614">
        <w:t>b)</w:t>
      </w:r>
      <w:r w:rsidRPr="00924614">
        <w:tab/>
      </w:r>
      <w:r w:rsidRPr="00640113">
        <w:rPr>
          <w:rFonts w:asciiTheme="minorHAnsi" w:hAnsiTheme="minorHAnsi" w:cstheme="minorHAnsi"/>
          <w:szCs w:val="24"/>
        </w:rPr>
        <w:t>el punto 50 de la Agenda de Túnez, en el que se exhorta al establecimiento de centrales Internet nacionales, regionales y subregionales como estrategia para hacer cada vez más asequible la conectividad mundial, con miras a facilitar un acceso más equitativo y eficaz para todos</w:t>
      </w:r>
      <w:r w:rsidRPr="00924614">
        <w:t>;</w:t>
      </w:r>
    </w:p>
    <w:p w:rsidR="00657226" w:rsidRPr="00924614" w:rsidRDefault="00657226" w:rsidP="00657226">
      <w:r w:rsidRPr="00924614">
        <w:t>c)</w:t>
      </w:r>
      <w:r w:rsidRPr="00924614">
        <w:tab/>
      </w:r>
      <w:r w:rsidRPr="00640113">
        <w:rPr>
          <w:rFonts w:asciiTheme="minorHAnsi" w:hAnsiTheme="minorHAnsi" w:cstheme="minorHAnsi"/>
          <w:szCs w:val="24"/>
        </w:rPr>
        <w:t xml:space="preserve">el </w:t>
      </w:r>
      <w:r w:rsidRPr="00640113">
        <w:rPr>
          <w:rFonts w:asciiTheme="minorHAnsi" w:hAnsiTheme="minorHAnsi" w:cstheme="minorHAnsi"/>
          <w:i/>
          <w:iCs/>
          <w:szCs w:val="24"/>
        </w:rPr>
        <w:t>resuelve 2)</w:t>
      </w:r>
      <w:r w:rsidRPr="00640113">
        <w:rPr>
          <w:rFonts w:asciiTheme="minorHAnsi" w:hAnsiTheme="minorHAnsi" w:cstheme="minorHAnsi"/>
          <w:szCs w:val="24"/>
        </w:rPr>
        <w:t xml:space="preserve"> de la Resolución 101 (Rev. Guadalajara, 2010)</w:t>
      </w:r>
      <w:r w:rsidRPr="00640113">
        <w:rPr>
          <w:rFonts w:asciiTheme="minorHAnsi" w:hAnsiTheme="minorHAnsi" w:cstheme="minorHAnsi"/>
          <w:iCs/>
          <w:szCs w:val="24"/>
        </w:rPr>
        <w:t>,</w:t>
      </w:r>
      <w:r w:rsidRPr="00640113">
        <w:rPr>
          <w:rFonts w:asciiTheme="minorHAnsi" w:hAnsiTheme="minorHAnsi" w:cstheme="minorHAnsi"/>
          <w:szCs w:val="24"/>
        </w:rPr>
        <w:t xml:space="preserve"> en el que se dispone que</w:t>
      </w:r>
      <w:r w:rsidRPr="00640113">
        <w:rPr>
          <w:rFonts w:cs="TimesNewRoman"/>
          <w:szCs w:val="24"/>
        </w:rPr>
        <w:t xml:space="preserve"> la UIT aproveche plenamente las oportunidades que brinda el crecimiento de los servicios basados en el IP para el desarrollo de las telecomunicaciones/TIC de conformidad con los objetivos de la UIT y los resultados de las fases de Ginebra (2003) y de Túnez (2005) de la CMSI</w:t>
      </w:r>
      <w:r>
        <w:rPr>
          <w:rFonts w:asciiTheme="minorHAnsi" w:hAnsiTheme="minorHAnsi" w:cstheme="minorHAnsi"/>
          <w:szCs w:val="24"/>
          <w:lang w:val="es-ES"/>
        </w:rPr>
        <w:t>,</w:t>
      </w:r>
    </w:p>
    <w:p w:rsidR="00657226" w:rsidRPr="00924614" w:rsidRDefault="00657226" w:rsidP="00657226">
      <w:pPr>
        <w:pStyle w:val="Call"/>
      </w:pPr>
      <w:r w:rsidRPr="00924614">
        <w:t>considerando</w:t>
      </w:r>
    </w:p>
    <w:p w:rsidR="00657226" w:rsidRPr="00924614" w:rsidRDefault="00657226" w:rsidP="00657226">
      <w:r w:rsidRPr="00924614">
        <w:t>a)</w:t>
      </w:r>
      <w:r w:rsidRPr="00924614">
        <w:tab/>
      </w:r>
      <w:r w:rsidRPr="00640113">
        <w:rPr>
          <w:rFonts w:asciiTheme="minorHAnsi" w:hAnsiTheme="minorHAnsi" w:cstheme="minorHAnsi"/>
          <w:szCs w:val="24"/>
        </w:rPr>
        <w:t>que según un estudio de ISOC, la OCDE y la UNESCO</w:t>
      </w:r>
      <w:r w:rsidRPr="00640113">
        <w:rPr>
          <w:rFonts w:asciiTheme="minorHAnsi" w:hAnsiTheme="minorHAnsi" w:cstheme="minorHAnsi"/>
          <w:szCs w:val="24"/>
          <w:vertAlign w:val="superscript"/>
        </w:rPr>
        <w:footnoteReference w:id="1"/>
      </w:r>
      <w:r w:rsidRPr="00640113">
        <w:rPr>
          <w:rFonts w:asciiTheme="minorHAnsi" w:hAnsiTheme="minorHAnsi" w:cstheme="minorHAnsi"/>
          <w:szCs w:val="24"/>
        </w:rPr>
        <w:t xml:space="preserve">, </w:t>
      </w:r>
      <w:r>
        <w:rPr>
          <w:rFonts w:asciiTheme="minorHAnsi" w:hAnsiTheme="minorHAnsi" w:cstheme="minorHAnsi"/>
          <w:szCs w:val="24"/>
        </w:rPr>
        <w:t>"</w:t>
      </w:r>
      <w:r w:rsidRPr="00640113">
        <w:rPr>
          <w:rFonts w:asciiTheme="minorHAnsi" w:hAnsiTheme="minorHAnsi" w:cstheme="minorHAnsi"/>
          <w:szCs w:val="24"/>
        </w:rPr>
        <w:t>existe una fuerte correlación entre el desarrollo del ancho de banda internacional y el precio del acceso local a Internet</w:t>
      </w:r>
      <w:r>
        <w:rPr>
          <w:rFonts w:asciiTheme="minorHAnsi" w:hAnsiTheme="minorHAnsi" w:cstheme="minorHAnsi"/>
          <w:szCs w:val="24"/>
        </w:rPr>
        <w:t>"</w:t>
      </w:r>
      <w:r w:rsidRPr="00924614">
        <w:t>;</w:t>
      </w:r>
    </w:p>
    <w:p w:rsidR="00657226" w:rsidRPr="00924614" w:rsidRDefault="00657226" w:rsidP="00657226">
      <w:r w:rsidRPr="00924614">
        <w:t>b)</w:t>
      </w:r>
      <w:r w:rsidRPr="00924614">
        <w:tab/>
      </w:r>
      <w:r w:rsidRPr="00640113">
        <w:rPr>
          <w:rFonts w:asciiTheme="minorHAnsi" w:hAnsiTheme="minorHAnsi" w:cstheme="minorHAnsi"/>
          <w:szCs w:val="24"/>
        </w:rPr>
        <w:t>que en el Informe</w:t>
      </w:r>
      <w:r w:rsidRPr="00640113">
        <w:rPr>
          <w:rStyle w:val="FootnoteReference"/>
          <w:rFonts w:asciiTheme="minorHAnsi" w:hAnsiTheme="minorHAnsi" w:cstheme="minorHAnsi"/>
          <w:szCs w:val="24"/>
        </w:rPr>
        <w:footnoteReference w:id="2"/>
      </w:r>
      <w:r w:rsidRPr="00640113">
        <w:rPr>
          <w:rFonts w:asciiTheme="minorHAnsi" w:hAnsiTheme="minorHAnsi" w:cstheme="minorHAnsi"/>
          <w:szCs w:val="24"/>
        </w:rPr>
        <w:t xml:space="preserve"> de la Comisión de la Banda Ancha de la UIT y la UNESCO se reconoce que "las evoluciones tecnológicas tales como las redes de distribución de contenidos (CDN) y </w:t>
      </w:r>
      <w:r>
        <w:rPr>
          <w:rFonts w:asciiTheme="minorHAnsi" w:hAnsiTheme="minorHAnsi" w:cstheme="minorHAnsi"/>
          <w:szCs w:val="24"/>
        </w:rPr>
        <w:t xml:space="preserve">los nuevos puntos de intercambio de tráfico </w:t>
      </w:r>
      <w:r w:rsidRPr="00640113">
        <w:rPr>
          <w:rFonts w:asciiTheme="minorHAnsi" w:hAnsiTheme="minorHAnsi" w:cstheme="minorHAnsi"/>
          <w:szCs w:val="24"/>
        </w:rPr>
        <w:t>Internet (IXP) han dado lugar a ciertas eficacias económicas y del resultado generalmente útiles, siempre que el entorno reglamentario ha sido favorable"</w:t>
      </w:r>
      <w:r w:rsidRPr="00924614">
        <w:t>;</w:t>
      </w:r>
    </w:p>
    <w:p w:rsidR="00657226" w:rsidRPr="00924614" w:rsidRDefault="00657226" w:rsidP="00657226">
      <w:r w:rsidRPr="00924614">
        <w:lastRenderedPageBreak/>
        <w:t>c)</w:t>
      </w:r>
      <w:r w:rsidRPr="00924614">
        <w:tab/>
      </w:r>
      <w:r w:rsidRPr="00640113">
        <w:rPr>
          <w:rFonts w:asciiTheme="minorHAnsi" w:hAnsiTheme="minorHAnsi" w:cstheme="minorHAnsi"/>
          <w:szCs w:val="24"/>
        </w:rPr>
        <w:t>que en la Cumbre Conectar América 2012, dirigentes regionales se comprometieron a desarrollar centrales Internet a escala local, nacional y regional para reducir los costes de acceso a Internet</w:t>
      </w:r>
      <w:r w:rsidRPr="00924614">
        <w:t>;</w:t>
      </w:r>
    </w:p>
    <w:p w:rsidR="00657226" w:rsidRPr="00924614" w:rsidRDefault="00657226" w:rsidP="00657226">
      <w:r w:rsidRPr="00924614">
        <w:t>d)</w:t>
      </w:r>
      <w:r w:rsidRPr="00924614">
        <w:tab/>
      </w:r>
      <w:r>
        <w:rPr>
          <w:rFonts w:asciiTheme="minorHAnsi" w:hAnsiTheme="minorHAnsi" w:cstheme="minorHAnsi"/>
          <w:szCs w:val="24"/>
        </w:rPr>
        <w:t>que lo</w:t>
      </w:r>
      <w:r w:rsidRPr="00640113">
        <w:rPr>
          <w:rFonts w:asciiTheme="minorHAnsi" w:hAnsiTheme="minorHAnsi" w:cstheme="minorHAnsi"/>
          <w:szCs w:val="24"/>
        </w:rPr>
        <w:t xml:space="preserve">s IXP y los puntos de intercambio de tráfico de telecomunicaciones pueden resultar importantes en el despliegue de infraestructura de Internet y para alcanzar los objetivos globales de mejorar la calidad, aumentar la conectividad y resistencia de las redes, fomentar la competencia </w:t>
      </w:r>
      <w:r>
        <w:rPr>
          <w:rFonts w:asciiTheme="minorHAnsi" w:hAnsiTheme="minorHAnsi" w:cstheme="minorHAnsi"/>
          <w:szCs w:val="24"/>
        </w:rPr>
        <w:t xml:space="preserve">y </w:t>
      </w:r>
      <w:r w:rsidRPr="00640113">
        <w:rPr>
          <w:rFonts w:asciiTheme="minorHAnsi" w:hAnsiTheme="minorHAnsi" w:cstheme="minorHAnsi"/>
          <w:szCs w:val="24"/>
        </w:rPr>
        <w:t>reducir los costes de interconexión</w:t>
      </w:r>
      <w:r w:rsidRPr="00924614">
        <w:t>,</w:t>
      </w:r>
    </w:p>
    <w:p w:rsidR="00657226" w:rsidRPr="00924614" w:rsidRDefault="00657226" w:rsidP="00657226">
      <w:pPr>
        <w:pStyle w:val="Call"/>
      </w:pPr>
      <w:r w:rsidRPr="00640113">
        <w:rPr>
          <w:rFonts w:asciiTheme="minorHAnsi" w:hAnsiTheme="minorHAnsi" w:cstheme="minorHAnsi"/>
          <w:szCs w:val="24"/>
        </w:rPr>
        <w:t>opina</w:t>
      </w:r>
    </w:p>
    <w:p w:rsidR="00657226" w:rsidRDefault="00657226" w:rsidP="00657226">
      <w:pPr>
        <w:rPr>
          <w:rFonts w:cstheme="minorHAnsi"/>
          <w:szCs w:val="24"/>
          <w:lang w:val="es-ES"/>
        </w:rPr>
      </w:pPr>
      <w:r>
        <w:rPr>
          <w:rFonts w:cstheme="minorHAnsi"/>
          <w:szCs w:val="24"/>
          <w:lang w:val="es-ES"/>
        </w:rPr>
        <w:t>a)</w:t>
      </w:r>
      <w:r>
        <w:rPr>
          <w:rFonts w:cstheme="minorHAnsi"/>
          <w:szCs w:val="24"/>
          <w:lang w:val="es-ES"/>
        </w:rPr>
        <w:tab/>
      </w:r>
      <w:r w:rsidRPr="00640113">
        <w:rPr>
          <w:rFonts w:asciiTheme="minorHAnsi" w:hAnsiTheme="minorHAnsi" w:cstheme="minorHAnsi"/>
          <w:szCs w:val="24"/>
        </w:rPr>
        <w:t>que la creación de IXP locales, nacionales, subregionales y regionales es una prioridad para afrontar los problemas de conectividad, mejorar la calidad el servicio y reducir los costes de interconexión</w:t>
      </w:r>
      <w:r>
        <w:rPr>
          <w:rFonts w:asciiTheme="minorHAnsi" w:hAnsiTheme="minorHAnsi" w:cstheme="minorHAnsi"/>
          <w:szCs w:val="24"/>
        </w:rPr>
        <w:t>;</w:t>
      </w:r>
    </w:p>
    <w:p w:rsidR="00657226" w:rsidRDefault="00657226" w:rsidP="00657226">
      <w:pPr>
        <w:rPr>
          <w:rFonts w:asciiTheme="minorHAnsi" w:hAnsiTheme="minorHAnsi" w:cstheme="minorHAnsi"/>
          <w:szCs w:val="24"/>
        </w:rPr>
      </w:pPr>
      <w:r>
        <w:t>b)</w:t>
      </w:r>
      <w:r>
        <w:tab/>
      </w:r>
      <w:r w:rsidRPr="00640113">
        <w:rPr>
          <w:rFonts w:asciiTheme="minorHAnsi" w:hAnsiTheme="minorHAnsi" w:cstheme="minorHAnsi"/>
          <w:szCs w:val="24"/>
        </w:rPr>
        <w:t>que permitir la interconexión de redes internacionales, nacionales y regionales a través de IXP puede ser una manera eficaz de mejorar la conectividad Internet internacional y reducir los costes de esa conectividad, adoptando una reglamentación únicamente cuando es necesario para promover la competencia</w:t>
      </w:r>
      <w:r>
        <w:rPr>
          <w:rFonts w:asciiTheme="minorHAnsi" w:hAnsiTheme="minorHAnsi" w:cstheme="minorHAnsi"/>
          <w:szCs w:val="24"/>
        </w:rPr>
        <w:t>;</w:t>
      </w:r>
    </w:p>
    <w:p w:rsidR="00657226" w:rsidRDefault="00657226" w:rsidP="0065722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c)</w:t>
      </w:r>
      <w:r>
        <w:rPr>
          <w:rFonts w:asciiTheme="minorHAnsi" w:hAnsiTheme="minorHAnsi" w:cstheme="minorHAnsi"/>
          <w:szCs w:val="24"/>
        </w:rPr>
        <w:tab/>
      </w:r>
      <w:r w:rsidRPr="00640113">
        <w:rPr>
          <w:rFonts w:asciiTheme="minorHAnsi" w:hAnsiTheme="minorHAnsi" w:cstheme="minorHAnsi"/>
          <w:szCs w:val="24"/>
        </w:rPr>
        <w:t>que los programas de donantes y los mecanismos de financiación del desarrollo deberían contemplar la necesidad de proporcionar fondos a iniciativas que hacen progresar la conectividad, l</w:t>
      </w:r>
      <w:r>
        <w:rPr>
          <w:rFonts w:asciiTheme="minorHAnsi" w:hAnsiTheme="minorHAnsi" w:cstheme="minorHAnsi"/>
          <w:szCs w:val="24"/>
        </w:rPr>
        <w:t>o</w:t>
      </w:r>
      <w:r w:rsidRPr="00640113">
        <w:rPr>
          <w:rFonts w:asciiTheme="minorHAnsi" w:hAnsiTheme="minorHAnsi" w:cstheme="minorHAnsi"/>
          <w:szCs w:val="24"/>
        </w:rPr>
        <w:t>s IXP y el contenido local para los países en desarrollo;</w:t>
      </w:r>
    </w:p>
    <w:p w:rsidR="00657226" w:rsidRDefault="00657226" w:rsidP="0065722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d)</w:t>
      </w:r>
      <w:r>
        <w:rPr>
          <w:rFonts w:asciiTheme="minorHAnsi" w:hAnsiTheme="minorHAnsi" w:cstheme="minorHAnsi"/>
          <w:szCs w:val="24"/>
        </w:rPr>
        <w:tab/>
      </w:r>
      <w:r w:rsidRPr="00640113">
        <w:rPr>
          <w:rFonts w:asciiTheme="minorHAnsi" w:hAnsiTheme="minorHAnsi" w:cstheme="minorHAnsi"/>
          <w:szCs w:val="24"/>
        </w:rPr>
        <w:t>que la creación de IXP genera un círculo virtuoso: l</w:t>
      </w:r>
      <w:r>
        <w:rPr>
          <w:rFonts w:asciiTheme="minorHAnsi" w:hAnsiTheme="minorHAnsi" w:cstheme="minorHAnsi"/>
          <w:szCs w:val="24"/>
        </w:rPr>
        <w:t>o</w:t>
      </w:r>
      <w:r w:rsidRPr="00640113">
        <w:rPr>
          <w:rFonts w:asciiTheme="minorHAnsi" w:hAnsiTheme="minorHAnsi" w:cstheme="minorHAnsi"/>
          <w:szCs w:val="24"/>
        </w:rPr>
        <w:t>s IXP atraen a más PSI y por consiguiente, también empezarán a atraer a proveedores de contenidos locales, nacionales e internacionales, junto con empresas, instituciones académicas y usuarios gubernamentales, lo cual a su vez atraerá a más PSI;</w:t>
      </w:r>
    </w:p>
    <w:p w:rsidR="00657226" w:rsidRDefault="00657226" w:rsidP="0065722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e)</w:t>
      </w:r>
      <w:r>
        <w:rPr>
          <w:rFonts w:asciiTheme="minorHAnsi" w:hAnsiTheme="minorHAnsi" w:cstheme="minorHAnsi"/>
          <w:szCs w:val="24"/>
        </w:rPr>
        <w:tab/>
      </w:r>
      <w:r w:rsidRPr="00640113">
        <w:rPr>
          <w:rFonts w:asciiTheme="minorHAnsi" w:hAnsiTheme="minorHAnsi" w:cstheme="minorHAnsi"/>
          <w:szCs w:val="24"/>
        </w:rPr>
        <w:t>que se debe fomentar y apoyar la capacidad de creación de contenido local en los países en desarrollo en el entorno propicio que ofrecen l</w:t>
      </w:r>
      <w:r>
        <w:rPr>
          <w:rFonts w:asciiTheme="minorHAnsi" w:hAnsiTheme="minorHAnsi" w:cstheme="minorHAnsi"/>
          <w:szCs w:val="24"/>
        </w:rPr>
        <w:t>o</w:t>
      </w:r>
      <w:r w:rsidRPr="00640113">
        <w:rPr>
          <w:rFonts w:asciiTheme="minorHAnsi" w:hAnsiTheme="minorHAnsi" w:cstheme="minorHAnsi"/>
          <w:szCs w:val="24"/>
        </w:rPr>
        <w:t>s IXP locales/regionales;</w:t>
      </w:r>
    </w:p>
    <w:p w:rsidR="00657226" w:rsidRDefault="00657226" w:rsidP="0065722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f)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>que lo</w:t>
      </w:r>
      <w:r w:rsidRPr="00640113">
        <w:rPr>
          <w:rFonts w:asciiTheme="minorHAnsi" w:hAnsiTheme="minorHAnsi" w:cstheme="minorHAnsi"/>
          <w:szCs w:val="24"/>
        </w:rPr>
        <w:t>s IXP aparecen a menudo efectivamente donde los Estados Miembros han adoptado procesos de p</w:t>
      </w:r>
      <w:r>
        <w:rPr>
          <w:rFonts w:asciiTheme="minorHAnsi" w:hAnsiTheme="minorHAnsi" w:cstheme="minorHAnsi"/>
          <w:szCs w:val="24"/>
        </w:rPr>
        <w:t>olítica multipartitos, ya que lo</w:t>
      </w:r>
      <w:r w:rsidRPr="00640113">
        <w:rPr>
          <w:rFonts w:asciiTheme="minorHAnsi" w:hAnsiTheme="minorHAnsi" w:cstheme="minorHAnsi"/>
          <w:szCs w:val="24"/>
        </w:rPr>
        <w:t>s IXP dependen de la cooperación entre los interesados;</w:t>
      </w:r>
    </w:p>
    <w:p w:rsidR="00657226" w:rsidRDefault="00657226" w:rsidP="0065722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g)</w:t>
      </w:r>
      <w:r>
        <w:rPr>
          <w:rFonts w:asciiTheme="minorHAnsi" w:hAnsiTheme="minorHAnsi" w:cstheme="minorHAnsi"/>
          <w:szCs w:val="24"/>
        </w:rPr>
        <w:tab/>
      </w:r>
      <w:r w:rsidRPr="00640113">
        <w:rPr>
          <w:rFonts w:asciiTheme="minorHAnsi" w:hAnsiTheme="minorHAnsi" w:cstheme="minorHAnsi"/>
          <w:szCs w:val="24"/>
        </w:rPr>
        <w:t>que las medidas normativas no deberían obstaculizar la adopción de acuerdos de tránsito y entre pares, a fin de crear un entorno propicio y competitivo para la creación de</w:t>
      </w:r>
      <w:r>
        <w:rPr>
          <w:rFonts w:asciiTheme="minorHAnsi" w:hAnsiTheme="minorHAnsi" w:cstheme="minorHAnsi"/>
          <w:szCs w:val="24"/>
        </w:rPr>
        <w:t> </w:t>
      </w:r>
      <w:r w:rsidRPr="00640113">
        <w:rPr>
          <w:rFonts w:asciiTheme="minorHAnsi" w:hAnsiTheme="minorHAnsi" w:cstheme="minorHAnsi"/>
          <w:szCs w:val="24"/>
        </w:rPr>
        <w:t>IXP;</w:t>
      </w:r>
    </w:p>
    <w:p w:rsidR="00657226" w:rsidRDefault="00657226" w:rsidP="00657226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h)</w:t>
      </w:r>
      <w:r>
        <w:rPr>
          <w:rFonts w:asciiTheme="minorHAnsi" w:hAnsiTheme="minorHAnsi" w:cstheme="minorHAnsi"/>
          <w:szCs w:val="24"/>
        </w:rPr>
        <w:tab/>
      </w:r>
      <w:r w:rsidRPr="00640113">
        <w:rPr>
          <w:rFonts w:asciiTheme="minorHAnsi" w:hAnsiTheme="minorHAnsi" w:cstheme="minorHAnsi"/>
          <w:szCs w:val="24"/>
        </w:rPr>
        <w:t>que la liberalización del mercado de las comunicaciones electrónicas puede resultar significativa para permitir la aparición de un mercado competitivo que apoye la introducción de IXP y la interconexión con las mismas;</w:t>
      </w:r>
    </w:p>
    <w:p w:rsidR="00657226" w:rsidRDefault="00657226" w:rsidP="00657226">
      <w:r>
        <w:rPr>
          <w:rFonts w:asciiTheme="minorHAnsi" w:hAnsiTheme="minorHAnsi" w:cstheme="minorHAnsi"/>
          <w:szCs w:val="24"/>
        </w:rPr>
        <w:t>i)</w:t>
      </w:r>
      <w:r>
        <w:rPr>
          <w:rFonts w:asciiTheme="minorHAnsi" w:hAnsiTheme="minorHAnsi" w:cstheme="minorHAnsi"/>
          <w:szCs w:val="24"/>
        </w:rPr>
        <w:tab/>
      </w:r>
      <w:r w:rsidRPr="00640113">
        <w:rPr>
          <w:rFonts w:asciiTheme="minorHAnsi" w:hAnsiTheme="minorHAnsi" w:cstheme="minorHAnsi"/>
          <w:szCs w:val="24"/>
        </w:rPr>
        <w:t>que el creciente nivel de interconexión que permita la participación en IXP contribuye a aumentar el nivel de resistencia de la infraestructura de la red,</w:t>
      </w:r>
    </w:p>
    <w:p w:rsidR="00657226" w:rsidRDefault="00657226" w:rsidP="00657226">
      <w:pPr>
        <w:pStyle w:val="Call"/>
        <w:rPr>
          <w:rFonts w:asciiTheme="minorHAnsi" w:hAnsiTheme="minorHAnsi" w:cstheme="minorHAnsi"/>
          <w:szCs w:val="24"/>
        </w:rPr>
      </w:pPr>
      <w:r w:rsidRPr="00640113">
        <w:rPr>
          <w:rFonts w:asciiTheme="minorHAnsi" w:hAnsiTheme="minorHAnsi" w:cstheme="minorHAnsi"/>
          <w:szCs w:val="24"/>
        </w:rPr>
        <w:t>invit</w:t>
      </w:r>
      <w:bookmarkStart w:id="0" w:name="_GoBack"/>
      <w:bookmarkEnd w:id="0"/>
      <w:r w:rsidRPr="00640113">
        <w:rPr>
          <w:rFonts w:asciiTheme="minorHAnsi" w:hAnsiTheme="minorHAnsi" w:cstheme="minorHAnsi"/>
          <w:szCs w:val="24"/>
        </w:rPr>
        <w:t>a</w:t>
      </w:r>
    </w:p>
    <w:p w:rsidR="00657226" w:rsidRPr="00640113" w:rsidRDefault="00657226" w:rsidP="00657226">
      <w:pPr>
        <w:tabs>
          <w:tab w:val="left" w:pos="720"/>
        </w:tabs>
        <w:jc w:val="both"/>
        <w:rPr>
          <w:rFonts w:asciiTheme="minorHAnsi" w:hAnsiTheme="minorHAnsi" w:cstheme="minorHAnsi"/>
          <w:szCs w:val="24"/>
          <w:lang w:eastAsia="en-GB"/>
        </w:rPr>
      </w:pPr>
      <w:r w:rsidRPr="00640113">
        <w:rPr>
          <w:rFonts w:asciiTheme="minorHAnsi" w:hAnsiTheme="minorHAnsi" w:cstheme="minorHAnsi"/>
          <w:szCs w:val="24"/>
        </w:rPr>
        <w:t>a los Estados Miembros y los Miembros de Sector a colaborar a fin de:</w:t>
      </w:r>
    </w:p>
    <w:p w:rsidR="00657226" w:rsidRPr="00640113" w:rsidRDefault="00657226" w:rsidP="00657226">
      <w:pPr>
        <w:pStyle w:val="enumlev1"/>
      </w:pPr>
      <w:r w:rsidRPr="008E637D">
        <w:t>•</w:t>
      </w:r>
      <w:r>
        <w:tab/>
      </w:r>
      <w:r w:rsidRPr="00640113">
        <w:t>promover la continuación del desarrollo y expansión de redes a escala nacional, subregional y regional;</w:t>
      </w:r>
    </w:p>
    <w:p w:rsidR="00657226" w:rsidRPr="00640113" w:rsidRDefault="00657226" w:rsidP="00657226">
      <w:pPr>
        <w:pStyle w:val="enumlev1"/>
      </w:pPr>
      <w:r w:rsidRPr="008E637D">
        <w:t>•</w:t>
      </w:r>
      <w:r>
        <w:tab/>
      </w:r>
      <w:r w:rsidRPr="00640113">
        <w:t>facilitar la emergencia de centrales Internet por medio, entre otras cosas, del intercambio de conocimientos técnicos y la promoción de entornos de política propicios mediante consultas multipartitas abiertas;</w:t>
      </w:r>
    </w:p>
    <w:p w:rsidR="00657226" w:rsidRDefault="00657226" w:rsidP="00657226">
      <w:pPr>
        <w:pStyle w:val="enumlev1"/>
      </w:pPr>
      <w:r w:rsidRPr="008E637D">
        <w:lastRenderedPageBreak/>
        <w:t>•</w:t>
      </w:r>
      <w:r>
        <w:tab/>
      </w:r>
      <w:r w:rsidRPr="00640113">
        <w:t>promover políticas públicas encaminadas a permitir que los operadores de redes Internet locales, regionales e internacionales se interconecten a través de IXP.</w:t>
      </w:r>
    </w:p>
    <w:p w:rsidR="00D506C8" w:rsidRDefault="00D506C8" w:rsidP="00657226">
      <w:pPr>
        <w:pStyle w:val="enumlev1"/>
      </w:pPr>
    </w:p>
    <w:p w:rsidR="00657226" w:rsidRDefault="00657226" w:rsidP="00657226">
      <w:pPr>
        <w:jc w:val="center"/>
      </w:pPr>
      <w:r>
        <w:t>______________</w:t>
      </w:r>
    </w:p>
    <w:p w:rsidR="00E3592D" w:rsidRDefault="00E3592D" w:rsidP="00657226"/>
    <w:sectPr w:rsidR="00E3592D" w:rsidSect="006710F6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226" w:rsidRDefault="00657226">
      <w:r>
        <w:separator/>
      </w:r>
    </w:p>
  </w:endnote>
  <w:endnote w:type="continuationSeparator" w:id="0">
    <w:p w:rsidR="00657226" w:rsidRDefault="0065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6C8" w:rsidRDefault="00D506C8" w:rsidP="00D506C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F153B6">
      <w:t>P:\ESP\SG\CONF-SG\WTPF13\DT\001S.docx</w:t>
    </w:r>
    <w:r>
      <w:fldChar w:fldCharType="end"/>
    </w:r>
    <w:r>
      <w:t xml:space="preserve"> (341923)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F153B6">
      <w:t>14.05.13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F153B6">
      <w:t>14.05.13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6D8" w:rsidRDefault="00DF76D8" w:rsidP="00DF76D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F153B6">
      <w:t>P:\ESP\SG\CONF-SG\WTPF13\DT\001S.docx</w:t>
    </w:r>
    <w:r>
      <w:fldChar w:fldCharType="end"/>
    </w:r>
    <w:r>
      <w:t xml:space="preserve"> (341923)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F153B6">
      <w:t>14.05.13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F153B6">
      <w:t>14.05.13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226" w:rsidRDefault="00657226">
      <w:r>
        <w:t>____________________</w:t>
      </w:r>
    </w:p>
  </w:footnote>
  <w:footnote w:type="continuationSeparator" w:id="0">
    <w:p w:rsidR="00657226" w:rsidRDefault="00657226">
      <w:r>
        <w:continuationSeparator/>
      </w:r>
    </w:p>
  </w:footnote>
  <w:footnote w:id="1">
    <w:p w:rsidR="00657226" w:rsidRPr="00640113" w:rsidRDefault="00657226" w:rsidP="00657226">
      <w:pPr>
        <w:pStyle w:val="FootnoteText"/>
        <w:spacing w:after="120"/>
      </w:pPr>
      <w:r w:rsidRPr="00640113">
        <w:rPr>
          <w:rStyle w:val="FootnoteReference"/>
        </w:rPr>
        <w:footnoteRef/>
      </w:r>
      <w:r w:rsidRPr="00640113">
        <w:t xml:space="preserve"> </w:t>
      </w:r>
      <w:r>
        <w:tab/>
      </w:r>
      <w:r w:rsidRPr="00640113">
        <w:t>Relación entre contenido local, desarrollo de Internet y precios de acceso (OCDE, UNESCO, Internet Society) (2011)</w:t>
      </w:r>
      <w:r w:rsidR="00DF76D8">
        <w:t>.</w:t>
      </w:r>
    </w:p>
  </w:footnote>
  <w:footnote w:id="2">
    <w:p w:rsidR="00657226" w:rsidRPr="00864738" w:rsidRDefault="00657226" w:rsidP="00657226">
      <w:pPr>
        <w:pStyle w:val="FootnoteText"/>
        <w:spacing w:after="120"/>
        <w:rPr>
          <w:lang w:val="en-US"/>
        </w:rPr>
      </w:pPr>
      <w:r w:rsidRPr="00640113">
        <w:rPr>
          <w:rStyle w:val="FootnoteReference"/>
        </w:rPr>
        <w:footnoteRef/>
      </w:r>
      <w:r w:rsidRPr="00864738">
        <w:rPr>
          <w:lang w:val="en-US"/>
        </w:rPr>
        <w:t xml:space="preserve"> </w:t>
      </w:r>
      <w:r>
        <w:rPr>
          <w:lang w:val="en-US"/>
        </w:rPr>
        <w:tab/>
      </w:r>
      <w:r w:rsidRPr="00864738">
        <w:rPr>
          <w:i/>
          <w:iCs/>
          <w:lang w:val="en-US"/>
        </w:rPr>
        <w:t>The State of Broadband 2012</w:t>
      </w:r>
      <w:r w:rsidR="00DF76D8">
        <w:rPr>
          <w:lang w:val="en-US"/>
        </w:rPr>
        <w:t xml:space="preserve"> (UIT y UNESCO, 2012).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1872D6">
      <w:rPr>
        <w:noProof/>
      </w:rPr>
      <w:t>3</w:t>
    </w:r>
    <w:r>
      <w:rPr>
        <w:noProof/>
      </w:rPr>
      <w:fldChar w:fldCharType="end"/>
    </w:r>
  </w:p>
  <w:p w:rsidR="00760F1C" w:rsidRDefault="00B6419E" w:rsidP="007F350B">
    <w:pPr>
      <w:pStyle w:val="Header"/>
    </w:pPr>
    <w:r>
      <w:t>WTPF-13/</w:t>
    </w:r>
    <w:r w:rsidR="00BE2110">
      <w:t>DT/</w:t>
    </w:r>
    <w:r w:rsidR="00D506C8">
      <w:t>1</w:t>
    </w:r>
    <w:r w:rsidR="00760F1C"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26"/>
    <w:rsid w:val="000B0D00"/>
    <w:rsid w:val="000B7C15"/>
    <w:rsid w:val="000D1D0F"/>
    <w:rsid w:val="0010165C"/>
    <w:rsid w:val="001872D6"/>
    <w:rsid w:val="001F14A2"/>
    <w:rsid w:val="002801AA"/>
    <w:rsid w:val="00560125"/>
    <w:rsid w:val="00585553"/>
    <w:rsid w:val="005B34D9"/>
    <w:rsid w:val="005D0CCF"/>
    <w:rsid w:val="005F410F"/>
    <w:rsid w:val="00601924"/>
    <w:rsid w:val="00627CB7"/>
    <w:rsid w:val="0064731F"/>
    <w:rsid w:val="00657226"/>
    <w:rsid w:val="006710F6"/>
    <w:rsid w:val="006B0CAB"/>
    <w:rsid w:val="006C1B56"/>
    <w:rsid w:val="006D4761"/>
    <w:rsid w:val="00760F1C"/>
    <w:rsid w:val="007657F0"/>
    <w:rsid w:val="007E5DD3"/>
    <w:rsid w:val="007F350B"/>
    <w:rsid w:val="00820BE4"/>
    <w:rsid w:val="008451E8"/>
    <w:rsid w:val="008A04E7"/>
    <w:rsid w:val="00913B9C"/>
    <w:rsid w:val="00956E77"/>
    <w:rsid w:val="00AA390C"/>
    <w:rsid w:val="00B574DB"/>
    <w:rsid w:val="00B6419E"/>
    <w:rsid w:val="00B826C2"/>
    <w:rsid w:val="00B82E54"/>
    <w:rsid w:val="00BD0723"/>
    <w:rsid w:val="00BE2110"/>
    <w:rsid w:val="00C55B1F"/>
    <w:rsid w:val="00CF1A67"/>
    <w:rsid w:val="00D506C8"/>
    <w:rsid w:val="00D62446"/>
    <w:rsid w:val="00DA4EA2"/>
    <w:rsid w:val="00DE2C90"/>
    <w:rsid w:val="00DF76D8"/>
    <w:rsid w:val="00E3592D"/>
    <w:rsid w:val="00ED65AB"/>
    <w:rsid w:val="00F12850"/>
    <w:rsid w:val="00F153B6"/>
    <w:rsid w:val="00F33BF4"/>
    <w:rsid w:val="00F7105E"/>
    <w:rsid w:val="00F8112C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0B0D0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character" w:styleId="EndnoteReference">
    <w:name w:val="endnote reference"/>
    <w:basedOn w:val="DefaultParagraphFont"/>
    <w:rsid w:val="006710F6"/>
    <w:rPr>
      <w:vertAlign w:val="superscript"/>
    </w:rPr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6710F6"/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docnoted">
    <w:name w:val="docnoted"/>
    <w:basedOn w:val="Normal"/>
    <w:rsid w:val="006710F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</w:pPr>
    <w:rPr>
      <w:sz w:val="20"/>
    </w:rPr>
  </w:style>
  <w:style w:type="paragraph" w:customStyle="1" w:styleId="Table">
    <w:name w:val="Table_#"/>
    <w:basedOn w:val="Normal"/>
    <w:next w:val="Normal"/>
    <w:rsid w:val="006710F6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character" w:customStyle="1" w:styleId="HeaderChar">
    <w:name w:val="Header Char"/>
    <w:basedOn w:val="DefaultParagraphFont"/>
    <w:link w:val="Header"/>
    <w:rsid w:val="00B6419E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rsid w:val="00B6419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basedOn w:val="DefaultParagraphFont"/>
    <w:link w:val="FootnoteText"/>
    <w:uiPriority w:val="99"/>
    <w:rsid w:val="00657226"/>
    <w:rPr>
      <w:rFonts w:ascii="Calibri" w:hAnsi="Calibri"/>
      <w:sz w:val="24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0B0D0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character" w:styleId="EndnoteReference">
    <w:name w:val="endnote reference"/>
    <w:basedOn w:val="DefaultParagraphFont"/>
    <w:rsid w:val="006710F6"/>
    <w:rPr>
      <w:vertAlign w:val="superscript"/>
    </w:rPr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6710F6"/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docnoted">
    <w:name w:val="docnoted"/>
    <w:basedOn w:val="Normal"/>
    <w:rsid w:val="006710F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</w:pPr>
    <w:rPr>
      <w:sz w:val="20"/>
    </w:rPr>
  </w:style>
  <w:style w:type="paragraph" w:customStyle="1" w:styleId="Table">
    <w:name w:val="Table_#"/>
    <w:basedOn w:val="Normal"/>
    <w:next w:val="Normal"/>
    <w:rsid w:val="006710F6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character" w:customStyle="1" w:styleId="HeaderChar">
    <w:name w:val="Header Char"/>
    <w:basedOn w:val="DefaultParagraphFont"/>
    <w:link w:val="Header"/>
    <w:rsid w:val="00B6419E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rsid w:val="00B6419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basedOn w:val="DefaultParagraphFont"/>
    <w:link w:val="FootnoteText"/>
    <w:uiPriority w:val="99"/>
    <w:rsid w:val="00657226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riste\Application%20Data\Microsoft\Templates\POOL%20S%20-%20ITU\PS_WTPF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PS_WTPF13.dotx</Template>
  <TotalTime>23</TotalTime>
  <Pages>3</Pages>
  <Words>765</Words>
  <Characters>4089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4845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2010</dc:subject>
  <dc:creator>Christe-Baldan, Susana</dc:creator>
  <cp:keywords>C2010, C10</cp:keywords>
  <dc:description>PS_WTPF13.dotx  Para: _x000d_Fecha del documento: _x000d_Registrado por ITU51007821 a 15:31:31 el 28.03.2013</dc:description>
  <cp:lastModifiedBy>Christe-Baldan, Susana</cp:lastModifiedBy>
  <cp:revision>8</cp:revision>
  <cp:lastPrinted>2013-05-14T18:47:00Z</cp:lastPrinted>
  <dcterms:created xsi:type="dcterms:W3CDTF">2013-05-14T18:32:00Z</dcterms:created>
  <dcterms:modified xsi:type="dcterms:W3CDTF">2013-05-14T18:56:00Z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PS_WTPF13.dotx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