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F04067" w:rsidRDefault="00F04067" w:rsidP="00F0406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 xml:space="preserve">World Conference on International </w:t>
            </w:r>
            <w:r w:rsid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>Telecommunications (WCIT-12)</w:t>
            </w: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F04067">
              <w:rPr>
                <w:rFonts w:cstheme="minorHAnsi"/>
                <w:b/>
                <w:bCs/>
                <w:position w:val="6"/>
                <w:sz w:val="22"/>
                <w:szCs w:val="22"/>
                <w:lang w:val="en-US"/>
              </w:rPr>
              <w:t>Dubai, 3-14 December 2012</w:t>
            </w:r>
          </w:p>
        </w:tc>
        <w:tc>
          <w:tcPr>
            <w:tcW w:w="3120" w:type="dxa"/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331E899C" wp14:editId="3591F446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D96B4B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D96B4B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E55816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D96B4B">
              <w:t>PLENARY MEETING</w:t>
            </w:r>
          </w:p>
        </w:tc>
        <w:tc>
          <w:tcPr>
            <w:tcW w:w="3120" w:type="dxa"/>
          </w:tcPr>
          <w:p w:rsidR="00A066F1" w:rsidRPr="00D96B4B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30</w:t>
            </w:r>
            <w:r w:rsidR="00A066F1" w:rsidRPr="00D96B4B">
              <w:rPr>
                <w:rFonts w:cstheme="minorHAnsi"/>
                <w:b/>
                <w:szCs w:val="24"/>
              </w:rPr>
              <w:t>-</w:t>
            </w:r>
            <w:r w:rsidR="005E10C9" w:rsidRPr="00D96B4B">
              <w:rPr>
                <w:rFonts w:cstheme="minorHAnsi"/>
                <w:b/>
                <w:szCs w:val="24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D96B4B" w:rsidRDefault="00E55816" w:rsidP="007D06F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23 November 2012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D96B4B" w:rsidRDefault="00E55816" w:rsidP="00A066F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D96B4B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Source"/>
            </w:pPr>
            <w:r>
              <w:t>Ghana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154F31">
            <w:pPr>
              <w:pStyle w:val="Title2"/>
              <w:spacing w:before="120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044DE0" w:rsidRDefault="00A538A6" w:rsidP="00870D7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bookmarkEnd w:id="6"/>
    <w:bookmarkEnd w:id="7"/>
    <w:p w:rsidR="00A47D29" w:rsidRDefault="00B71679">
      <w:pPr>
        <w:pStyle w:val="Proposal"/>
      </w:pPr>
      <w:r>
        <w:rPr>
          <w:b/>
        </w:rPr>
        <w:t>ADD</w:t>
      </w:r>
      <w:r>
        <w:tab/>
        <w:t>GHA/30/1</w:t>
      </w:r>
    </w:p>
    <w:p w:rsidR="00044DE0" w:rsidRPr="007B2135" w:rsidRDefault="00044DE0" w:rsidP="00044DE0">
      <w:pPr>
        <w:pStyle w:val="ResNo"/>
      </w:pPr>
      <w:bookmarkStart w:id="8" w:name="_Toc89759550"/>
      <w:bookmarkStart w:id="9" w:name="_Toc89759853"/>
      <w:bookmarkStart w:id="10" w:name="_Toc89767446"/>
      <w:bookmarkStart w:id="11" w:name="_Toc89767784"/>
      <w:r w:rsidRPr="007B2135">
        <w:t>DRAFT NEW RESOLUTION [GHA-1]</w:t>
      </w:r>
    </w:p>
    <w:p w:rsidR="00044DE0" w:rsidRPr="00EE5E74" w:rsidRDefault="00EE5E74" w:rsidP="002C10DB">
      <w:pPr>
        <w:pStyle w:val="Restitle"/>
      </w:pPr>
      <w:r w:rsidRPr="007B2135">
        <w:t>To review the ITR</w:t>
      </w:r>
      <w:bookmarkStart w:id="12" w:name="_GoBack"/>
      <w:bookmarkEnd w:id="12"/>
      <w:r w:rsidR="00044DE0" w:rsidRPr="007B2135">
        <w:t>s</w:t>
      </w:r>
      <w:bookmarkEnd w:id="8"/>
      <w:bookmarkEnd w:id="9"/>
      <w:bookmarkEnd w:id="10"/>
      <w:bookmarkEnd w:id="11"/>
      <w:r w:rsidR="00044DE0" w:rsidRPr="007B2135">
        <w:t xml:space="preserve"> more regularly</w:t>
      </w:r>
    </w:p>
    <w:p w:rsidR="00044DE0" w:rsidRPr="00EE5E74" w:rsidRDefault="00044DE0" w:rsidP="00870D7A">
      <w:pPr>
        <w:pStyle w:val="Normalaftertitle0"/>
        <w:snapToGrid w:val="0"/>
        <w:spacing w:before="36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71679">
        <w:rPr>
          <w:rFonts w:asciiTheme="minorHAnsi" w:hAnsiTheme="minorHAnsi" w:cstheme="minorHAnsi"/>
          <w:sz w:val="24"/>
          <w:szCs w:val="24"/>
          <w:lang w:val="en-GB"/>
        </w:rPr>
        <w:t>The World Conference on International Telecommunications (Dubai, 2012)</w:t>
      </w:r>
      <w:r w:rsidR="00154F31" w:rsidRPr="00B71679">
        <w:rPr>
          <w:rFonts w:asciiTheme="minorHAnsi" w:hAnsiTheme="minorHAnsi" w:cstheme="minorHAnsi"/>
          <w:sz w:val="24"/>
          <w:szCs w:val="24"/>
          <w:lang w:val="en-GB"/>
        </w:rPr>
        <w:t>,</w:t>
      </w:r>
    </w:p>
    <w:p w:rsidR="00044DE0" w:rsidRPr="00EE5E74" w:rsidRDefault="00044DE0" w:rsidP="00870D7A">
      <w:pPr>
        <w:pStyle w:val="Call"/>
        <w:keepNext w:val="0"/>
        <w:keepLines w:val="0"/>
        <w:tabs>
          <w:tab w:val="clear" w:pos="1134"/>
          <w:tab w:val="clear" w:pos="1871"/>
          <w:tab w:val="clear" w:pos="2268"/>
        </w:tabs>
        <w:snapToGrid w:val="0"/>
        <w:spacing w:before="24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recognizing</w:t>
      </w:r>
    </w:p>
    <w:p w:rsidR="00044DE0" w:rsidRPr="00EE5E74" w:rsidRDefault="00044DE0" w:rsidP="00870D7A">
      <w:pPr>
        <w:numPr>
          <w:ilvl w:val="0"/>
          <w:numId w:val="4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the International Telecommunication Regulations (ITRs) is one of the pillars supporting the ITU’s mission</w:t>
      </w:r>
      <w:r w:rsidR="00154F31">
        <w:rPr>
          <w:rFonts w:cstheme="minorHAnsi"/>
          <w:szCs w:val="24"/>
        </w:rPr>
        <w:t>;</w:t>
      </w:r>
    </w:p>
    <w:p w:rsidR="00044DE0" w:rsidRPr="00EE5E74" w:rsidRDefault="00044DE0" w:rsidP="00870D7A">
      <w:pPr>
        <w:numPr>
          <w:ilvl w:val="0"/>
          <w:numId w:val="4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24 years passed between the approval of the ITRs and its review at this conference;</w:t>
      </w:r>
    </w:p>
    <w:p w:rsidR="00044DE0" w:rsidRPr="00EE5E74" w:rsidRDefault="00044DE0" w:rsidP="00870D7A">
      <w:pPr>
        <w:numPr>
          <w:ilvl w:val="0"/>
          <w:numId w:val="4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the ITRs consists of high level guiding principles that should not require frequent amendment but in the fast moving sector of telecommunications/ICTs nee</w:t>
      </w:r>
      <w:r w:rsidR="00154F31">
        <w:rPr>
          <w:rFonts w:cstheme="minorHAnsi"/>
          <w:szCs w:val="24"/>
        </w:rPr>
        <w:t>d to be more regularly reviewed,</w:t>
      </w:r>
    </w:p>
    <w:p w:rsidR="00044DE0" w:rsidRDefault="001C3270" w:rsidP="00870D7A">
      <w:pPr>
        <w:tabs>
          <w:tab w:val="clear" w:pos="1134"/>
          <w:tab w:val="clear" w:pos="1871"/>
          <w:tab w:val="clear" w:pos="2268"/>
        </w:tabs>
        <w:snapToGrid w:val="0"/>
        <w:spacing w:before="160"/>
        <w:ind w:left="1134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further recognising</w:t>
      </w:r>
    </w:p>
    <w:p w:rsidR="00044DE0" w:rsidRDefault="00044DE0" w:rsidP="00870D7A">
      <w:pPr>
        <w:numPr>
          <w:ilvl w:val="0"/>
          <w:numId w:val="5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the Radio Regulations (RRs) define:</w:t>
      </w:r>
    </w:p>
    <w:p w:rsidR="001C3270" w:rsidRDefault="001C3270" w:rsidP="00870D7A">
      <w:pPr>
        <w:numPr>
          <w:ilvl w:val="2"/>
          <w:numId w:val="11"/>
        </w:numPr>
        <w:tabs>
          <w:tab w:val="clear" w:pos="1134"/>
          <w:tab w:val="clear" w:pos="1871"/>
          <w:tab w:val="clear" w:pos="2268"/>
        </w:tabs>
        <w:snapToGrid w:val="0"/>
        <w:ind w:left="1560" w:firstLine="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the allocation of different radio services</w:t>
      </w:r>
    </w:p>
    <w:p w:rsidR="001C3270" w:rsidRPr="00EE5E74" w:rsidRDefault="001C3270" w:rsidP="00870D7A">
      <w:pPr>
        <w:numPr>
          <w:ilvl w:val="2"/>
          <w:numId w:val="11"/>
        </w:numPr>
        <w:tabs>
          <w:tab w:val="clear" w:pos="1134"/>
          <w:tab w:val="clear" w:pos="1871"/>
          <w:tab w:val="clear" w:pos="2268"/>
        </w:tabs>
        <w:snapToGrid w:val="0"/>
        <w:ind w:left="2127" w:hanging="567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the mandatory technical parameters to be observed by radio station especially transmitters</w:t>
      </w:r>
    </w:p>
    <w:p w:rsidR="00044DE0" w:rsidRPr="00EE5E74" w:rsidRDefault="00044DE0" w:rsidP="00870D7A">
      <w:pPr>
        <w:numPr>
          <w:ilvl w:val="2"/>
          <w:numId w:val="11"/>
        </w:numPr>
        <w:tabs>
          <w:tab w:val="clear" w:pos="1134"/>
          <w:tab w:val="clear" w:pos="1871"/>
          <w:tab w:val="clear" w:pos="2268"/>
        </w:tabs>
        <w:snapToGrid w:val="0"/>
        <w:ind w:left="2127" w:hanging="567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procedure for coordination and notification of frequency assignments among other</w:t>
      </w:r>
    </w:p>
    <w:p w:rsidR="00044DE0" w:rsidRPr="00EE5E74" w:rsidRDefault="00044DE0" w:rsidP="00870D7A">
      <w:pPr>
        <w:numPr>
          <w:ilvl w:val="2"/>
          <w:numId w:val="11"/>
        </w:numPr>
        <w:tabs>
          <w:tab w:val="clear" w:pos="1134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the use of the satellite orbits</w:t>
      </w:r>
    </w:p>
    <w:p w:rsidR="00044DE0" w:rsidRPr="00EE5E74" w:rsidRDefault="00044DE0" w:rsidP="00870D7A">
      <w:pPr>
        <w:numPr>
          <w:ilvl w:val="0"/>
          <w:numId w:val="5"/>
        </w:numPr>
        <w:tabs>
          <w:tab w:val="clear" w:pos="1871"/>
          <w:tab w:val="clear" w:pos="2268"/>
        </w:tabs>
        <w:snapToGrid w:val="0"/>
        <w:ind w:left="0" w:firstLine="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lastRenderedPageBreak/>
        <w:t>that Administrations may decide to implement the RRs and the ITRs, through national legislation or regulations</w:t>
      </w:r>
      <w:r w:rsidR="00154F31">
        <w:rPr>
          <w:rFonts w:cstheme="minorHAnsi"/>
          <w:szCs w:val="24"/>
        </w:rPr>
        <w:t>,</w:t>
      </w:r>
    </w:p>
    <w:p w:rsidR="00044DE0" w:rsidRPr="00EE5E74" w:rsidRDefault="00044DE0" w:rsidP="00870D7A">
      <w:pPr>
        <w:pStyle w:val="Call"/>
        <w:keepNext w:val="0"/>
        <w:keepLines w:val="0"/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considering</w:t>
      </w:r>
    </w:p>
    <w:p w:rsidR="00044DE0" w:rsidRPr="00EE5E74" w:rsidRDefault="00044DE0" w:rsidP="00870D7A">
      <w:pPr>
        <w:numPr>
          <w:ilvl w:val="0"/>
          <w:numId w:val="6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the Council Working Group to prepare the 2012 World Conference on International Telecommunication has held extensive discussions on the ITRs</w:t>
      </w:r>
      <w:r w:rsidR="00154F31">
        <w:rPr>
          <w:rFonts w:cstheme="minorHAnsi"/>
          <w:szCs w:val="24"/>
        </w:rPr>
        <w:t>;</w:t>
      </w:r>
    </w:p>
    <w:p w:rsidR="00044DE0" w:rsidRPr="00EE5E74" w:rsidRDefault="00044DE0" w:rsidP="00870D7A">
      <w:pPr>
        <w:numPr>
          <w:ilvl w:val="0"/>
          <w:numId w:val="6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there have been wide consultations in all ITU regions, involving private-sector members, associates, academic members and civil society groups, showing great interest in the revision of the ITRs</w:t>
      </w:r>
      <w:r w:rsidR="00154F31">
        <w:rPr>
          <w:rFonts w:cstheme="minorHAnsi"/>
          <w:szCs w:val="24"/>
        </w:rPr>
        <w:t>;</w:t>
      </w:r>
    </w:p>
    <w:p w:rsidR="00044DE0" w:rsidRPr="00EE5E74" w:rsidRDefault="00044DE0" w:rsidP="00154F31">
      <w:pPr>
        <w:numPr>
          <w:ilvl w:val="0"/>
          <w:numId w:val="6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many input documents have been submitted by the ITU membership</w:t>
      </w:r>
      <w:r w:rsidR="00154F31">
        <w:rPr>
          <w:rFonts w:cstheme="minorHAnsi"/>
          <w:szCs w:val="24"/>
        </w:rPr>
        <w:t>,</w:t>
      </w:r>
    </w:p>
    <w:p w:rsidR="00044DE0" w:rsidRPr="00EE5E74" w:rsidRDefault="00044DE0" w:rsidP="00870D7A">
      <w:pPr>
        <w:pStyle w:val="Call"/>
        <w:keepNext w:val="0"/>
        <w:keepLines w:val="0"/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noting</w:t>
      </w:r>
    </w:p>
    <w:p w:rsidR="00044DE0" w:rsidRPr="00EE5E74" w:rsidRDefault="00044DE0" w:rsidP="00870D7A">
      <w:pPr>
        <w:numPr>
          <w:ilvl w:val="0"/>
          <w:numId w:val="8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technological development and demand for services that require high bandwidth conti</w:t>
      </w:r>
      <w:r w:rsidR="00154F31">
        <w:rPr>
          <w:rFonts w:cstheme="minorHAnsi"/>
          <w:szCs w:val="24"/>
        </w:rPr>
        <w:t>nue to increase;</w:t>
      </w:r>
    </w:p>
    <w:p w:rsidR="00044DE0" w:rsidRPr="00EE5E74" w:rsidRDefault="00154F31" w:rsidP="00870D7A">
      <w:pPr>
        <w:numPr>
          <w:ilvl w:val="0"/>
          <w:numId w:val="8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That the ITRs:</w:t>
      </w:r>
    </w:p>
    <w:p w:rsidR="00044DE0" w:rsidRPr="00EE5E74" w:rsidRDefault="00044DE0" w:rsidP="00870D7A">
      <w:pPr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snapToGrid w:val="0"/>
        <w:ind w:left="2127" w:hanging="568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Establish general principles on the provision and operation of international telecoms</w:t>
      </w:r>
    </w:p>
    <w:p w:rsidR="00044DE0" w:rsidRPr="00EE5E74" w:rsidRDefault="00044DE0" w:rsidP="00870D7A">
      <w:pPr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snapToGrid w:val="0"/>
        <w:ind w:left="1559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Facilitate global interconnection and interoperability</w:t>
      </w:r>
    </w:p>
    <w:p w:rsidR="00044DE0" w:rsidRPr="00EE5E74" w:rsidRDefault="00044DE0" w:rsidP="00870D7A">
      <w:pPr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snapToGrid w:val="0"/>
        <w:ind w:left="2127" w:hanging="568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Promote efficiency, usefulness, and availability of international telecommunication services</w:t>
      </w:r>
    </w:p>
    <w:p w:rsidR="00044DE0" w:rsidRPr="00EE5E74" w:rsidRDefault="00044DE0" w:rsidP="00870D7A">
      <w:pPr>
        <w:pStyle w:val="Call"/>
        <w:keepNext w:val="0"/>
        <w:keepLines w:val="0"/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resolves</w:t>
      </w:r>
    </w:p>
    <w:p w:rsidR="00044DE0" w:rsidRPr="00EE5E74" w:rsidRDefault="00044DE0" w:rsidP="00154F31">
      <w:pPr>
        <w:numPr>
          <w:ilvl w:val="0"/>
          <w:numId w:val="10"/>
        </w:numPr>
        <w:tabs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That the ITRs should be reviewed at the occasion of every other WTSA (approximately every eight years) due to the fact that</w:t>
      </w:r>
      <w:r w:rsidR="00154F31">
        <w:rPr>
          <w:rFonts w:cstheme="minorHAnsi"/>
          <w:szCs w:val="24"/>
        </w:rPr>
        <w:t>:</w:t>
      </w:r>
    </w:p>
    <w:p w:rsidR="00044DE0" w:rsidRPr="00EE5E74" w:rsidRDefault="00044DE0" w:rsidP="00870D7A">
      <w:pPr>
        <w:numPr>
          <w:ilvl w:val="1"/>
          <w:numId w:val="10"/>
        </w:numPr>
        <w:tabs>
          <w:tab w:val="clear" w:pos="1134"/>
          <w:tab w:val="clear" w:pos="1871"/>
          <w:tab w:val="clear" w:pos="2268"/>
        </w:tabs>
        <w:snapToGrid w:val="0"/>
        <w:ind w:left="2127" w:hanging="567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There are rapid changes in technologies and services; thus policies and regulations on ICTs should reflect these changes.</w:t>
      </w:r>
    </w:p>
    <w:p w:rsidR="00044DE0" w:rsidRPr="00EE5E74" w:rsidRDefault="00044DE0" w:rsidP="00870D7A">
      <w:pPr>
        <w:numPr>
          <w:ilvl w:val="1"/>
          <w:numId w:val="10"/>
        </w:numPr>
        <w:tabs>
          <w:tab w:val="clear" w:pos="1134"/>
          <w:tab w:val="clear" w:pos="1871"/>
          <w:tab w:val="clear" w:pos="2268"/>
        </w:tabs>
        <w:snapToGrid w:val="0"/>
        <w:ind w:left="2127" w:hanging="567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There is increased use of IP-enabled infrastructure and applications that comes with opportunities and challenges for the ICT sector and these need to be recognised in time.</w:t>
      </w:r>
    </w:p>
    <w:p w:rsidR="00044DE0" w:rsidRPr="00EE5E74" w:rsidRDefault="00044DE0" w:rsidP="00870D7A">
      <w:pPr>
        <w:numPr>
          <w:ilvl w:val="0"/>
          <w:numId w:val="10"/>
        </w:numPr>
        <w:tabs>
          <w:tab w:val="clear" w:pos="1134"/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When reviewing the ITRs particular attention shoul</w:t>
      </w:r>
      <w:r w:rsidR="00154F31">
        <w:rPr>
          <w:rFonts w:cstheme="minorHAnsi"/>
          <w:szCs w:val="24"/>
        </w:rPr>
        <w:t>d be paid to issues relating to: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Roaming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Misuse and fraud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Numbering and identification related issues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Transparency in traffic management and routing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General telecommunication and economic related issues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 xml:space="preserve">Cyber security and cyber threat 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Energy efficiency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Climate Change, Environment and E-waste</w:t>
      </w:r>
    </w:p>
    <w:p w:rsidR="00044DE0" w:rsidRPr="00EE5E74" w:rsidRDefault="00044DE0" w:rsidP="00154F31">
      <w:pPr>
        <w:numPr>
          <w:ilvl w:val="1"/>
          <w:numId w:val="7"/>
        </w:numPr>
        <w:tabs>
          <w:tab w:val="clear" w:pos="1134"/>
          <w:tab w:val="clear" w:pos="1440"/>
          <w:tab w:val="clear" w:pos="1871"/>
          <w:tab w:val="clear" w:pos="2268"/>
        </w:tabs>
        <w:snapToGrid w:val="0"/>
        <w:ind w:left="156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Accessibility</w:t>
      </w:r>
    </w:p>
    <w:p w:rsidR="00044DE0" w:rsidRPr="00EE5E74" w:rsidRDefault="00044DE0" w:rsidP="00870D7A">
      <w:pPr>
        <w:numPr>
          <w:ilvl w:val="0"/>
          <w:numId w:val="10"/>
        </w:numPr>
        <w:tabs>
          <w:tab w:val="clear" w:pos="1134"/>
          <w:tab w:val="clear" w:pos="1871"/>
          <w:tab w:val="clear" w:pos="2268"/>
        </w:tabs>
        <w:snapToGrid w:val="0"/>
        <w:ind w:left="0" w:firstLine="0"/>
        <w:jc w:val="both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lastRenderedPageBreak/>
        <w:t>To invite the Plenipotentiary Conference to consider this Resolution and to take action as appropriate</w:t>
      </w:r>
      <w:r w:rsidR="00154F31">
        <w:rPr>
          <w:rFonts w:cstheme="minorHAnsi"/>
          <w:szCs w:val="24"/>
        </w:rPr>
        <w:t>,</w:t>
      </w:r>
    </w:p>
    <w:p w:rsidR="00044DE0" w:rsidRPr="00EE5E74" w:rsidRDefault="00044DE0" w:rsidP="00870D7A">
      <w:pPr>
        <w:tabs>
          <w:tab w:val="clear" w:pos="1134"/>
          <w:tab w:val="clear" w:pos="1871"/>
          <w:tab w:val="clear" w:pos="2268"/>
        </w:tabs>
        <w:snapToGrid w:val="0"/>
        <w:spacing w:before="160"/>
        <w:ind w:left="1134"/>
        <w:rPr>
          <w:rFonts w:cstheme="minorHAnsi"/>
          <w:i/>
          <w:snapToGrid w:val="0"/>
          <w:szCs w:val="24"/>
        </w:rPr>
      </w:pPr>
      <w:r w:rsidRPr="00EE5E74">
        <w:rPr>
          <w:rFonts w:cstheme="minorHAnsi"/>
          <w:i/>
          <w:snapToGrid w:val="0"/>
          <w:szCs w:val="24"/>
        </w:rPr>
        <w:t>instructs the Secretary-General</w:t>
      </w:r>
    </w:p>
    <w:p w:rsidR="00044DE0" w:rsidRPr="00EE5E74" w:rsidRDefault="00044DE0" w:rsidP="00154F31">
      <w:pPr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napToGrid w:val="0"/>
          <w:szCs w:val="24"/>
        </w:rPr>
      </w:pPr>
      <w:r w:rsidRPr="00EE5E74">
        <w:rPr>
          <w:rFonts w:cstheme="minorHAnsi"/>
          <w:snapToGrid w:val="0"/>
          <w:szCs w:val="24"/>
        </w:rPr>
        <w:t>to bring this Resolution to the attention of the Plenipotentiary Conference</w:t>
      </w:r>
      <w:r w:rsidR="00154F31">
        <w:rPr>
          <w:rFonts w:cstheme="minorHAnsi"/>
          <w:snapToGrid w:val="0"/>
          <w:szCs w:val="24"/>
        </w:rPr>
        <w:t>,</w:t>
      </w:r>
    </w:p>
    <w:p w:rsidR="00044DE0" w:rsidRPr="00EE5E74" w:rsidRDefault="00044DE0" w:rsidP="00870D7A">
      <w:pPr>
        <w:tabs>
          <w:tab w:val="clear" w:pos="1134"/>
          <w:tab w:val="clear" w:pos="1871"/>
          <w:tab w:val="clear" w:pos="2268"/>
        </w:tabs>
        <w:snapToGrid w:val="0"/>
        <w:spacing w:before="160"/>
        <w:ind w:left="1134"/>
        <w:rPr>
          <w:rFonts w:cstheme="minorHAnsi"/>
          <w:i/>
          <w:snapToGrid w:val="0"/>
          <w:szCs w:val="24"/>
        </w:rPr>
      </w:pPr>
      <w:r w:rsidRPr="00EE5E74">
        <w:rPr>
          <w:rFonts w:cstheme="minorHAnsi"/>
          <w:i/>
          <w:snapToGrid w:val="0"/>
          <w:szCs w:val="24"/>
        </w:rPr>
        <w:t>instructs the Secretary-General and the Directors of the Bureaux</w:t>
      </w:r>
    </w:p>
    <w:p w:rsidR="00044DE0" w:rsidRPr="00EE5E74" w:rsidRDefault="00044DE0" w:rsidP="00154F31">
      <w:pPr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napToGrid w:val="0"/>
          <w:szCs w:val="24"/>
        </w:rPr>
      </w:pPr>
      <w:r w:rsidRPr="00EE5E74">
        <w:rPr>
          <w:rFonts w:cstheme="minorHAnsi"/>
          <w:snapToGrid w:val="0"/>
          <w:szCs w:val="24"/>
        </w:rPr>
        <w:t>to identify and collate the relevant and pressing telecommunication issues which should be discussed with a view towards incorporation in the ITRs</w:t>
      </w:r>
      <w:r w:rsidR="00154F31">
        <w:rPr>
          <w:rFonts w:cstheme="minorHAnsi"/>
          <w:snapToGrid w:val="0"/>
          <w:szCs w:val="24"/>
        </w:rPr>
        <w:t>,</w:t>
      </w:r>
    </w:p>
    <w:p w:rsidR="00044DE0" w:rsidRPr="00EE5E74" w:rsidRDefault="00044DE0" w:rsidP="00870D7A">
      <w:pPr>
        <w:pStyle w:val="Call"/>
        <w:keepNext w:val="0"/>
        <w:keepLines w:val="0"/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Invites Member States</w:t>
      </w:r>
    </w:p>
    <w:p w:rsidR="00044DE0" w:rsidRDefault="00044DE0" w:rsidP="00870D7A">
      <w:pPr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zCs w:val="24"/>
        </w:rPr>
      </w:pPr>
      <w:r w:rsidRPr="00EE5E74">
        <w:rPr>
          <w:rFonts w:cstheme="minorHAnsi"/>
          <w:szCs w:val="24"/>
        </w:rPr>
        <w:t>to contribute to the w</w:t>
      </w:r>
      <w:r w:rsidR="00154F31">
        <w:rPr>
          <w:rFonts w:cstheme="minorHAnsi"/>
          <w:szCs w:val="24"/>
        </w:rPr>
        <w:t>ork outlined in this Resolution.</w:t>
      </w:r>
    </w:p>
    <w:p w:rsidR="00154F31" w:rsidRDefault="00154F31" w:rsidP="00154F31">
      <w:pPr>
        <w:pStyle w:val="Reasons"/>
      </w:pPr>
    </w:p>
    <w:p w:rsidR="00154F31" w:rsidRPr="00EE5E74" w:rsidRDefault="00154F31" w:rsidP="00154F31">
      <w:pPr>
        <w:tabs>
          <w:tab w:val="clear" w:pos="1134"/>
          <w:tab w:val="clear" w:pos="1871"/>
          <w:tab w:val="clear" w:pos="2268"/>
        </w:tabs>
        <w:snapToGrid w:val="0"/>
        <w:spacing w:before="48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</w:t>
      </w:r>
    </w:p>
    <w:sectPr w:rsidR="00154F31" w:rsidRPr="00EE5E74" w:rsidSect="0039169B">
      <w:headerReference w:type="default" r:id="rId14"/>
      <w:footerReference w:type="even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EF" w:rsidRDefault="00821CEF">
      <w:r>
        <w:separator/>
      </w:r>
    </w:p>
  </w:endnote>
  <w:endnote w:type="continuationSeparator" w:id="0">
    <w:p w:rsidR="00821CEF" w:rsidRDefault="008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C10DB">
      <w:rPr>
        <w:noProof/>
        <w:lang w:val="en-US"/>
      </w:rPr>
      <w:t>P:\SPM\GBS\wcit-12\doc\030e_Ghana.docx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10DB">
      <w:rPr>
        <w:noProof/>
      </w:rPr>
      <w:t>23.11.12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10DB">
      <w:rPr>
        <w:noProof/>
      </w:rPr>
      <w:t>27.11.12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EF" w:rsidRDefault="00821CEF">
      <w:r>
        <w:rPr>
          <w:b/>
        </w:rPr>
        <w:t>_______________</w:t>
      </w:r>
    </w:p>
  </w:footnote>
  <w:footnote w:type="continuationSeparator" w:id="0">
    <w:p w:rsidR="00821CEF" w:rsidRDefault="0082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C10DB">
      <w:rPr>
        <w:noProof/>
      </w:rPr>
      <w:t>3</w:t>
    </w:r>
    <w:r>
      <w:fldChar w:fldCharType="end"/>
    </w:r>
    <w:r w:rsidR="00B71679">
      <w:t>/</w:t>
    </w:r>
    <w:fldSimple w:instr=" NUMPAGES   \* MERGEFORMAT ">
      <w:r w:rsidR="002C10DB">
        <w:rPr>
          <w:noProof/>
        </w:rPr>
        <w:t>3</w:t>
      </w:r>
    </w:fldSimple>
  </w:p>
  <w:p w:rsidR="00A066F1" w:rsidRPr="00A066F1" w:rsidRDefault="00D96B4B" w:rsidP="00F21A1D">
    <w:pPr>
      <w:pStyle w:val="Header"/>
      <w:ind w:left="567" w:hanging="567"/>
    </w:pPr>
    <w:r>
      <w:t>WCI</w:t>
    </w:r>
    <w:r>
      <w:rPr>
        <w:lang w:val="en-US"/>
      </w:rPr>
      <w:t>T</w:t>
    </w:r>
    <w:r w:rsidR="00187BD9">
      <w:t>12</w:t>
    </w:r>
    <w:r w:rsidR="00F21A1D">
      <w:t>/</w:t>
    </w:r>
    <w:bookmarkStart w:id="13" w:name="OLE_LINK1"/>
    <w:bookmarkStart w:id="14" w:name="OLE_LINK2"/>
    <w:bookmarkStart w:id="15" w:name="OLE_LINK3"/>
    <w:r w:rsidR="00F21A1D">
      <w:t>30</w:t>
    </w:r>
    <w:bookmarkEnd w:id="13"/>
    <w:bookmarkEnd w:id="14"/>
    <w:bookmarkEnd w:id="15"/>
    <w:r w:rsidR="00F21A1D">
      <w:t>-</w:t>
    </w:r>
    <w:r w:rsidR="00F21A1D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1991EFD"/>
    <w:multiLevelType w:val="hybridMultilevel"/>
    <w:tmpl w:val="7B363E70"/>
    <w:lvl w:ilvl="0" w:tplc="D4E01752">
      <w:start w:val="1"/>
      <w:numFmt w:val="lowerLetter"/>
      <w:lvlText w:val="%1)"/>
      <w:lvlJc w:val="left"/>
      <w:pPr>
        <w:ind w:left="1188" w:hanging="468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E2F8D"/>
    <w:multiLevelType w:val="hybridMultilevel"/>
    <w:tmpl w:val="B9D484CE"/>
    <w:lvl w:ilvl="0" w:tplc="60C60F0E">
      <w:start w:val="1"/>
      <w:numFmt w:val="lowerRoman"/>
      <w:lvlText w:val="%1."/>
      <w:lvlJc w:val="left"/>
      <w:pPr>
        <w:ind w:left="1514" w:hanging="360"/>
      </w:pPr>
      <w:rPr>
        <w:rFonts w:asciiTheme="minorHAnsi" w:eastAsia="Times New Roman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2BAB6CC3"/>
    <w:multiLevelType w:val="hybridMultilevel"/>
    <w:tmpl w:val="4DF87C40"/>
    <w:lvl w:ilvl="0" w:tplc="91C847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6C0F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12548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A9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CB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41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B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88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C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167CD"/>
    <w:multiLevelType w:val="hybridMultilevel"/>
    <w:tmpl w:val="DA28B546"/>
    <w:lvl w:ilvl="0" w:tplc="E202258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ECA627CC">
      <w:start w:val="1"/>
      <w:numFmt w:val="lowerRoman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28B6"/>
    <w:multiLevelType w:val="hybridMultilevel"/>
    <w:tmpl w:val="1158AAD2"/>
    <w:lvl w:ilvl="0" w:tplc="85D4A7D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C64D2"/>
    <w:multiLevelType w:val="hybridMultilevel"/>
    <w:tmpl w:val="8D08D4F0"/>
    <w:lvl w:ilvl="0" w:tplc="8D9E681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90B4B56A">
      <w:start w:val="1"/>
      <w:numFmt w:val="lowerRoman"/>
      <w:lvlText w:val="%3."/>
      <w:lvlJc w:val="left"/>
      <w:pPr>
        <w:ind w:left="311" w:hanging="180"/>
      </w:pPr>
      <w:rPr>
        <w:rFonts w:asciiTheme="minorHAnsi" w:eastAsia="Times New Roman" w:hAnsiTheme="minorHAnsi" w:cstheme="minorHAns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450BD2"/>
    <w:multiLevelType w:val="hybridMultilevel"/>
    <w:tmpl w:val="B442C4EE"/>
    <w:lvl w:ilvl="0" w:tplc="633434C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B2928"/>
    <w:multiLevelType w:val="hybridMultilevel"/>
    <w:tmpl w:val="825C61F6"/>
    <w:lvl w:ilvl="0" w:tplc="8D9E681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311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44DE0"/>
    <w:rsid w:val="00051E39"/>
    <w:rsid w:val="00077239"/>
    <w:rsid w:val="000822BE"/>
    <w:rsid w:val="00086491"/>
    <w:rsid w:val="00091346"/>
    <w:rsid w:val="000F73FF"/>
    <w:rsid w:val="00114CF7"/>
    <w:rsid w:val="00123B68"/>
    <w:rsid w:val="00126F2E"/>
    <w:rsid w:val="00146F6F"/>
    <w:rsid w:val="00152957"/>
    <w:rsid w:val="00154F31"/>
    <w:rsid w:val="00187BD9"/>
    <w:rsid w:val="00190B55"/>
    <w:rsid w:val="00194CFB"/>
    <w:rsid w:val="001C3270"/>
    <w:rsid w:val="001C3B5F"/>
    <w:rsid w:val="001D058F"/>
    <w:rsid w:val="002009EA"/>
    <w:rsid w:val="00202CA0"/>
    <w:rsid w:val="002154A6"/>
    <w:rsid w:val="002255B3"/>
    <w:rsid w:val="00271316"/>
    <w:rsid w:val="002C10DB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5140B"/>
    <w:rsid w:val="005964AB"/>
    <w:rsid w:val="005C099A"/>
    <w:rsid w:val="005C31A5"/>
    <w:rsid w:val="005E10C9"/>
    <w:rsid w:val="005E61DD"/>
    <w:rsid w:val="006023DF"/>
    <w:rsid w:val="00657DE0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B2135"/>
    <w:rsid w:val="007D06F0"/>
    <w:rsid w:val="007D45E3"/>
    <w:rsid w:val="007D5320"/>
    <w:rsid w:val="00800972"/>
    <w:rsid w:val="00804475"/>
    <w:rsid w:val="00811633"/>
    <w:rsid w:val="00821CEF"/>
    <w:rsid w:val="00832828"/>
    <w:rsid w:val="00870D7A"/>
    <w:rsid w:val="00872FC8"/>
    <w:rsid w:val="008845D0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47D29"/>
    <w:rsid w:val="00A538A6"/>
    <w:rsid w:val="00A54C25"/>
    <w:rsid w:val="00A710E7"/>
    <w:rsid w:val="00A7372E"/>
    <w:rsid w:val="00A93B85"/>
    <w:rsid w:val="00AA0B18"/>
    <w:rsid w:val="00AA666F"/>
    <w:rsid w:val="00B639E9"/>
    <w:rsid w:val="00B71679"/>
    <w:rsid w:val="00B817CD"/>
    <w:rsid w:val="00BB3A95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25C2"/>
    <w:rsid w:val="00D936BC"/>
    <w:rsid w:val="00D96530"/>
    <w:rsid w:val="00D96B4B"/>
    <w:rsid w:val="00DD08B4"/>
    <w:rsid w:val="00DD44AF"/>
    <w:rsid w:val="00DE2AC3"/>
    <w:rsid w:val="00DE5692"/>
    <w:rsid w:val="00DF6F8E"/>
    <w:rsid w:val="00E03C94"/>
    <w:rsid w:val="00E26226"/>
    <w:rsid w:val="00E45D05"/>
    <w:rsid w:val="00E55816"/>
    <w:rsid w:val="00E55AEF"/>
    <w:rsid w:val="00E976C1"/>
    <w:rsid w:val="00EA12E5"/>
    <w:rsid w:val="00EE5E74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uiPriority w:val="99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Normalaftertitle0">
    <w:name w:val="Normal_after_title"/>
    <w:basedOn w:val="Normal"/>
    <w:next w:val="Normal"/>
    <w:rsid w:val="00044DE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ascii="Times New Roman" w:hAnsi="Times New Roman"/>
      <w:sz w:val="22"/>
      <w:lang w:val="fr-FR"/>
    </w:rPr>
  </w:style>
  <w:style w:type="character" w:customStyle="1" w:styleId="CallChar">
    <w:name w:val="Call Char"/>
    <w:link w:val="Call"/>
    <w:rsid w:val="00044DE0"/>
    <w:rPr>
      <w:rFonts w:asciiTheme="minorHAnsi" w:hAnsiTheme="minorHAnsi"/>
      <w:i/>
      <w:sz w:val="24"/>
      <w:lang w:val="en-GB" w:eastAsia="en-US"/>
    </w:rPr>
  </w:style>
  <w:style w:type="paragraph" w:customStyle="1" w:styleId="Resref">
    <w:name w:val="Res_ref"/>
    <w:basedOn w:val="Normal"/>
    <w:next w:val="Normal"/>
    <w:rsid w:val="00044DE0"/>
    <w:pPr>
      <w:keepNext/>
      <w:keepLines/>
      <w:tabs>
        <w:tab w:val="clear" w:pos="1134"/>
        <w:tab w:val="clear" w:pos="1871"/>
        <w:tab w:val="clear" w:pos="2268"/>
      </w:tabs>
      <w:spacing w:before="160" w:line="280" w:lineRule="exact"/>
      <w:jc w:val="center"/>
    </w:pPr>
    <w:rPr>
      <w:rFonts w:ascii="Times New Roman" w:hAnsi="Times New Roman"/>
      <w:i/>
      <w:sz w:val="22"/>
      <w:lang w:val="fr-FR"/>
    </w:rPr>
  </w:style>
  <w:style w:type="character" w:customStyle="1" w:styleId="RestitleChar">
    <w:name w:val="Res_title Char"/>
    <w:link w:val="Restitle"/>
    <w:rsid w:val="00044DE0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rsid w:val="00044DE0"/>
    <w:rPr>
      <w:rFonts w:asciiTheme="minorHAnsi" w:hAnsiTheme="minorHAnsi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uiPriority w:val="99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Normalaftertitle0">
    <w:name w:val="Normal_after_title"/>
    <w:basedOn w:val="Normal"/>
    <w:next w:val="Normal"/>
    <w:rsid w:val="00044DE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ascii="Times New Roman" w:hAnsi="Times New Roman"/>
      <w:sz w:val="22"/>
      <w:lang w:val="fr-FR"/>
    </w:rPr>
  </w:style>
  <w:style w:type="character" w:customStyle="1" w:styleId="CallChar">
    <w:name w:val="Call Char"/>
    <w:link w:val="Call"/>
    <w:rsid w:val="00044DE0"/>
    <w:rPr>
      <w:rFonts w:asciiTheme="minorHAnsi" w:hAnsiTheme="minorHAnsi"/>
      <w:i/>
      <w:sz w:val="24"/>
      <w:lang w:val="en-GB" w:eastAsia="en-US"/>
    </w:rPr>
  </w:style>
  <w:style w:type="paragraph" w:customStyle="1" w:styleId="Resref">
    <w:name w:val="Res_ref"/>
    <w:basedOn w:val="Normal"/>
    <w:next w:val="Normal"/>
    <w:rsid w:val="00044DE0"/>
    <w:pPr>
      <w:keepNext/>
      <w:keepLines/>
      <w:tabs>
        <w:tab w:val="clear" w:pos="1134"/>
        <w:tab w:val="clear" w:pos="1871"/>
        <w:tab w:val="clear" w:pos="2268"/>
      </w:tabs>
      <w:spacing w:before="160" w:line="280" w:lineRule="exact"/>
      <w:jc w:val="center"/>
    </w:pPr>
    <w:rPr>
      <w:rFonts w:ascii="Times New Roman" w:hAnsi="Times New Roman"/>
      <w:i/>
      <w:sz w:val="22"/>
      <w:lang w:val="fr-FR"/>
    </w:rPr>
  </w:style>
  <w:style w:type="character" w:customStyle="1" w:styleId="RestitleChar">
    <w:name w:val="Res_title Char"/>
    <w:link w:val="Restitle"/>
    <w:rsid w:val="00044DE0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rsid w:val="00044DE0"/>
    <w:rPr>
      <w:rFonts w:asciiTheme="minorHAnsi" w:hAnsiTheme="minorHAns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CIT1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S12-WCIT12-C-0030!!MSW-E</DPM_x0020_File_x0020_name>
    <DPM_x0020_Author xmlns="32a1a8c5-2265-4ebc-b7a0-2071e2c5c9bb" xsi:nil="false">Documents Proposals Manager (DPM)</DPM_x0020_Author>
    <DPM_x0020_Version xmlns="32a1a8c5-2265-4ebc-b7a0-2071e2c5c9bb" xsi:nil="false">DPM_v5.3.6.12_prod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2264B-4F82-48A6-894A-26055BBC60C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F1E6319-67D9-41FD-8AA1-231D9FD2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PE_WCIT12-E</Template>
  <TotalTime>19</TotalTime>
  <Pages>3</Pages>
  <Words>509</Words>
  <Characters>2788</Characters>
  <Application>Microsoft Office Word</Application>
  <DocSecurity>0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S12-WCIT12-C-0030!!MSW-E</vt:lpstr>
    </vt:vector>
  </TitlesOfParts>
  <Manager>General Secretariat - Pool</Manager>
  <Company>International Telecommunication Union (ITU)</Company>
  <LinksUpToDate>false</LinksUpToDate>
  <CharactersWithSpaces>3254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S12-WCIT12-C-0030!!MSW-E</dc:title>
  <dc:subject>World Conference on International Telecommunications (WCIT)</dc:subject>
  <dc:creator>Documents Proposals Manager (DPM)</dc:creator>
  <cp:keywords>DPM_v5.3.6.12_prod</cp:keywords>
  <cp:lastModifiedBy>Bhandary</cp:lastModifiedBy>
  <cp:revision>5</cp:revision>
  <cp:lastPrinted>2012-11-27T08:46:00Z</cp:lastPrinted>
  <dcterms:created xsi:type="dcterms:W3CDTF">2012-11-23T17:41:00Z</dcterms:created>
  <dcterms:modified xsi:type="dcterms:W3CDTF">2012-11-27T08:55:00Z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