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21B69">
        <w:trPr>
          <w:cantSplit/>
        </w:trPr>
        <w:tc>
          <w:tcPr>
            <w:tcW w:w="6911" w:type="dxa"/>
          </w:tcPr>
          <w:p w:rsidR="00A066F1" w:rsidRPr="00321B69" w:rsidRDefault="00F04067" w:rsidP="00F04067">
            <w:pPr>
              <w:spacing w:before="240" w:after="48" w:line="240" w:lineRule="atLeast"/>
              <w:rPr>
                <w:rFonts w:cstheme="minorHAnsi"/>
                <w:b/>
                <w:bCs/>
                <w:position w:val="6"/>
                <w:sz w:val="28"/>
                <w:szCs w:val="28"/>
              </w:rPr>
            </w:pPr>
            <w:r w:rsidRPr="00321B69">
              <w:rPr>
                <w:rFonts w:cstheme="minorHAnsi"/>
                <w:b/>
                <w:position w:val="6"/>
                <w:sz w:val="28"/>
                <w:szCs w:val="28"/>
              </w:rPr>
              <w:t xml:space="preserve">World Conference on International </w:t>
            </w:r>
            <w:r w:rsidR="00DD08B4" w:rsidRPr="00321B69">
              <w:rPr>
                <w:rFonts w:cstheme="minorHAnsi"/>
                <w:b/>
                <w:position w:val="6"/>
                <w:sz w:val="28"/>
                <w:szCs w:val="28"/>
              </w:rPr>
              <w:br/>
            </w:r>
            <w:r w:rsidRPr="00321B69">
              <w:rPr>
                <w:rFonts w:cstheme="minorHAnsi"/>
                <w:b/>
                <w:position w:val="6"/>
                <w:sz w:val="28"/>
                <w:szCs w:val="28"/>
              </w:rPr>
              <w:t>Telecommunications (WCIT-12)</w:t>
            </w:r>
            <w:r w:rsidRPr="00321B69">
              <w:rPr>
                <w:rFonts w:cstheme="minorHAnsi"/>
                <w:b/>
                <w:position w:val="6"/>
                <w:sz w:val="28"/>
                <w:szCs w:val="28"/>
              </w:rPr>
              <w:br/>
            </w:r>
            <w:r w:rsidRPr="00321B69">
              <w:rPr>
                <w:rFonts w:cstheme="minorHAnsi"/>
                <w:b/>
                <w:bCs/>
                <w:position w:val="6"/>
                <w:sz w:val="22"/>
                <w:szCs w:val="22"/>
              </w:rPr>
              <w:t>Dubai, 3-14 December 2012</w:t>
            </w:r>
          </w:p>
        </w:tc>
        <w:tc>
          <w:tcPr>
            <w:tcW w:w="3120" w:type="dxa"/>
          </w:tcPr>
          <w:p w:rsidR="00A066F1" w:rsidRPr="00321B69" w:rsidRDefault="00A066F1" w:rsidP="00A066F1">
            <w:pPr>
              <w:spacing w:before="0" w:line="240" w:lineRule="atLeast"/>
              <w:rPr>
                <w:rFonts w:cstheme="minorHAnsi"/>
              </w:rPr>
            </w:pPr>
            <w:bookmarkStart w:id="0" w:name="ditulogo"/>
            <w:bookmarkEnd w:id="0"/>
            <w:r w:rsidRPr="00321B69">
              <w:rPr>
                <w:rFonts w:cstheme="minorHAnsi"/>
                <w:noProof/>
                <w:lang w:val="en-US" w:eastAsia="zh-CN"/>
              </w:rPr>
              <w:drawing>
                <wp:inline distT="0" distB="0" distL="0" distR="0" wp14:anchorId="392863F1" wp14:editId="5D8ED4EA">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321B69">
        <w:trPr>
          <w:cantSplit/>
        </w:trPr>
        <w:tc>
          <w:tcPr>
            <w:tcW w:w="6911" w:type="dxa"/>
            <w:tcBorders>
              <w:bottom w:val="single" w:sz="12" w:space="0" w:color="auto"/>
            </w:tcBorders>
          </w:tcPr>
          <w:p w:rsidR="00A066F1" w:rsidRPr="00321B69"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321B69" w:rsidRDefault="00A066F1" w:rsidP="00A066F1">
            <w:pPr>
              <w:spacing w:before="0" w:line="240" w:lineRule="atLeast"/>
              <w:rPr>
                <w:rFonts w:cstheme="minorHAnsi"/>
                <w:szCs w:val="24"/>
              </w:rPr>
            </w:pPr>
          </w:p>
        </w:tc>
      </w:tr>
      <w:tr w:rsidR="00A066F1" w:rsidRPr="00321B69">
        <w:trPr>
          <w:cantSplit/>
        </w:trPr>
        <w:tc>
          <w:tcPr>
            <w:tcW w:w="6911" w:type="dxa"/>
            <w:tcBorders>
              <w:top w:val="single" w:sz="12" w:space="0" w:color="auto"/>
            </w:tcBorders>
          </w:tcPr>
          <w:p w:rsidR="00A066F1" w:rsidRPr="00321B69"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321B69" w:rsidRDefault="00A066F1" w:rsidP="00A066F1">
            <w:pPr>
              <w:spacing w:before="0" w:line="240" w:lineRule="atLeast"/>
              <w:rPr>
                <w:rFonts w:cstheme="minorHAnsi"/>
                <w:sz w:val="20"/>
              </w:rPr>
            </w:pPr>
          </w:p>
        </w:tc>
      </w:tr>
      <w:tr w:rsidR="00A066F1" w:rsidRPr="00321B69">
        <w:trPr>
          <w:cantSplit/>
          <w:trHeight w:val="23"/>
        </w:trPr>
        <w:tc>
          <w:tcPr>
            <w:tcW w:w="6911" w:type="dxa"/>
            <w:shd w:val="clear" w:color="auto" w:fill="auto"/>
          </w:tcPr>
          <w:p w:rsidR="00A066F1" w:rsidRPr="00321B69" w:rsidRDefault="00E55816" w:rsidP="004131D4">
            <w:pPr>
              <w:pStyle w:val="Committee"/>
              <w:framePr w:hSpace="0" w:wrap="auto" w:hAnchor="text" w:yAlign="inline"/>
            </w:pPr>
            <w:bookmarkStart w:id="2" w:name="dnum" w:colFirst="1" w:colLast="1"/>
            <w:bookmarkStart w:id="3" w:name="dmeeting" w:colFirst="0" w:colLast="0"/>
            <w:bookmarkEnd w:id="1"/>
            <w:r w:rsidRPr="00321B69">
              <w:t>PLENARY MEETING</w:t>
            </w:r>
          </w:p>
        </w:tc>
        <w:tc>
          <w:tcPr>
            <w:tcW w:w="3120" w:type="dxa"/>
          </w:tcPr>
          <w:p w:rsidR="00A066F1" w:rsidRPr="00321B69" w:rsidRDefault="00E55816" w:rsidP="00AA666F">
            <w:pPr>
              <w:tabs>
                <w:tab w:val="left" w:pos="851"/>
              </w:tabs>
              <w:spacing w:before="0" w:line="240" w:lineRule="atLeast"/>
              <w:rPr>
                <w:rFonts w:cstheme="minorHAnsi"/>
                <w:szCs w:val="24"/>
              </w:rPr>
            </w:pPr>
            <w:r w:rsidRPr="00321B69">
              <w:rPr>
                <w:rFonts w:cstheme="minorHAnsi"/>
                <w:b/>
                <w:szCs w:val="24"/>
              </w:rPr>
              <w:t>Document 26</w:t>
            </w:r>
            <w:r w:rsidR="00A066F1" w:rsidRPr="00321B69">
              <w:rPr>
                <w:rFonts w:cstheme="minorHAnsi"/>
                <w:b/>
                <w:szCs w:val="24"/>
              </w:rPr>
              <w:t>-</w:t>
            </w:r>
            <w:r w:rsidR="005E10C9" w:rsidRPr="00321B69">
              <w:rPr>
                <w:rFonts w:cstheme="minorHAnsi"/>
                <w:b/>
                <w:szCs w:val="24"/>
              </w:rPr>
              <w:t>E</w:t>
            </w:r>
          </w:p>
        </w:tc>
      </w:tr>
      <w:tr w:rsidR="00A066F1" w:rsidRPr="00321B69">
        <w:trPr>
          <w:cantSplit/>
          <w:trHeight w:val="23"/>
        </w:trPr>
        <w:tc>
          <w:tcPr>
            <w:tcW w:w="6911" w:type="dxa"/>
            <w:shd w:val="clear" w:color="auto" w:fill="auto"/>
          </w:tcPr>
          <w:p w:rsidR="00A066F1" w:rsidRPr="00321B69"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321B69" w:rsidRDefault="00E55816" w:rsidP="007D06F0">
            <w:pPr>
              <w:spacing w:before="0" w:line="240" w:lineRule="atLeast"/>
              <w:rPr>
                <w:rFonts w:cstheme="minorHAnsi"/>
                <w:szCs w:val="24"/>
              </w:rPr>
            </w:pPr>
            <w:r w:rsidRPr="00321B69">
              <w:rPr>
                <w:rFonts w:cstheme="minorHAnsi"/>
                <w:b/>
                <w:szCs w:val="24"/>
              </w:rPr>
              <w:t>12 November 2012</w:t>
            </w:r>
          </w:p>
        </w:tc>
      </w:tr>
      <w:tr w:rsidR="00A066F1" w:rsidRPr="00321B69">
        <w:trPr>
          <w:cantSplit/>
          <w:trHeight w:val="23"/>
        </w:trPr>
        <w:tc>
          <w:tcPr>
            <w:tcW w:w="6911" w:type="dxa"/>
            <w:shd w:val="clear" w:color="auto" w:fill="auto"/>
          </w:tcPr>
          <w:p w:rsidR="00A066F1" w:rsidRPr="00321B69"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321B69" w:rsidRDefault="00E55816" w:rsidP="00A066F1">
            <w:pPr>
              <w:tabs>
                <w:tab w:val="left" w:pos="993"/>
              </w:tabs>
              <w:spacing w:before="0"/>
              <w:rPr>
                <w:rFonts w:cstheme="minorHAnsi"/>
                <w:b/>
                <w:szCs w:val="24"/>
              </w:rPr>
            </w:pPr>
            <w:r w:rsidRPr="00321B69">
              <w:rPr>
                <w:rFonts w:cstheme="minorHAnsi"/>
                <w:b/>
                <w:szCs w:val="24"/>
              </w:rPr>
              <w:t>Original: Spanish</w:t>
            </w:r>
          </w:p>
        </w:tc>
      </w:tr>
      <w:tr w:rsidR="00A066F1" w:rsidRPr="00321B69" w:rsidTr="00025864">
        <w:trPr>
          <w:cantSplit/>
          <w:trHeight w:val="23"/>
        </w:trPr>
        <w:tc>
          <w:tcPr>
            <w:tcW w:w="10031" w:type="dxa"/>
            <w:gridSpan w:val="2"/>
            <w:shd w:val="clear" w:color="auto" w:fill="auto"/>
          </w:tcPr>
          <w:p w:rsidR="00A066F1" w:rsidRPr="00321B69" w:rsidRDefault="00A066F1" w:rsidP="00A066F1">
            <w:pPr>
              <w:tabs>
                <w:tab w:val="left" w:pos="993"/>
              </w:tabs>
              <w:spacing w:before="0"/>
              <w:rPr>
                <w:rFonts w:ascii="Verdana" w:hAnsi="Verdana"/>
                <w:b/>
                <w:szCs w:val="24"/>
              </w:rPr>
            </w:pPr>
          </w:p>
        </w:tc>
      </w:tr>
      <w:tr w:rsidR="00E55816" w:rsidRPr="00321B69" w:rsidTr="00025864">
        <w:trPr>
          <w:cantSplit/>
          <w:trHeight w:val="23"/>
        </w:trPr>
        <w:tc>
          <w:tcPr>
            <w:tcW w:w="10031" w:type="dxa"/>
            <w:gridSpan w:val="2"/>
            <w:shd w:val="clear" w:color="auto" w:fill="auto"/>
          </w:tcPr>
          <w:p w:rsidR="00E55816" w:rsidRPr="00321B69" w:rsidRDefault="00E55816" w:rsidP="00E55816">
            <w:pPr>
              <w:pStyle w:val="Source"/>
            </w:pPr>
            <w:r w:rsidRPr="00321B69">
              <w:t>Cuba</w:t>
            </w:r>
          </w:p>
        </w:tc>
      </w:tr>
      <w:tr w:rsidR="00E55816" w:rsidRPr="00321B69" w:rsidTr="00025864">
        <w:trPr>
          <w:cantSplit/>
          <w:trHeight w:val="23"/>
        </w:trPr>
        <w:tc>
          <w:tcPr>
            <w:tcW w:w="10031" w:type="dxa"/>
            <w:gridSpan w:val="2"/>
            <w:shd w:val="clear" w:color="auto" w:fill="auto"/>
          </w:tcPr>
          <w:p w:rsidR="00E55816" w:rsidRPr="00321B69" w:rsidRDefault="007D5320" w:rsidP="00E55816">
            <w:pPr>
              <w:pStyle w:val="Title1"/>
            </w:pPr>
            <w:r w:rsidRPr="00321B69">
              <w:t>PROPOSALS FOR THE WORK OF THE CONFERENCE</w:t>
            </w:r>
          </w:p>
        </w:tc>
      </w:tr>
      <w:tr w:rsidR="00E55816" w:rsidRPr="00321B69" w:rsidTr="00025864">
        <w:trPr>
          <w:cantSplit/>
          <w:trHeight w:val="23"/>
        </w:trPr>
        <w:tc>
          <w:tcPr>
            <w:tcW w:w="10031" w:type="dxa"/>
            <w:gridSpan w:val="2"/>
            <w:shd w:val="clear" w:color="auto" w:fill="auto"/>
          </w:tcPr>
          <w:p w:rsidR="00E55816" w:rsidRPr="00321B69" w:rsidRDefault="008B50FF" w:rsidP="008B50FF">
            <w:pPr>
              <w:pStyle w:val="Title2"/>
            </w:pPr>
            <w:r w:rsidRPr="00321B69">
              <w:t>international connection and non-discriminatory</w:t>
            </w:r>
            <w:r w:rsidRPr="00321B69">
              <w:br/>
              <w:t>access to the internet</w:t>
            </w:r>
          </w:p>
        </w:tc>
      </w:tr>
      <w:tr w:rsidR="00A538A6" w:rsidRPr="00321B69" w:rsidTr="00025864">
        <w:trPr>
          <w:cantSplit/>
          <w:trHeight w:val="23"/>
        </w:trPr>
        <w:tc>
          <w:tcPr>
            <w:tcW w:w="10031" w:type="dxa"/>
            <w:gridSpan w:val="2"/>
            <w:shd w:val="clear" w:color="auto" w:fill="auto"/>
          </w:tcPr>
          <w:p w:rsidR="00A538A6" w:rsidRPr="00321B69" w:rsidRDefault="00A538A6" w:rsidP="004B13CB">
            <w:pPr>
              <w:pStyle w:val="Agendaitem"/>
              <w:rPr>
                <w:lang w:val="en-GB"/>
              </w:rPr>
            </w:pPr>
          </w:p>
        </w:tc>
      </w:tr>
    </w:tbl>
    <w:bookmarkEnd w:id="6"/>
    <w:bookmarkEnd w:id="7"/>
    <w:p w:rsidR="008B50FF" w:rsidRPr="00321B69" w:rsidRDefault="008B50FF" w:rsidP="008B50FF">
      <w:pPr>
        <w:pStyle w:val="Headingb"/>
        <w:rPr>
          <w:lang w:val="en-GB"/>
        </w:rPr>
      </w:pPr>
      <w:r w:rsidRPr="00321B69">
        <w:rPr>
          <w:lang w:val="en-GB"/>
        </w:rPr>
        <w:t>Summary</w:t>
      </w:r>
    </w:p>
    <w:p w:rsidR="008B50FF" w:rsidRPr="00321B69" w:rsidRDefault="008B50FF" w:rsidP="008B50FF">
      <w:r w:rsidRPr="00321B69">
        <w:t xml:space="preserve">This contribution puts forward, for consideration by WCIT-12, two drafts of provisions, on the subjects indicated below, for possible inclusion in the articles of the ITRs, and presents the corresponding reasons. </w:t>
      </w:r>
    </w:p>
    <w:p w:rsidR="008B50FF" w:rsidRPr="00321B69" w:rsidRDefault="008B50FF" w:rsidP="008B50FF">
      <w:pPr>
        <w:pStyle w:val="TOC1"/>
        <w:tabs>
          <w:tab w:val="clear" w:pos="7938"/>
        </w:tabs>
      </w:pPr>
      <w:r w:rsidRPr="00321B69">
        <w:tab/>
      </w:r>
      <w:r w:rsidRPr="00321B69">
        <w:rPr>
          <w:u w:val="single"/>
        </w:rPr>
        <w:t>Item</w:t>
      </w:r>
      <w:r w:rsidRPr="00321B69">
        <w:tab/>
      </w:r>
      <w:r w:rsidRPr="00321B69">
        <w:tab/>
      </w:r>
      <w:r w:rsidRPr="00321B69">
        <w:rPr>
          <w:u w:val="single"/>
        </w:rPr>
        <w:t>Page</w:t>
      </w:r>
    </w:p>
    <w:p w:rsidR="008B50FF" w:rsidRPr="00321B69" w:rsidRDefault="008B50FF" w:rsidP="008B50FF">
      <w:pPr>
        <w:pStyle w:val="TOC1"/>
      </w:pPr>
      <w:r w:rsidRPr="00321B69">
        <w:t>I</w:t>
      </w:r>
      <w:r w:rsidRPr="00321B69">
        <w:tab/>
        <w:t>Background</w:t>
      </w:r>
      <w:r w:rsidRPr="00321B69">
        <w:tab/>
      </w:r>
      <w:r w:rsidRPr="00321B69">
        <w:tab/>
      </w:r>
      <w:r w:rsidRPr="00321B69">
        <w:tab/>
        <w:t>1</w:t>
      </w:r>
    </w:p>
    <w:p w:rsidR="008B50FF" w:rsidRPr="00321B69" w:rsidRDefault="008B50FF" w:rsidP="00321B69">
      <w:pPr>
        <w:pStyle w:val="TOC1"/>
      </w:pPr>
      <w:r w:rsidRPr="00321B69">
        <w:t>II</w:t>
      </w:r>
      <w:r w:rsidRPr="00321B69">
        <w:tab/>
        <w:t xml:space="preserve">Proposed provision on international Internet connection conditions </w:t>
      </w:r>
      <w:r w:rsidRPr="00321B69">
        <w:br/>
        <w:t>Proposed provision on non-discriminatory Internet access and use</w:t>
      </w:r>
      <w:r w:rsidRPr="00321B69">
        <w:tab/>
      </w:r>
      <w:r w:rsidRPr="00321B69">
        <w:tab/>
      </w:r>
      <w:r w:rsidR="00321B69" w:rsidRPr="00321B69">
        <w:t>2</w:t>
      </w:r>
    </w:p>
    <w:p w:rsidR="008B50FF" w:rsidRPr="00321B69" w:rsidRDefault="008B50FF" w:rsidP="008B50FF">
      <w:pPr>
        <w:pStyle w:val="Heading1"/>
      </w:pPr>
      <w:r w:rsidRPr="00321B69">
        <w:t>I</w:t>
      </w:r>
      <w:r w:rsidRPr="00321B69">
        <w:tab/>
        <w:t>Background</w:t>
      </w:r>
    </w:p>
    <w:p w:rsidR="008B50FF" w:rsidRPr="00321B69" w:rsidRDefault="00435FEA" w:rsidP="00321B69">
      <w:pPr>
        <w:pStyle w:val="Call"/>
      </w:pPr>
      <w:proofErr w:type="gramStart"/>
      <w:r>
        <w:t>c</w:t>
      </w:r>
      <w:r w:rsidR="008B50FF" w:rsidRPr="00321B69">
        <w:t>onsidering</w:t>
      </w:r>
      <w:proofErr w:type="gramEnd"/>
    </w:p>
    <w:p w:rsidR="008B50FF" w:rsidRPr="00321B69" w:rsidRDefault="008B50FF" w:rsidP="008B50FF">
      <w:pPr>
        <w:rPr>
          <w:rFonts w:cstheme="minorHAnsi"/>
        </w:rPr>
      </w:pPr>
      <w:proofErr w:type="gramStart"/>
      <w:r w:rsidRPr="00321B69">
        <w:rPr>
          <w:rFonts w:cstheme="minorHAnsi"/>
        </w:rPr>
        <w:t>that</w:t>
      </w:r>
      <w:proofErr w:type="gramEnd"/>
      <w:r w:rsidRPr="00321B69">
        <w:rPr>
          <w:rFonts w:cstheme="minorHAnsi"/>
        </w:rPr>
        <w:t xml:space="preserve"> one of the purposes of ITU laid down in Article 1 of the ITU Constitution is “</w:t>
      </w:r>
      <w:r w:rsidRPr="00321B69">
        <w:t>to maintain and extend international cooperation among all its Member States for the improvement and rational use of telecom</w:t>
      </w:r>
      <w:r w:rsidRPr="00321B69">
        <w:softHyphen/>
        <w:t xml:space="preserve">munications of all kinds”, </w:t>
      </w:r>
    </w:p>
    <w:p w:rsidR="008B50FF" w:rsidRPr="00321B69" w:rsidRDefault="008B50FF" w:rsidP="00321B69">
      <w:pPr>
        <w:pStyle w:val="Call"/>
      </w:pPr>
      <w:proofErr w:type="gramStart"/>
      <w:r w:rsidRPr="00321B69">
        <w:t>considering</w:t>
      </w:r>
      <w:proofErr w:type="gramEnd"/>
      <w:r w:rsidRPr="00321B69">
        <w:t xml:space="preserve"> further</w:t>
      </w:r>
    </w:p>
    <w:p w:rsidR="008B50FF" w:rsidRPr="00321B69" w:rsidRDefault="008B50FF" w:rsidP="008B50FF">
      <w:r w:rsidRPr="00321B69">
        <w:t xml:space="preserve">the output documents of the World Summit on the Information Society (WSIS), Geneva 2003 and Tunis </w:t>
      </w:r>
      <w:smartTag w:uri="urn:schemas-microsoft-com:office:smarttags" w:element="metricconverter">
        <w:smartTagPr>
          <w:attr w:name="ProductID" w:val="2005, in"/>
        </w:smartTagPr>
        <w:r w:rsidRPr="00321B69">
          <w:t>2005, including</w:t>
        </w:r>
      </w:smartTag>
      <w:r w:rsidRPr="00321B69">
        <w:t xml:space="preserve"> its Declaration of Principles, particularly §§ 11, 19, 20, 21 and 49 thereof,</w:t>
      </w:r>
    </w:p>
    <w:p w:rsidR="008B50FF" w:rsidRPr="00321B69" w:rsidRDefault="008B50FF" w:rsidP="00321B69">
      <w:pPr>
        <w:pStyle w:val="Call"/>
      </w:pPr>
      <w:r w:rsidRPr="00321B69">
        <w:t>noting</w:t>
      </w:r>
    </w:p>
    <w:p w:rsidR="008B50FF" w:rsidRPr="00321B69" w:rsidRDefault="008B50FF" w:rsidP="008B50FF">
      <w:pPr>
        <w:rPr>
          <w:rFonts w:cstheme="minorHAnsi"/>
        </w:rPr>
      </w:pPr>
      <w:r w:rsidRPr="00321B69">
        <w:rPr>
          <w:rFonts w:cstheme="minorHAnsi"/>
        </w:rPr>
        <w:t xml:space="preserve">that </w:t>
      </w:r>
      <w:r w:rsidRPr="00321B69">
        <w:rPr>
          <w:rFonts w:eastAsia="MS Mincho" w:cstheme="minorHAnsi"/>
          <w:szCs w:val="22"/>
          <w:lang w:eastAsia="ja-JP"/>
        </w:rPr>
        <w:t>§ 48 of the WSIS Declaration of Principles recognizes that “t</w:t>
      </w:r>
      <w:r w:rsidRPr="00321B69">
        <w:t xml:space="preserve">he Internet has evolved into a global facility available to the public and its governance should constitute a core issue of the Information Society agenda. The international management of the Internet should be multilateral, </w:t>
      </w:r>
      <w:r w:rsidRPr="00321B69">
        <w:lastRenderedPageBreak/>
        <w:t>transparent and democratic, with the full involvement of governments, the private sector, civil society and international organizations. It should ensure an equitable distribution of resources, facilitate access for all and ensure a stable and secure functioning of the Internet”,</w:t>
      </w:r>
    </w:p>
    <w:p w:rsidR="008B50FF" w:rsidRPr="00321B69" w:rsidRDefault="008B50FF" w:rsidP="00321B69">
      <w:pPr>
        <w:pStyle w:val="Call"/>
        <w:rPr>
          <w:rFonts w:eastAsia="MS Mincho"/>
          <w:lang w:eastAsia="ja-JP"/>
        </w:rPr>
      </w:pPr>
      <w:r w:rsidRPr="00321B69">
        <w:rPr>
          <w:rFonts w:eastAsia="MS Mincho"/>
          <w:lang w:eastAsia="ja-JP"/>
        </w:rPr>
        <w:t>taking into account</w:t>
      </w:r>
    </w:p>
    <w:p w:rsidR="008B50FF" w:rsidRPr="00321B69" w:rsidRDefault="008B50FF" w:rsidP="008B50FF">
      <w:r w:rsidRPr="00321B69">
        <w:rPr>
          <w:i/>
          <w:iCs/>
        </w:rPr>
        <w:t>a)</w:t>
      </w:r>
      <w:r w:rsidRPr="00321B69">
        <w:rPr>
          <w:i/>
          <w:iCs/>
        </w:rPr>
        <w:tab/>
      </w:r>
      <w:r w:rsidRPr="00321B69">
        <w:t xml:space="preserve">The </w:t>
      </w:r>
      <w:r w:rsidRPr="00321B69">
        <w:rPr>
          <w:i/>
          <w:iCs/>
        </w:rPr>
        <w:t>recalling</w:t>
      </w:r>
      <w:r w:rsidRPr="00321B69">
        <w:t xml:space="preserve"> part of Resolution 101 (Rev. Guadalajara, 2010), drawing attention to, for example:</w:t>
      </w:r>
    </w:p>
    <w:p w:rsidR="008B50FF" w:rsidRPr="00321B69" w:rsidRDefault="008B50FF" w:rsidP="008B50FF">
      <w:pPr>
        <w:pStyle w:val="enumlev1"/>
        <w:rPr>
          <w:rFonts w:eastAsia="MS Mincho"/>
          <w:lang w:eastAsia="ja-JP"/>
        </w:rPr>
      </w:pPr>
      <w:proofErr w:type="spellStart"/>
      <w:r w:rsidRPr="00321B69">
        <w:rPr>
          <w:rFonts w:eastAsia="MS Mincho"/>
          <w:lang w:eastAsia="ja-JP"/>
        </w:rPr>
        <w:t>i</w:t>
      </w:r>
      <w:proofErr w:type="spellEnd"/>
      <w:r w:rsidRPr="00321B69">
        <w:rPr>
          <w:rFonts w:eastAsia="MS Mincho"/>
          <w:lang w:eastAsia="ja-JP"/>
        </w:rPr>
        <w:t>)</w:t>
      </w:r>
      <w:r w:rsidRPr="00321B69">
        <w:rPr>
          <w:rFonts w:eastAsia="MS Mincho"/>
          <w:lang w:eastAsia="ja-JP"/>
        </w:rPr>
        <w:tab/>
        <w:t>The outcomes of the Geneva (2003) and Tunis (2005) phases of WSIS, especially §§ 27 c) and 50 d) of the Tunis Agenda for the Information Society, relating to international Internet connectivity;</w:t>
      </w:r>
    </w:p>
    <w:p w:rsidR="008B50FF" w:rsidRPr="00321B69" w:rsidRDefault="008B50FF" w:rsidP="008B50FF">
      <w:pPr>
        <w:pStyle w:val="enumlev1"/>
        <w:rPr>
          <w:rFonts w:eastAsia="MS Mincho"/>
          <w:lang w:eastAsia="ja-JP"/>
        </w:rPr>
      </w:pPr>
      <w:r w:rsidRPr="00321B69">
        <w:rPr>
          <w:rFonts w:eastAsia="MS Mincho"/>
          <w:lang w:eastAsia="ja-JP"/>
        </w:rPr>
        <w:t>ii)</w:t>
      </w:r>
      <w:r w:rsidRPr="00321B69">
        <w:rPr>
          <w:rFonts w:eastAsia="MS Mincho"/>
          <w:lang w:eastAsia="ja-JP"/>
        </w:rPr>
        <w:tab/>
        <w:t xml:space="preserve">Resolution 23 (Rev. </w:t>
      </w:r>
      <w:r w:rsidR="00321B69" w:rsidRPr="00321B69">
        <w:rPr>
          <w:rFonts w:eastAsia="MS Mincho"/>
          <w:lang w:eastAsia="ja-JP"/>
        </w:rPr>
        <w:t>Hyderabad</w:t>
      </w:r>
      <w:r w:rsidRPr="00321B69">
        <w:rPr>
          <w:rFonts w:eastAsia="MS Mincho"/>
          <w:lang w:eastAsia="ja-JP"/>
        </w:rPr>
        <w:t>, 2010) of the World Telecommunication Development Conference, on Internet access and availability for developing countries and charging principles for international Internet connection;</w:t>
      </w:r>
    </w:p>
    <w:p w:rsidR="008B50FF" w:rsidRPr="00321B69" w:rsidRDefault="008B50FF" w:rsidP="008B50FF">
      <w:pPr>
        <w:pStyle w:val="enumlev1"/>
        <w:rPr>
          <w:rFonts w:eastAsia="MS Mincho"/>
          <w:lang w:eastAsia="ja-JP"/>
        </w:rPr>
      </w:pPr>
      <w:r w:rsidRPr="00321B69">
        <w:rPr>
          <w:rFonts w:eastAsia="MS Mincho"/>
          <w:lang w:eastAsia="ja-JP"/>
        </w:rPr>
        <w:t>iii)</w:t>
      </w:r>
      <w:r w:rsidRPr="00321B69">
        <w:rPr>
          <w:rFonts w:eastAsia="MS Mincho"/>
          <w:lang w:eastAsia="ja-JP"/>
        </w:rPr>
        <w:tab/>
        <w:t>Resolution 69 (Johannesburg, 2008) of the World Telecommunication Standardization Assembly, on non-discriminatory access and use of Internet resources;</w:t>
      </w:r>
    </w:p>
    <w:p w:rsidR="008B50FF" w:rsidRPr="00321B69" w:rsidRDefault="008B50FF" w:rsidP="008B50FF">
      <w:pPr>
        <w:pStyle w:val="enumlev1"/>
        <w:rPr>
          <w:rFonts w:eastAsia="MS Mincho"/>
          <w:lang w:eastAsia="ja-JP"/>
        </w:rPr>
      </w:pPr>
      <w:r w:rsidRPr="00321B69">
        <w:rPr>
          <w:rFonts w:eastAsia="MS Mincho"/>
          <w:lang w:eastAsia="ja-JP"/>
        </w:rPr>
        <w:t>iv)</w:t>
      </w:r>
      <w:r w:rsidRPr="00321B69">
        <w:rPr>
          <w:rFonts w:eastAsia="MS Mincho"/>
          <w:lang w:eastAsia="ja-JP"/>
        </w:rPr>
        <w:tab/>
        <w:t xml:space="preserve">Recommendation ITU-T D.50, on general tariff principles – principles applicable to international Internet connection, </w:t>
      </w:r>
    </w:p>
    <w:p w:rsidR="008B50FF" w:rsidRPr="00321B69" w:rsidRDefault="008B50FF" w:rsidP="00321B69">
      <w:pPr>
        <w:pStyle w:val="Call"/>
      </w:pPr>
      <w:r w:rsidRPr="00321B69">
        <w:t>taking into account further</w:t>
      </w:r>
    </w:p>
    <w:p w:rsidR="008B50FF" w:rsidRPr="00321B69" w:rsidRDefault="008B50FF" w:rsidP="008B50FF">
      <w:r w:rsidRPr="00321B69">
        <w:t>that the Internet now constitutes a vital infrastructure for our economic and social life; that new, Internet-enabled services are changing the economic landscape and, indeed, the very nature of the telecommunication sector; that all telecommunication traffic is migrating to Internet Protocol (IP) based communication; and that this transition from dedicated telephone and data networks to converged IP-based networks raises significant regulatory, technical and economic issues,</w:t>
      </w:r>
    </w:p>
    <w:p w:rsidR="008B50FF" w:rsidRPr="00321B69" w:rsidRDefault="008B50FF" w:rsidP="00321B69">
      <w:pPr>
        <w:pStyle w:val="Call"/>
      </w:pPr>
      <w:r w:rsidRPr="00321B69">
        <w:t xml:space="preserve">considering moreover </w:t>
      </w:r>
    </w:p>
    <w:p w:rsidR="008B50FF" w:rsidRPr="00321B69" w:rsidRDefault="008B50FF" w:rsidP="008B50FF">
      <w:r w:rsidRPr="00321B69">
        <w:t xml:space="preserve">that an important aspect of Internet traffic is that, to ensure an adequate return on investment in high-bandwidth infrastructures, operating agencies should negotiate commercial agreements to achieve a sustainable system of fair compensation for telecommunication services; </w:t>
      </w:r>
    </w:p>
    <w:p w:rsidR="008B50FF" w:rsidRPr="00321B69" w:rsidRDefault="008B50FF" w:rsidP="00321B69">
      <w:pPr>
        <w:pStyle w:val="Call"/>
      </w:pPr>
      <w:r w:rsidRPr="00321B69">
        <w:t>recognizing</w:t>
      </w:r>
    </w:p>
    <w:p w:rsidR="008B50FF" w:rsidRPr="00321B69" w:rsidRDefault="008B50FF" w:rsidP="008B50FF">
      <w:r w:rsidRPr="00321B69">
        <w:t>that the Internet is a fundamental, high-level issue which is neutral with respect to the technology that did not exist when the International Telecommunication Regulations were adopted in 1988,</w:t>
      </w:r>
    </w:p>
    <w:p w:rsidR="008B50FF" w:rsidRPr="00321B69" w:rsidRDefault="008B50FF" w:rsidP="008B50FF">
      <w:r w:rsidRPr="00321B69">
        <w:t xml:space="preserve">It is proposed to add the following new proposals to Article 3 of the ITRs: </w:t>
      </w:r>
    </w:p>
    <w:p w:rsidR="008B50FF" w:rsidRPr="00321B69" w:rsidRDefault="008B50FF" w:rsidP="008B50FF">
      <w:pPr>
        <w:pStyle w:val="Heading1"/>
      </w:pPr>
      <w:r w:rsidRPr="00321B69">
        <w:t>II</w:t>
      </w:r>
      <w:r w:rsidRPr="00321B69">
        <w:tab/>
      </w:r>
      <w:bookmarkStart w:id="8" w:name="II"/>
      <w:r w:rsidRPr="00321B69">
        <w:t>Proposed provision on international Internet connection conditions</w:t>
      </w:r>
      <w:r w:rsidRPr="00321B69">
        <w:br/>
        <w:t xml:space="preserve">Proposed provision on non-discriminatory Internet access and use </w:t>
      </w:r>
      <w:bookmarkEnd w:id="8"/>
    </w:p>
    <w:p w:rsidR="008B50FF" w:rsidRPr="00321B69" w:rsidRDefault="008B50FF" w:rsidP="008B50FF">
      <w:pPr>
        <w:pStyle w:val="ArtNo"/>
      </w:pPr>
      <w:r w:rsidRPr="00321B69">
        <w:t>article 3</w:t>
      </w:r>
    </w:p>
    <w:p w:rsidR="008B50FF" w:rsidRPr="00321B69" w:rsidRDefault="008B50FF" w:rsidP="008B50FF">
      <w:pPr>
        <w:pStyle w:val="Arttitle"/>
      </w:pPr>
      <w:r w:rsidRPr="00321B69">
        <w:t>International Network</w:t>
      </w:r>
    </w:p>
    <w:p w:rsidR="00DF46C7" w:rsidRPr="00321B69" w:rsidRDefault="008F17C4">
      <w:pPr>
        <w:pStyle w:val="Proposal"/>
      </w:pPr>
      <w:r w:rsidRPr="00321B69">
        <w:rPr>
          <w:b/>
        </w:rPr>
        <w:t>ADD</w:t>
      </w:r>
      <w:r w:rsidRPr="00321B69">
        <w:tab/>
        <w:t>CUB/26/1</w:t>
      </w:r>
    </w:p>
    <w:p w:rsidR="00DF46C7" w:rsidRPr="00321B69" w:rsidRDefault="008B50FF">
      <w:r w:rsidRPr="00321B69">
        <w:rPr>
          <w:rStyle w:val="Artdef"/>
        </w:rPr>
        <w:t>31A</w:t>
      </w:r>
      <w:r w:rsidRPr="00321B69">
        <w:rPr>
          <w:rFonts w:ascii="Calibri"/>
        </w:rPr>
        <w:tab/>
        <w:t>3.5</w:t>
      </w:r>
      <w:r w:rsidRPr="00321B69">
        <w:rPr>
          <w:rFonts w:ascii="Calibri"/>
        </w:rPr>
        <w:tab/>
      </w:r>
      <w:r w:rsidRPr="00321B69">
        <w:rPr>
          <w:rFonts w:ascii="Calibri"/>
          <w:i/>
          <w:iCs/>
        </w:rPr>
        <w:t>International Internet connection conditions</w:t>
      </w:r>
    </w:p>
    <w:p w:rsidR="00DF46C7" w:rsidRPr="00321B69" w:rsidRDefault="00DF46C7">
      <w:pPr>
        <w:pStyle w:val="Reasons"/>
      </w:pPr>
      <w:bookmarkStart w:id="9" w:name="_GoBack"/>
      <w:bookmarkEnd w:id="9"/>
    </w:p>
    <w:p w:rsidR="00DF46C7" w:rsidRPr="00321B69" w:rsidRDefault="008F17C4">
      <w:pPr>
        <w:pStyle w:val="Proposal"/>
      </w:pPr>
      <w:r w:rsidRPr="00321B69">
        <w:rPr>
          <w:b/>
        </w:rPr>
        <w:t>ADD</w:t>
      </w:r>
      <w:r w:rsidRPr="00321B69">
        <w:tab/>
        <w:t>CUB/26/2</w:t>
      </w:r>
    </w:p>
    <w:p w:rsidR="008B50FF" w:rsidRPr="00321B69" w:rsidRDefault="008B50FF" w:rsidP="008B50FF">
      <w:r w:rsidRPr="00321B69">
        <w:rPr>
          <w:rStyle w:val="Artdef"/>
        </w:rPr>
        <w:t>31B</w:t>
      </w:r>
      <w:r w:rsidRPr="00321B69">
        <w:tab/>
        <w:t>3.6</w:t>
      </w:r>
      <w:r w:rsidRPr="00321B69">
        <w:tab/>
        <w:t>Operating agencies involved in the provision of international Internet connections shall negotiate mutual agreements with the parties concerned, taking into account the possible need for fair compensation for the value of the corresponding constituent elements.</w:t>
      </w:r>
    </w:p>
    <w:p w:rsidR="00DF46C7" w:rsidRPr="00321B69" w:rsidRDefault="00DF46C7">
      <w:pPr>
        <w:pStyle w:val="Reasons"/>
      </w:pPr>
    </w:p>
    <w:p w:rsidR="00DF46C7" w:rsidRPr="00321B69" w:rsidRDefault="008F17C4">
      <w:pPr>
        <w:pStyle w:val="Proposal"/>
      </w:pPr>
      <w:r w:rsidRPr="00321B69">
        <w:rPr>
          <w:b/>
        </w:rPr>
        <w:t>ADD</w:t>
      </w:r>
      <w:r w:rsidRPr="00321B69">
        <w:tab/>
        <w:t>CUB/26/3</w:t>
      </w:r>
    </w:p>
    <w:p w:rsidR="008B50FF" w:rsidRPr="00321B69" w:rsidRDefault="008B50FF" w:rsidP="008B50FF">
      <w:r w:rsidRPr="00321B69">
        <w:rPr>
          <w:rStyle w:val="Artdef"/>
        </w:rPr>
        <w:t>31C</w:t>
      </w:r>
      <w:r w:rsidRPr="00321B69">
        <w:rPr>
          <w:rFonts w:ascii="Calibri"/>
        </w:rPr>
        <w:tab/>
        <w:t>3.7</w:t>
      </w:r>
      <w:r w:rsidRPr="00321B69">
        <w:rPr>
          <w:rFonts w:ascii="Calibri"/>
        </w:rPr>
        <w:tab/>
      </w:r>
      <w:r w:rsidRPr="00321B69">
        <w:rPr>
          <w:rFonts w:ascii="Calibri"/>
          <w:i/>
          <w:iCs/>
        </w:rPr>
        <w:t>Non-discriminatory Internet access and use</w:t>
      </w:r>
    </w:p>
    <w:p w:rsidR="00DF46C7" w:rsidRPr="00321B69" w:rsidRDefault="00DF46C7">
      <w:pPr>
        <w:pStyle w:val="Reasons"/>
      </w:pPr>
    </w:p>
    <w:p w:rsidR="00DF46C7" w:rsidRPr="00321B69" w:rsidRDefault="008F17C4">
      <w:pPr>
        <w:pStyle w:val="Proposal"/>
      </w:pPr>
      <w:r w:rsidRPr="00321B69">
        <w:rPr>
          <w:b/>
        </w:rPr>
        <w:t>ADD</w:t>
      </w:r>
      <w:r w:rsidRPr="00321B69">
        <w:tab/>
        <w:t>CUB/26/4</w:t>
      </w:r>
    </w:p>
    <w:p w:rsidR="008B50FF" w:rsidRPr="00321B69" w:rsidRDefault="008B50FF" w:rsidP="008B50FF">
      <w:r w:rsidRPr="00321B69">
        <w:rPr>
          <w:rStyle w:val="Artdef"/>
        </w:rPr>
        <w:t>31D</w:t>
      </w:r>
      <w:r w:rsidRPr="00321B69">
        <w:tab/>
        <w:t>3.8</w:t>
      </w:r>
      <w:r w:rsidRPr="00321B69">
        <w:tab/>
        <w:t xml:space="preserve">Member States shall refrain from taking unilateral and/or discriminatory actions that could impede another Member State’s access to public Internet sites. </w:t>
      </w:r>
    </w:p>
    <w:p w:rsidR="008B50FF" w:rsidRPr="00321B69" w:rsidRDefault="008B50FF" w:rsidP="0032202E">
      <w:pPr>
        <w:pStyle w:val="Reasons"/>
      </w:pPr>
    </w:p>
    <w:p w:rsidR="008B50FF" w:rsidRPr="00321B69" w:rsidRDefault="008B50FF">
      <w:pPr>
        <w:jc w:val="center"/>
      </w:pPr>
      <w:r w:rsidRPr="00321B69">
        <w:t>______________</w:t>
      </w:r>
    </w:p>
    <w:sectPr w:rsidR="008B50FF" w:rsidRPr="00321B69" w:rsidSect="0039169B">
      <w:headerReference w:type="default" r:id="rId14"/>
      <w:footerReference w:type="even"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EF" w:rsidRDefault="00821CEF">
      <w:r>
        <w:separator/>
      </w:r>
    </w:p>
  </w:endnote>
  <w:endnote w:type="continuationSeparator" w:id="0">
    <w:p w:rsidR="00821CEF" w:rsidRDefault="008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17C4">
      <w:rPr>
        <w:noProof/>
        <w:lang w:val="en-US"/>
      </w:rPr>
      <w:t>P:\ENG\SG\CONF-SG\WCIT12\000\026E.docx</w:t>
    </w:r>
    <w:r>
      <w:fldChar w:fldCharType="end"/>
    </w:r>
    <w:r w:rsidRPr="0041348E">
      <w:rPr>
        <w:lang w:val="en-US"/>
      </w:rPr>
      <w:tab/>
    </w:r>
    <w:r>
      <w:fldChar w:fldCharType="begin"/>
    </w:r>
    <w:r>
      <w:instrText xml:space="preserve"> SAVEDATE \@ DD.MM.YY </w:instrText>
    </w:r>
    <w:r>
      <w:fldChar w:fldCharType="separate"/>
    </w:r>
    <w:r w:rsidR="005C0C11">
      <w:rPr>
        <w:noProof/>
      </w:rPr>
      <w:t>19.11.12</w:t>
    </w:r>
    <w:r>
      <w:fldChar w:fldCharType="end"/>
    </w:r>
    <w:r w:rsidRPr="0041348E">
      <w:rPr>
        <w:lang w:val="en-US"/>
      </w:rPr>
      <w:tab/>
    </w:r>
    <w:r>
      <w:fldChar w:fldCharType="begin"/>
    </w:r>
    <w:r>
      <w:instrText xml:space="preserve"> PRINTDATE \@ DD.MM.YY </w:instrText>
    </w:r>
    <w:r>
      <w:fldChar w:fldCharType="separate"/>
    </w:r>
    <w:r w:rsidR="008F17C4">
      <w:rPr>
        <w:noProof/>
      </w:rPr>
      <w:t>19.11.12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EF" w:rsidRDefault="00821CEF">
      <w:r>
        <w:rPr>
          <w:b/>
        </w:rPr>
        <w:t>_______________</w:t>
      </w:r>
    </w:p>
  </w:footnote>
  <w:footnote w:type="continuationSeparator" w:id="0">
    <w:p w:rsidR="00821CEF" w:rsidRDefault="0082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C0C11">
      <w:rPr>
        <w:noProof/>
      </w:rPr>
      <w:t>2</w:t>
    </w:r>
    <w:r>
      <w:fldChar w:fldCharType="end"/>
    </w:r>
    <w:r w:rsidR="005C0C11">
      <w:t>/</w:t>
    </w:r>
    <w:fldSimple w:instr=" NUMPAGES   \* MERGEFORMAT ">
      <w:r w:rsidR="005C0C11">
        <w:rPr>
          <w:noProof/>
        </w:rPr>
        <w:t>3</w:t>
      </w:r>
    </w:fldSimple>
  </w:p>
  <w:p w:rsidR="00A066F1" w:rsidRPr="00A066F1" w:rsidRDefault="00D96B4B" w:rsidP="00F21A1D">
    <w:pPr>
      <w:pStyle w:val="Header"/>
      <w:ind w:left="567" w:hanging="567"/>
    </w:pPr>
    <w:r>
      <w:t>WCI</w:t>
    </w:r>
    <w:r>
      <w:rPr>
        <w:lang w:val="en-US"/>
      </w:rPr>
      <w:t>T</w:t>
    </w:r>
    <w:r w:rsidR="00187BD9">
      <w:t>12</w:t>
    </w:r>
    <w:r w:rsidR="00F21A1D">
      <w:t>/</w:t>
    </w:r>
    <w:bookmarkStart w:id="10" w:name="OLE_LINK1"/>
    <w:bookmarkStart w:id="11" w:name="OLE_LINK2"/>
    <w:bookmarkStart w:id="12" w:name="OLE_LINK3"/>
    <w:r w:rsidR="00F21A1D">
      <w:t>26</w:t>
    </w:r>
    <w:bookmarkEnd w:id="10"/>
    <w:bookmarkEnd w:id="11"/>
    <w:bookmarkEnd w:id="12"/>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584B0E"/>
    <w:multiLevelType w:val="hybridMultilevel"/>
    <w:tmpl w:val="CAD86BA2"/>
    <w:lvl w:ilvl="0" w:tplc="E42041C0">
      <w:start w:val="1"/>
      <w:numFmt w:val="lowerLetter"/>
      <w:lvlText w:val="%1)"/>
      <w:lvlJc w:val="left"/>
      <w:pPr>
        <w:tabs>
          <w:tab w:val="num" w:pos="720"/>
        </w:tabs>
        <w:ind w:left="720" w:hanging="660"/>
      </w:pPr>
      <w:rPr>
        <w:rFonts w:cs="Times New Roman" w:hint="default"/>
      </w:rPr>
    </w:lvl>
    <w:lvl w:ilvl="1" w:tplc="0C0A0019" w:tentative="1">
      <w:start w:val="1"/>
      <w:numFmt w:val="lowerLetter"/>
      <w:lvlText w:val="%2."/>
      <w:lvlJc w:val="left"/>
      <w:pPr>
        <w:tabs>
          <w:tab w:val="num" w:pos="1140"/>
        </w:tabs>
        <w:ind w:left="1140" w:hanging="360"/>
      </w:pPr>
      <w:rPr>
        <w:rFonts w:cs="Times New Roman"/>
      </w:rPr>
    </w:lvl>
    <w:lvl w:ilvl="2" w:tplc="0C0A001B" w:tentative="1">
      <w:start w:val="1"/>
      <w:numFmt w:val="lowerRoman"/>
      <w:lvlText w:val="%3."/>
      <w:lvlJc w:val="right"/>
      <w:pPr>
        <w:tabs>
          <w:tab w:val="num" w:pos="1860"/>
        </w:tabs>
        <w:ind w:left="1860" w:hanging="180"/>
      </w:pPr>
      <w:rPr>
        <w:rFonts w:cs="Times New Roman"/>
      </w:rPr>
    </w:lvl>
    <w:lvl w:ilvl="3" w:tplc="0C0A000F" w:tentative="1">
      <w:start w:val="1"/>
      <w:numFmt w:val="decimal"/>
      <w:lvlText w:val="%4."/>
      <w:lvlJc w:val="left"/>
      <w:pPr>
        <w:tabs>
          <w:tab w:val="num" w:pos="2580"/>
        </w:tabs>
        <w:ind w:left="2580" w:hanging="360"/>
      </w:pPr>
      <w:rPr>
        <w:rFonts w:cs="Times New Roman"/>
      </w:rPr>
    </w:lvl>
    <w:lvl w:ilvl="4" w:tplc="0C0A0019" w:tentative="1">
      <w:start w:val="1"/>
      <w:numFmt w:val="lowerLetter"/>
      <w:lvlText w:val="%5."/>
      <w:lvlJc w:val="left"/>
      <w:pPr>
        <w:tabs>
          <w:tab w:val="num" w:pos="3300"/>
        </w:tabs>
        <w:ind w:left="3300" w:hanging="360"/>
      </w:pPr>
      <w:rPr>
        <w:rFonts w:cs="Times New Roman"/>
      </w:rPr>
    </w:lvl>
    <w:lvl w:ilvl="5" w:tplc="0C0A001B" w:tentative="1">
      <w:start w:val="1"/>
      <w:numFmt w:val="lowerRoman"/>
      <w:lvlText w:val="%6."/>
      <w:lvlJc w:val="right"/>
      <w:pPr>
        <w:tabs>
          <w:tab w:val="num" w:pos="4020"/>
        </w:tabs>
        <w:ind w:left="4020" w:hanging="180"/>
      </w:pPr>
      <w:rPr>
        <w:rFonts w:cs="Times New Roman"/>
      </w:rPr>
    </w:lvl>
    <w:lvl w:ilvl="6" w:tplc="0C0A000F" w:tentative="1">
      <w:start w:val="1"/>
      <w:numFmt w:val="decimal"/>
      <w:lvlText w:val="%7."/>
      <w:lvlJc w:val="left"/>
      <w:pPr>
        <w:tabs>
          <w:tab w:val="num" w:pos="4740"/>
        </w:tabs>
        <w:ind w:left="4740" w:hanging="360"/>
      </w:pPr>
      <w:rPr>
        <w:rFonts w:cs="Times New Roman"/>
      </w:rPr>
    </w:lvl>
    <w:lvl w:ilvl="7" w:tplc="0C0A0019" w:tentative="1">
      <w:start w:val="1"/>
      <w:numFmt w:val="lowerLetter"/>
      <w:lvlText w:val="%8."/>
      <w:lvlJc w:val="left"/>
      <w:pPr>
        <w:tabs>
          <w:tab w:val="num" w:pos="5460"/>
        </w:tabs>
        <w:ind w:left="5460" w:hanging="360"/>
      </w:pPr>
      <w:rPr>
        <w:rFonts w:cs="Times New Roman"/>
      </w:rPr>
    </w:lvl>
    <w:lvl w:ilvl="8" w:tplc="0C0A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FB"/>
    <w:rsid w:val="001C3B5F"/>
    <w:rsid w:val="001D058F"/>
    <w:rsid w:val="002009EA"/>
    <w:rsid w:val="00202CA0"/>
    <w:rsid w:val="002154A6"/>
    <w:rsid w:val="002255B3"/>
    <w:rsid w:val="00271316"/>
    <w:rsid w:val="002D58BE"/>
    <w:rsid w:val="003013EE"/>
    <w:rsid w:val="00321B69"/>
    <w:rsid w:val="00377BD3"/>
    <w:rsid w:val="00384088"/>
    <w:rsid w:val="0039169B"/>
    <w:rsid w:val="003A7F8C"/>
    <w:rsid w:val="003B532E"/>
    <w:rsid w:val="003B6F14"/>
    <w:rsid w:val="003D0F8B"/>
    <w:rsid w:val="004131D4"/>
    <w:rsid w:val="0041348E"/>
    <w:rsid w:val="00435FEA"/>
    <w:rsid w:val="00447308"/>
    <w:rsid w:val="004765FF"/>
    <w:rsid w:val="00492075"/>
    <w:rsid w:val="004969AD"/>
    <w:rsid w:val="004B13CB"/>
    <w:rsid w:val="004B4FDF"/>
    <w:rsid w:val="004D5D5C"/>
    <w:rsid w:val="0050139F"/>
    <w:rsid w:val="00521223"/>
    <w:rsid w:val="0055140B"/>
    <w:rsid w:val="005964AB"/>
    <w:rsid w:val="005C099A"/>
    <w:rsid w:val="005C0C11"/>
    <w:rsid w:val="005C31A5"/>
    <w:rsid w:val="005E10C9"/>
    <w:rsid w:val="005E61DD"/>
    <w:rsid w:val="006023DF"/>
    <w:rsid w:val="00657DE0"/>
    <w:rsid w:val="006713F0"/>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50FF"/>
    <w:rsid w:val="008B6CFF"/>
    <w:rsid w:val="008F17C4"/>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46C7"/>
    <w:rsid w:val="00DF6F8E"/>
    <w:rsid w:val="00E03C94"/>
    <w:rsid w:val="00E26226"/>
    <w:rsid w:val="00E45D05"/>
    <w:rsid w:val="00E55816"/>
    <w:rsid w:val="00E55AEF"/>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S12-WCIT12-C-0026!!MSW-E</DPM_x0020_File_x0020_name>
    <DPM_x0020_Author xmlns="32a1a8c5-2265-4ebc-b7a0-2071e2c5c9bb" xsi:nil="false">Documents Proposals Manager (DPM)</DPM_x0020_Author>
    <DPM_x0020_Version xmlns="32a1a8c5-2265-4ebc-b7a0-2071e2c5c9bb" xsi:nil="false">DPM_v5.3.5.20_prod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D9F05BB-AF01-4D38-B8D2-AB516679ADB7}">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996b2e75-67fd-4955-a3b0-5ab9934cb50b"/>
    <ds:schemaRef ds:uri="http://purl.org/dc/dcmitype/"/>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794271C9-CA88-4194-97F1-4FC6A67D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0</TotalTime>
  <Pages>3</Pages>
  <Words>614</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S12-WCIT12-C-0026!!MSW-E</vt:lpstr>
    </vt:vector>
  </TitlesOfParts>
  <Manager>General Secretariat - Pool</Manager>
  <Company>International Telecommunication Union (ITU)</Company>
  <LinksUpToDate>false</LinksUpToDate>
  <CharactersWithSpaces>4414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S12-WCIT12-C-0026!!MSW-E</dc:title>
  <dc:subject>World Conference on International Telecommunications (WCIT)</dc:subject>
  <dc:creator>Documents Proposals Manager (DPM)</dc:creator>
  <cp:keywords>DPM_v5.3.5.20_prod</cp:keywords>
  <cp:lastModifiedBy>Brouard, Ricarda</cp:lastModifiedBy>
  <cp:revision>2</cp:revision>
  <cp:lastPrinted>2012-11-19T16:50:00Z</cp:lastPrinted>
  <dcterms:created xsi:type="dcterms:W3CDTF">2012-11-20T04:59:00Z</dcterms:created>
  <dcterms:modified xsi:type="dcterms:W3CDTF">2012-11-20T04:59:00Z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