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877FD5" w:rsidP="00877FD5">
            <w:pPr>
              <w:spacing w:before="240" w:after="48" w:line="240" w:lineRule="atLeast"/>
              <w:rPr>
                <w:rFonts w:ascii="Verdana" w:hAnsi="Verdana"/>
                <w:b/>
                <w:bCs/>
                <w:position w:val="6"/>
                <w:lang w:eastAsia="zh-CN"/>
              </w:rPr>
            </w:pPr>
            <w:bookmarkStart w:id="0" w:name="dorlang" w:colFirst="1" w:colLast="1"/>
            <w:r w:rsidRPr="00877FD5">
              <w:rPr>
                <w:rFonts w:cs="Calibri" w:hint="eastAsia"/>
                <w:b/>
                <w:bCs/>
                <w:sz w:val="26"/>
                <w:szCs w:val="26"/>
                <w:lang w:eastAsia="zh-CN"/>
              </w:rPr>
              <w:t>国际电信世界大会</w:t>
            </w:r>
            <w:r w:rsidRPr="0089044F">
              <w:rPr>
                <w:rFonts w:cs="Calibri" w:hint="eastAsia"/>
                <w:b/>
                <w:bCs/>
                <w:szCs w:val="24"/>
                <w:lang w:eastAsia="zh-CN"/>
              </w:rPr>
              <w:t>（</w:t>
            </w:r>
            <w:r w:rsidRPr="00877FD5">
              <w:rPr>
                <w:rFonts w:cs="Calibri"/>
                <w:b/>
                <w:bCs/>
                <w:sz w:val="28"/>
                <w:szCs w:val="28"/>
                <w:lang w:eastAsia="zh-CN"/>
              </w:rPr>
              <w:t>WCIT-12</w:t>
            </w:r>
            <w:r w:rsidRPr="0089044F">
              <w:rPr>
                <w:rFonts w:cs="Calibri" w:hint="eastAsia"/>
                <w:b/>
                <w:bCs/>
                <w:szCs w:val="24"/>
                <w:lang w:eastAsia="zh-CN"/>
              </w:rPr>
              <w:t>）</w:t>
            </w:r>
            <w:r w:rsidR="008A7416" w:rsidRPr="00566240">
              <w:rPr>
                <w:rFonts w:ascii="Verdana" w:hAnsi="Verdana" w:cs="Times"/>
                <w:b/>
                <w:bCs/>
                <w:position w:val="6"/>
                <w:sz w:val="26"/>
                <w:szCs w:val="26"/>
                <w:lang w:eastAsia="zh-CN"/>
              </w:rPr>
              <w:br/>
            </w:r>
            <w:r w:rsidRPr="00877FD5">
              <w:rPr>
                <w:b/>
                <w:bCs/>
                <w:position w:val="6"/>
                <w:szCs w:val="24"/>
                <w:lang w:eastAsia="zh-CN"/>
              </w:rPr>
              <w:t>2012</w:t>
            </w:r>
            <w:r w:rsidRPr="00877FD5">
              <w:rPr>
                <w:rFonts w:ascii="SimSun" w:hAnsi="SimSun" w:hint="eastAsia"/>
                <w:b/>
                <w:bCs/>
                <w:position w:val="6"/>
                <w:sz w:val="22"/>
                <w:szCs w:val="22"/>
                <w:lang w:eastAsia="zh-CN"/>
              </w:rPr>
              <w:t>年</w:t>
            </w:r>
            <w:r w:rsidRPr="00877FD5">
              <w:rPr>
                <w:b/>
                <w:bCs/>
                <w:position w:val="6"/>
                <w:szCs w:val="24"/>
                <w:lang w:eastAsia="zh-CN"/>
              </w:rPr>
              <w:t>12</w:t>
            </w:r>
            <w:r w:rsidRPr="00877FD5">
              <w:rPr>
                <w:rFonts w:ascii="SimSun" w:hAnsi="SimSun" w:hint="eastAsia"/>
                <w:b/>
                <w:bCs/>
                <w:position w:val="6"/>
                <w:sz w:val="22"/>
                <w:szCs w:val="22"/>
                <w:lang w:eastAsia="zh-CN"/>
              </w:rPr>
              <w:t>月</w:t>
            </w:r>
            <w:r w:rsidRPr="00877FD5">
              <w:rPr>
                <w:b/>
                <w:bCs/>
                <w:position w:val="6"/>
                <w:szCs w:val="24"/>
                <w:lang w:eastAsia="zh-CN"/>
              </w:rPr>
              <w:t>3-14</w:t>
            </w:r>
            <w:r w:rsidRPr="00877FD5">
              <w:rPr>
                <w:rFonts w:ascii="SimSun" w:hAnsi="SimSun" w:hint="eastAsia"/>
                <w:b/>
                <w:bCs/>
                <w:position w:val="6"/>
                <w:sz w:val="22"/>
                <w:szCs w:val="22"/>
                <w:lang w:eastAsia="zh-CN"/>
              </w:rPr>
              <w:t>日，迪拜</w:t>
            </w:r>
          </w:p>
        </w:tc>
        <w:tc>
          <w:tcPr>
            <w:tcW w:w="3120" w:type="dxa"/>
          </w:tcPr>
          <w:p w:rsidR="00622560" w:rsidRPr="00622560" w:rsidRDefault="00622560" w:rsidP="00622560">
            <w:pPr>
              <w:spacing w:before="0" w:line="240" w:lineRule="atLeast"/>
              <w:rPr>
                <w:rFonts w:ascii="Verdana" w:hAnsi="Verdana"/>
                <w:sz w:val="20"/>
              </w:rPr>
            </w:pPr>
            <w:bookmarkStart w:id="1" w:name="ditulogo"/>
            <w:bookmarkEnd w:id="1"/>
            <w:r w:rsidRPr="00622560">
              <w:rPr>
                <w:rFonts w:ascii="Verdana" w:hAnsi="Verdana"/>
                <w:b/>
                <w:bCs/>
                <w:noProof/>
                <w:sz w:val="20"/>
                <w:lang w:val="en-US" w:eastAsia="zh-CN"/>
              </w:rPr>
              <w:drawing>
                <wp:inline distT="0" distB="0" distL="0" distR="0" wp14:anchorId="6F524DA0" wp14:editId="4378F38D">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622560">
            <w:pPr>
              <w:spacing w:after="48" w:line="240" w:lineRule="atLeast"/>
              <w:rPr>
                <w:b/>
                <w:smallCaps/>
                <w:szCs w:val="24"/>
              </w:rPr>
            </w:pPr>
            <w:bookmarkStart w:id="2" w:name="dhead"/>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tcPr>
          <w:p w:rsidR="00622560" w:rsidRPr="007F0374" w:rsidRDefault="00015C7F" w:rsidP="000E26F6">
            <w:pPr>
              <w:spacing w:before="0" w:line="240" w:lineRule="atLeast"/>
              <w:rPr>
                <w:rFonts w:cstheme="minorHAnsi"/>
                <w:b/>
                <w:smallCaps/>
                <w:szCs w:val="24"/>
                <w:lang w:eastAsia="zh-CN"/>
              </w:rPr>
            </w:pPr>
            <w:r>
              <w:rPr>
                <w:rFonts w:cstheme="minorHAnsi" w:hint="eastAsia"/>
                <w:b/>
                <w:smallCaps/>
                <w:szCs w:val="24"/>
                <w:lang w:eastAsia="zh-CN"/>
              </w:rPr>
              <w:t>全体会议</w:t>
            </w:r>
          </w:p>
        </w:tc>
        <w:tc>
          <w:tcPr>
            <w:tcW w:w="3120" w:type="dxa"/>
          </w:tcPr>
          <w:p w:rsidR="00622560" w:rsidRPr="007F0374" w:rsidRDefault="00622560" w:rsidP="00E42444">
            <w:pPr>
              <w:spacing w:before="0" w:line="240" w:lineRule="atLeast"/>
              <w:rPr>
                <w:rFonts w:cstheme="minorHAnsi"/>
                <w:szCs w:val="24"/>
              </w:rPr>
            </w:pPr>
            <w:r w:rsidRPr="007F0374">
              <w:rPr>
                <w:rFonts w:cstheme="minorHAnsi"/>
                <w:b/>
                <w:szCs w:val="24"/>
              </w:rPr>
              <w:t>文件</w:t>
            </w:r>
            <w:r w:rsidRPr="007F0374">
              <w:rPr>
                <w:rFonts w:cstheme="minorHAnsi"/>
                <w:b/>
                <w:szCs w:val="24"/>
              </w:rPr>
              <w:t xml:space="preserve"> </w:t>
            </w:r>
            <w:r w:rsidR="00015C7F">
              <w:rPr>
                <w:rFonts w:cstheme="minorHAnsi"/>
                <w:b/>
                <w:szCs w:val="24"/>
              </w:rPr>
              <w:t>16</w:t>
            </w:r>
            <w:r w:rsidRPr="007F0374">
              <w:rPr>
                <w:rFonts w:cstheme="minorHAnsi"/>
                <w:b/>
                <w:szCs w:val="24"/>
              </w:rPr>
              <w:t>-</w:t>
            </w:r>
            <w:r w:rsidR="00E42444">
              <w:rPr>
                <w:rFonts w:cstheme="minorHAnsi"/>
                <w:b/>
                <w:szCs w:val="24"/>
              </w:rPr>
              <w:t>C</w:t>
            </w:r>
          </w:p>
        </w:tc>
      </w:tr>
      <w:tr w:rsidR="00622560" w:rsidRPr="00C324A8" w:rsidTr="00622560">
        <w:trPr>
          <w:cantSplit/>
          <w:trHeight w:val="23"/>
        </w:trPr>
        <w:tc>
          <w:tcPr>
            <w:tcW w:w="6911" w:type="dxa"/>
          </w:tcPr>
          <w:p w:rsidR="00622560" w:rsidRPr="007F0374" w:rsidRDefault="00622560" w:rsidP="00CB4E5A">
            <w:pPr>
              <w:spacing w:before="0" w:line="240" w:lineRule="atLeast"/>
              <w:rPr>
                <w:rFonts w:cstheme="minorHAnsi"/>
                <w:b/>
                <w:bCs/>
                <w:szCs w:val="24"/>
              </w:rPr>
            </w:pPr>
          </w:p>
        </w:tc>
        <w:tc>
          <w:tcPr>
            <w:tcW w:w="3120" w:type="dxa"/>
          </w:tcPr>
          <w:p w:rsidR="00622560" w:rsidRPr="00015C7F" w:rsidRDefault="00015C7F" w:rsidP="00622560">
            <w:pPr>
              <w:spacing w:before="0" w:line="240" w:lineRule="atLeast"/>
              <w:rPr>
                <w:lang w:eastAsia="zh-CN"/>
              </w:rPr>
            </w:pPr>
            <w:r>
              <w:rPr>
                <w:rFonts w:cstheme="minorHAnsi"/>
                <w:b/>
                <w:bCs/>
                <w:szCs w:val="24"/>
              </w:rPr>
              <w:t>2012</w:t>
            </w:r>
            <w:r w:rsidRPr="00015C7F">
              <w:rPr>
                <w:rFonts w:cstheme="minorHAnsi" w:hint="eastAsia"/>
                <w:b/>
                <w:szCs w:val="24"/>
              </w:rPr>
              <w:t>年</w:t>
            </w:r>
            <w:r w:rsidRPr="00015C7F">
              <w:rPr>
                <w:rFonts w:cstheme="minorHAnsi" w:hint="eastAsia"/>
                <w:b/>
                <w:bCs/>
                <w:szCs w:val="24"/>
              </w:rPr>
              <w:t>10</w:t>
            </w:r>
            <w:r w:rsidRPr="00015C7F">
              <w:rPr>
                <w:rFonts w:cstheme="minorHAnsi" w:hint="eastAsia"/>
                <w:b/>
                <w:szCs w:val="24"/>
              </w:rPr>
              <w:t>月</w:t>
            </w:r>
            <w:r w:rsidRPr="00015C7F">
              <w:rPr>
                <w:rFonts w:cstheme="minorHAnsi" w:hint="eastAsia"/>
                <w:b/>
                <w:bCs/>
                <w:szCs w:val="24"/>
              </w:rPr>
              <w:t>12</w:t>
            </w:r>
            <w:r w:rsidRPr="00015C7F">
              <w:rPr>
                <w:rFonts w:cstheme="minorHAnsi" w:hint="eastAsia"/>
                <w:b/>
                <w:szCs w:val="24"/>
              </w:rPr>
              <w:t>日</w:t>
            </w:r>
          </w:p>
        </w:tc>
      </w:tr>
      <w:tr w:rsidR="00622560" w:rsidRPr="00C324A8" w:rsidTr="00622560">
        <w:trPr>
          <w:cantSplit/>
          <w:trHeight w:val="23"/>
        </w:trPr>
        <w:tc>
          <w:tcPr>
            <w:tcW w:w="6911" w:type="dxa"/>
          </w:tcPr>
          <w:p w:rsidR="00622560" w:rsidRPr="007F0374" w:rsidRDefault="00622560" w:rsidP="00CB4E5A">
            <w:pPr>
              <w:spacing w:before="0" w:line="240" w:lineRule="atLeast"/>
              <w:rPr>
                <w:rFonts w:cstheme="minorHAnsi"/>
                <w:b/>
                <w:bCs/>
                <w:szCs w:val="24"/>
              </w:rPr>
            </w:pPr>
          </w:p>
        </w:tc>
        <w:tc>
          <w:tcPr>
            <w:tcW w:w="3120" w:type="dxa"/>
          </w:tcPr>
          <w:p w:rsidR="00622560" w:rsidRPr="007F0374" w:rsidRDefault="00E92319" w:rsidP="00015C7F">
            <w:pPr>
              <w:spacing w:before="0" w:line="240" w:lineRule="atLeast"/>
              <w:rPr>
                <w:rFonts w:cstheme="minorHAnsi"/>
                <w:szCs w:val="24"/>
                <w:lang w:eastAsia="zh-CN"/>
              </w:rPr>
            </w:pPr>
            <w:r w:rsidRPr="007F0374">
              <w:rPr>
                <w:rFonts w:cstheme="minorHAnsi"/>
                <w:b/>
                <w:bCs/>
                <w:szCs w:val="24"/>
              </w:rPr>
              <w:t>原文：</w:t>
            </w:r>
            <w:r w:rsidR="00015C7F">
              <w:rPr>
                <w:rFonts w:cstheme="minorHAnsi" w:hint="eastAsia"/>
                <w:b/>
                <w:bCs/>
                <w:szCs w:val="24"/>
                <w:lang w:eastAsia="zh-CN"/>
              </w:rPr>
              <w:t>英文</w:t>
            </w:r>
          </w:p>
        </w:tc>
      </w:tr>
      <w:tr w:rsidR="00CB4E5A" w:rsidRPr="00C324A8" w:rsidTr="003D6243">
        <w:trPr>
          <w:cantSplit/>
          <w:trHeight w:val="23"/>
        </w:trPr>
        <w:tc>
          <w:tcPr>
            <w:tcW w:w="10031" w:type="dxa"/>
            <w:gridSpan w:val="2"/>
          </w:tcPr>
          <w:p w:rsidR="00CB4E5A" w:rsidRDefault="00CB4E5A" w:rsidP="00622560">
            <w:pPr>
              <w:spacing w:before="0" w:line="240" w:lineRule="atLeast"/>
              <w:rPr>
                <w:rFonts w:ascii="Verdana" w:hAnsi="Verdana"/>
                <w:b/>
                <w:bCs/>
                <w:sz w:val="20"/>
              </w:rPr>
            </w:pPr>
          </w:p>
        </w:tc>
      </w:tr>
      <w:tr w:rsidR="00015C7F">
        <w:trPr>
          <w:cantSplit/>
        </w:trPr>
        <w:tc>
          <w:tcPr>
            <w:tcW w:w="10031" w:type="dxa"/>
            <w:gridSpan w:val="2"/>
          </w:tcPr>
          <w:p w:rsidR="00015C7F" w:rsidRPr="00F06099" w:rsidRDefault="00064476" w:rsidP="0042189B">
            <w:pPr>
              <w:pStyle w:val="Source"/>
              <w:rPr>
                <w:szCs w:val="28"/>
                <w:lang w:eastAsia="zh-CN"/>
              </w:rPr>
            </w:pPr>
            <w:bookmarkStart w:id="3" w:name="dsource" w:colFirst="0" w:colLast="0"/>
            <w:bookmarkEnd w:id="0"/>
            <w:bookmarkEnd w:id="2"/>
            <w:r w:rsidRPr="00F06099">
              <w:rPr>
                <w:rFonts w:ascii="SimSun" w:hAnsi="SimSun" w:cs="SimSun" w:hint="eastAsia"/>
                <w:szCs w:val="28"/>
                <w:lang w:eastAsia="zh-CN"/>
              </w:rPr>
              <w:t>欧洲主管部门</w:t>
            </w:r>
          </w:p>
        </w:tc>
      </w:tr>
      <w:tr w:rsidR="00015C7F">
        <w:trPr>
          <w:cantSplit/>
        </w:trPr>
        <w:tc>
          <w:tcPr>
            <w:tcW w:w="10031" w:type="dxa"/>
            <w:gridSpan w:val="2"/>
          </w:tcPr>
          <w:p w:rsidR="00015C7F" w:rsidRPr="00F06099" w:rsidRDefault="00064476" w:rsidP="00015C7F">
            <w:pPr>
              <w:pStyle w:val="Title1"/>
              <w:rPr>
                <w:szCs w:val="28"/>
                <w:lang w:eastAsia="zh-CN"/>
              </w:rPr>
            </w:pPr>
            <w:bookmarkStart w:id="4" w:name="dtitle1" w:colFirst="0" w:colLast="0"/>
            <w:bookmarkEnd w:id="3"/>
            <w:r w:rsidRPr="00F06099">
              <w:rPr>
                <w:rFonts w:ascii="SimSun" w:hAnsi="SimSun" w:cs="SimSun" w:hint="eastAsia"/>
                <w:szCs w:val="28"/>
                <w:lang w:eastAsia="zh-CN"/>
              </w:rPr>
              <w:t>有关大会工作的欧洲共同提案</w:t>
            </w:r>
          </w:p>
        </w:tc>
      </w:tr>
      <w:tr w:rsidR="00622560">
        <w:trPr>
          <w:cantSplit/>
        </w:trPr>
        <w:tc>
          <w:tcPr>
            <w:tcW w:w="10031" w:type="dxa"/>
            <w:gridSpan w:val="2"/>
          </w:tcPr>
          <w:p w:rsidR="00622560" w:rsidRDefault="00622560" w:rsidP="00E42444">
            <w:pPr>
              <w:pStyle w:val="Agendaitem"/>
            </w:pPr>
            <w:bookmarkStart w:id="5" w:name="dtitle3" w:colFirst="0" w:colLast="0"/>
            <w:bookmarkEnd w:id="4"/>
          </w:p>
        </w:tc>
      </w:tr>
    </w:tbl>
    <w:p w:rsidR="00015C7F" w:rsidRPr="00214681" w:rsidRDefault="00040207" w:rsidP="006B4DCF">
      <w:pPr>
        <w:pStyle w:val="Headingb"/>
        <w:rPr>
          <w:lang w:eastAsia="zh-CN"/>
        </w:rPr>
      </w:pPr>
      <w:bookmarkStart w:id="6" w:name="_Toc327528757"/>
      <w:bookmarkEnd w:id="5"/>
      <w:r>
        <w:rPr>
          <w:lang w:eastAsia="zh-CN"/>
        </w:rPr>
        <w:t>有关大会工作的欧洲共同</w:t>
      </w:r>
      <w:bookmarkEnd w:id="6"/>
      <w:r w:rsidR="0042189B">
        <w:rPr>
          <w:rFonts w:hint="eastAsia"/>
          <w:lang w:eastAsia="zh-CN"/>
        </w:rPr>
        <w:t>提案</w:t>
      </w:r>
    </w:p>
    <w:p w:rsidR="00015C7F" w:rsidRPr="00214681" w:rsidRDefault="0042189B" w:rsidP="0042189B">
      <w:pPr>
        <w:ind w:firstLineChars="200" w:firstLine="480"/>
        <w:rPr>
          <w:lang w:eastAsia="zh-CN"/>
        </w:rPr>
      </w:pPr>
      <w:r>
        <w:rPr>
          <w:lang w:eastAsia="zh-CN"/>
        </w:rPr>
        <w:t>本文</w:t>
      </w:r>
      <w:r>
        <w:rPr>
          <w:rFonts w:hint="eastAsia"/>
          <w:lang w:eastAsia="zh-CN"/>
        </w:rPr>
        <w:t>稿</w:t>
      </w:r>
      <w:r w:rsidR="00040207">
        <w:rPr>
          <w:lang w:eastAsia="zh-CN"/>
        </w:rPr>
        <w:t>介绍了</w:t>
      </w:r>
      <w:r>
        <w:rPr>
          <w:lang w:eastAsia="zh-CN"/>
        </w:rPr>
        <w:t>欧洲</w:t>
      </w:r>
      <w:r w:rsidR="00040207">
        <w:rPr>
          <w:lang w:eastAsia="zh-CN"/>
        </w:rPr>
        <w:t>有关国际电信世界大会</w:t>
      </w:r>
      <w:r>
        <w:rPr>
          <w:rFonts w:hint="eastAsia"/>
          <w:lang w:eastAsia="zh-CN"/>
        </w:rPr>
        <w:t>（</w:t>
      </w:r>
      <w:r>
        <w:rPr>
          <w:lang w:eastAsia="zh-CN"/>
        </w:rPr>
        <w:t>WCIT-12</w:t>
      </w:r>
      <w:r>
        <w:rPr>
          <w:rFonts w:hint="eastAsia"/>
          <w:lang w:eastAsia="zh-CN"/>
        </w:rPr>
        <w:t>）的</w:t>
      </w:r>
      <w:r>
        <w:rPr>
          <w:lang w:eastAsia="zh-CN"/>
        </w:rPr>
        <w:t>共同</w:t>
      </w:r>
      <w:r>
        <w:rPr>
          <w:rFonts w:hint="eastAsia"/>
          <w:lang w:eastAsia="zh-CN"/>
        </w:rPr>
        <w:t>提案（</w:t>
      </w:r>
      <w:r>
        <w:rPr>
          <w:lang w:eastAsia="zh-CN"/>
        </w:rPr>
        <w:t>ECP</w:t>
      </w:r>
      <w:r>
        <w:rPr>
          <w:rFonts w:hint="eastAsia"/>
          <w:lang w:eastAsia="zh-CN"/>
        </w:rPr>
        <w:t>）</w:t>
      </w:r>
      <w:r w:rsidR="00040207">
        <w:rPr>
          <w:lang w:eastAsia="zh-CN"/>
        </w:rPr>
        <w:t>。这些提案是欧洲邮政电信主管部门</w:t>
      </w:r>
      <w:r w:rsidR="004532F0">
        <w:rPr>
          <w:rFonts w:hint="eastAsia"/>
          <w:lang w:eastAsia="zh-CN"/>
        </w:rPr>
        <w:t>（</w:t>
      </w:r>
      <w:r w:rsidR="00040207" w:rsidRPr="00214681">
        <w:rPr>
          <w:lang w:eastAsia="zh-CN"/>
        </w:rPr>
        <w:t>CEPT</w:t>
      </w:r>
      <w:r w:rsidR="00040207" w:rsidRPr="00214681">
        <w:rPr>
          <w:rStyle w:val="FootnoteReference"/>
        </w:rPr>
        <w:footnoteReference w:id="1"/>
      </w:r>
      <w:r w:rsidR="004532F0">
        <w:rPr>
          <w:rFonts w:hint="eastAsia"/>
          <w:lang w:eastAsia="zh-CN"/>
        </w:rPr>
        <w:t>）</w:t>
      </w:r>
      <w:r w:rsidR="00040207">
        <w:rPr>
          <w:lang w:eastAsia="zh-CN"/>
        </w:rPr>
        <w:t>国际电联政策委员会</w:t>
      </w:r>
      <w:r w:rsidR="004532F0">
        <w:rPr>
          <w:rFonts w:hint="eastAsia"/>
          <w:lang w:eastAsia="zh-CN"/>
        </w:rPr>
        <w:t>（</w:t>
      </w:r>
      <w:r w:rsidR="004532F0">
        <w:rPr>
          <w:lang w:eastAsia="zh-CN"/>
        </w:rPr>
        <w:t>Com-ITU</w:t>
      </w:r>
      <w:r w:rsidR="004532F0">
        <w:rPr>
          <w:rFonts w:hint="eastAsia"/>
          <w:lang w:eastAsia="zh-CN"/>
        </w:rPr>
        <w:t>）</w:t>
      </w:r>
      <w:r w:rsidR="00040207">
        <w:rPr>
          <w:lang w:eastAsia="zh-CN"/>
        </w:rPr>
        <w:t>拟定的。</w:t>
      </w:r>
    </w:p>
    <w:p w:rsidR="00015C7F" w:rsidRPr="00214681" w:rsidRDefault="003D6243" w:rsidP="00413419">
      <w:pPr>
        <w:pStyle w:val="Headingb"/>
        <w:rPr>
          <w:lang w:eastAsia="zh-CN"/>
        </w:rPr>
      </w:pPr>
      <w:r>
        <w:rPr>
          <w:lang w:eastAsia="zh-CN"/>
        </w:rPr>
        <w:t>引言</w:t>
      </w:r>
    </w:p>
    <w:p w:rsidR="00015C7F" w:rsidRPr="00214681" w:rsidRDefault="00015C7F" w:rsidP="004532F0">
      <w:pPr>
        <w:ind w:firstLineChars="200" w:firstLine="480"/>
        <w:rPr>
          <w:lang w:eastAsia="zh-CN"/>
        </w:rPr>
      </w:pPr>
      <w:r w:rsidRPr="00214681">
        <w:rPr>
          <w:lang w:eastAsia="zh-CN"/>
        </w:rPr>
        <w:t>WCIT-12</w:t>
      </w:r>
      <w:r w:rsidR="004532F0">
        <w:rPr>
          <w:lang w:eastAsia="zh-CN"/>
        </w:rPr>
        <w:t>是一</w:t>
      </w:r>
      <w:r w:rsidR="004532F0">
        <w:rPr>
          <w:rFonts w:hint="eastAsia"/>
          <w:lang w:eastAsia="zh-CN"/>
        </w:rPr>
        <w:t>次</w:t>
      </w:r>
      <w:r w:rsidR="004532F0">
        <w:rPr>
          <w:lang w:eastAsia="zh-CN"/>
        </w:rPr>
        <w:t>重要的大会，为修订《国际电信规则》提供了良机</w:t>
      </w:r>
      <w:r w:rsidR="003D6243">
        <w:rPr>
          <w:lang w:eastAsia="zh-CN"/>
        </w:rPr>
        <w:t>。</w:t>
      </w:r>
    </w:p>
    <w:p w:rsidR="00015C7F" w:rsidRPr="00214681" w:rsidRDefault="003D6243" w:rsidP="004532F0">
      <w:pPr>
        <w:ind w:firstLineChars="200" w:firstLine="480"/>
        <w:rPr>
          <w:lang w:eastAsia="zh-CN"/>
        </w:rPr>
      </w:pPr>
      <w:r>
        <w:rPr>
          <w:lang w:eastAsia="zh-CN"/>
        </w:rPr>
        <w:t>欧洲希望此次大会将推进</w:t>
      </w:r>
      <w:r w:rsidR="004532F0">
        <w:rPr>
          <w:lang w:eastAsia="zh-CN"/>
        </w:rPr>
        <w:t>全球在</w:t>
      </w:r>
      <w:r w:rsidR="00E46647">
        <w:rPr>
          <w:lang w:eastAsia="zh-CN"/>
        </w:rPr>
        <w:t>多</w:t>
      </w:r>
      <w:r w:rsidR="004532F0">
        <w:rPr>
          <w:rFonts w:hint="eastAsia"/>
          <w:lang w:eastAsia="zh-CN"/>
        </w:rPr>
        <w:t>个</w:t>
      </w:r>
      <w:r w:rsidR="00E46647">
        <w:rPr>
          <w:lang w:eastAsia="zh-CN"/>
        </w:rPr>
        <w:t>具有争议性的问题上达成一致。</w:t>
      </w:r>
    </w:p>
    <w:p w:rsidR="00015C7F" w:rsidRPr="00214681" w:rsidRDefault="00E46647" w:rsidP="004532F0">
      <w:pPr>
        <w:ind w:firstLineChars="200" w:firstLine="480"/>
        <w:rPr>
          <w:lang w:eastAsia="zh-CN"/>
        </w:rPr>
      </w:pPr>
      <w:r>
        <w:rPr>
          <w:lang w:eastAsia="zh-CN"/>
        </w:rPr>
        <w:t>为此，考虑到国际电信业务的普遍竞争情况和消费者特别体会到的积极成果，欧洲认为，</w:t>
      </w:r>
      <w:r w:rsidR="00F74028">
        <w:rPr>
          <w:rFonts w:hint="eastAsia"/>
          <w:lang w:eastAsia="zh-CN"/>
        </w:rPr>
        <w:t>规则</w:t>
      </w:r>
      <w:r>
        <w:rPr>
          <w:lang w:eastAsia="zh-CN"/>
        </w:rPr>
        <w:t>为成员国和私营企业</w:t>
      </w:r>
      <w:r w:rsidR="004532F0">
        <w:rPr>
          <w:rFonts w:hint="eastAsia"/>
          <w:lang w:eastAsia="zh-CN"/>
        </w:rPr>
        <w:t>增加</w:t>
      </w:r>
      <w:r w:rsidR="004532F0">
        <w:rPr>
          <w:lang w:eastAsia="zh-CN"/>
        </w:rPr>
        <w:t>不必要的</w:t>
      </w:r>
      <w:r w:rsidR="004532F0">
        <w:rPr>
          <w:rFonts w:hint="eastAsia"/>
          <w:lang w:eastAsia="zh-CN"/>
        </w:rPr>
        <w:t>额</w:t>
      </w:r>
      <w:r w:rsidR="004532F0">
        <w:rPr>
          <w:lang w:eastAsia="zh-CN"/>
        </w:rPr>
        <w:t>外负担，只有在合情合理的情况下才需要</w:t>
      </w:r>
      <w:r>
        <w:rPr>
          <w:lang w:eastAsia="zh-CN"/>
        </w:rPr>
        <w:t>。规则不利于国际电信业务的发展。</w:t>
      </w:r>
    </w:p>
    <w:p w:rsidR="00015C7F" w:rsidRPr="00214681" w:rsidRDefault="00E46647" w:rsidP="004532F0">
      <w:pPr>
        <w:ind w:firstLineChars="200" w:firstLine="480"/>
        <w:rPr>
          <w:lang w:eastAsia="zh-CN"/>
        </w:rPr>
      </w:pPr>
      <w:r>
        <w:rPr>
          <w:lang w:eastAsia="zh-CN"/>
        </w:rPr>
        <w:t>此外，欧洲认为，放之四海而皆准的解决方案和开方取药的方式是不可取的。事实上，经修订的《国际电信规则》应在长时间内对于世界各个区域和各个国家来说都是适用的、有帮助的并富有意义的。</w:t>
      </w:r>
      <w:r w:rsidR="004532F0">
        <w:rPr>
          <w:rFonts w:hint="eastAsia"/>
          <w:lang w:eastAsia="zh-CN"/>
        </w:rPr>
        <w:t>若试图对</w:t>
      </w:r>
      <w:r>
        <w:rPr>
          <w:lang w:eastAsia="zh-CN"/>
        </w:rPr>
        <w:t>国际电信业务进行微观</w:t>
      </w:r>
      <w:r w:rsidR="004532F0">
        <w:rPr>
          <w:lang w:eastAsia="zh-CN"/>
        </w:rPr>
        <w:t>管理，上述目标则无法实现，因为，对于一个国家有益的条款可能对</w:t>
      </w:r>
      <w:r>
        <w:rPr>
          <w:lang w:eastAsia="zh-CN"/>
        </w:rPr>
        <w:t>邻国毫无意义，甚至造成危害。</w:t>
      </w:r>
    </w:p>
    <w:p w:rsidR="00015C7F" w:rsidRPr="00214681" w:rsidRDefault="00E46647" w:rsidP="004532F0">
      <w:pPr>
        <w:ind w:firstLineChars="200" w:firstLine="480"/>
        <w:jc w:val="both"/>
        <w:rPr>
          <w:lang w:eastAsia="zh-CN"/>
        </w:rPr>
      </w:pPr>
      <w:r>
        <w:rPr>
          <w:lang w:eastAsia="zh-CN"/>
        </w:rPr>
        <w:t>欧洲认为，</w:t>
      </w:r>
      <w:r w:rsidR="00015C7F" w:rsidRPr="00214681">
        <w:rPr>
          <w:lang w:eastAsia="zh-CN"/>
        </w:rPr>
        <w:t>WCIT-12</w:t>
      </w:r>
      <w:r w:rsidR="00F74028">
        <w:rPr>
          <w:rFonts w:hint="eastAsia"/>
          <w:lang w:eastAsia="zh-CN"/>
        </w:rPr>
        <w:t>须</w:t>
      </w:r>
      <w:r>
        <w:rPr>
          <w:lang w:eastAsia="zh-CN"/>
        </w:rPr>
        <w:t>寻求双赢的解决方案。</w:t>
      </w:r>
    </w:p>
    <w:p w:rsidR="00015C7F" w:rsidRPr="00214681" w:rsidRDefault="000E01B1" w:rsidP="006B4DCF">
      <w:pPr>
        <w:pStyle w:val="Headingb"/>
        <w:rPr>
          <w:lang w:eastAsia="zh-CN"/>
        </w:rPr>
      </w:pPr>
      <w:r>
        <w:rPr>
          <w:rFonts w:hint="eastAsia"/>
          <w:lang w:eastAsia="zh-CN"/>
        </w:rPr>
        <w:lastRenderedPageBreak/>
        <w:t>标准</w:t>
      </w:r>
    </w:p>
    <w:p w:rsidR="00015C7F" w:rsidRPr="00214681" w:rsidRDefault="002F0781" w:rsidP="007C24FC">
      <w:pPr>
        <w:ind w:firstLineChars="200" w:firstLine="480"/>
        <w:rPr>
          <w:lang w:eastAsia="zh-CN"/>
        </w:rPr>
      </w:pPr>
      <w:r>
        <w:rPr>
          <w:lang w:eastAsia="zh-CN"/>
        </w:rPr>
        <w:t>正如提交</w:t>
      </w:r>
      <w:r w:rsidRPr="00214681">
        <w:rPr>
          <w:lang w:eastAsia="zh-CN"/>
        </w:rPr>
        <w:t>CWG WCIT-12</w:t>
      </w:r>
      <w:r w:rsidR="004532F0">
        <w:rPr>
          <w:rFonts w:hint="eastAsia"/>
          <w:lang w:eastAsia="zh-CN"/>
        </w:rPr>
        <w:t>的</w:t>
      </w:r>
      <w:r w:rsidR="004D2C8D">
        <w:rPr>
          <w:lang w:eastAsia="zh-CN"/>
        </w:rPr>
        <w:t>文稿所述，欧洲为</w:t>
      </w:r>
      <w:r>
        <w:rPr>
          <w:lang w:eastAsia="zh-CN"/>
        </w:rPr>
        <w:t>修订《国际电信规则》</w:t>
      </w:r>
      <w:r w:rsidR="007C24FC">
        <w:rPr>
          <w:rFonts w:hint="eastAsia"/>
          <w:lang w:eastAsia="zh-CN"/>
        </w:rPr>
        <w:t>（</w:t>
      </w:r>
      <w:r w:rsidR="007C24FC">
        <w:rPr>
          <w:lang w:eastAsia="zh-CN"/>
        </w:rPr>
        <w:t>ITR</w:t>
      </w:r>
      <w:r w:rsidR="007C24FC">
        <w:rPr>
          <w:rFonts w:hint="eastAsia"/>
          <w:lang w:eastAsia="zh-CN"/>
        </w:rPr>
        <w:t>）就一套</w:t>
      </w:r>
      <w:r w:rsidR="004D2C8D">
        <w:rPr>
          <w:lang w:eastAsia="zh-CN"/>
        </w:rPr>
        <w:t>标准达成一致。</w:t>
      </w:r>
    </w:p>
    <w:p w:rsidR="00015C7F" w:rsidRPr="00214681" w:rsidRDefault="004D2C8D" w:rsidP="007C24FC">
      <w:pPr>
        <w:ind w:firstLineChars="200" w:firstLine="480"/>
        <w:rPr>
          <w:lang w:eastAsia="zh-CN"/>
        </w:rPr>
      </w:pPr>
      <w:r>
        <w:rPr>
          <w:lang w:eastAsia="zh-CN"/>
        </w:rPr>
        <w:t>欧洲认为，这些标准客观、平衡且以法律为依据，因此，应受到各成员国的高度重视。</w:t>
      </w:r>
      <w:r>
        <w:rPr>
          <w:lang w:eastAsia="zh-CN"/>
        </w:rPr>
        <w:t xml:space="preserve"> </w:t>
      </w:r>
    </w:p>
    <w:p w:rsidR="00015C7F" w:rsidRPr="00214681" w:rsidRDefault="007C24FC" w:rsidP="007C24FC">
      <w:pPr>
        <w:tabs>
          <w:tab w:val="left" w:pos="794"/>
        </w:tabs>
        <w:ind w:firstLineChars="200" w:firstLine="480"/>
        <w:jc w:val="both"/>
        <w:rPr>
          <w:lang w:eastAsia="zh-CN"/>
        </w:rPr>
      </w:pPr>
      <w:r>
        <w:rPr>
          <w:rFonts w:hint="eastAsia"/>
          <w:lang w:eastAsia="zh-CN"/>
        </w:rPr>
        <w:t>这些标准如下（未</w:t>
      </w:r>
      <w:r w:rsidR="00A42A5C">
        <w:rPr>
          <w:rFonts w:hint="eastAsia"/>
          <w:lang w:eastAsia="zh-CN"/>
        </w:rPr>
        <w:t>按具体顺序介绍）：</w:t>
      </w:r>
    </w:p>
    <w:p w:rsidR="00015C7F" w:rsidRPr="007C24FC" w:rsidRDefault="007F107E" w:rsidP="00BA4B87">
      <w:pPr>
        <w:pStyle w:val="enumlev1"/>
        <w:rPr>
          <w:lang w:eastAsia="zh-CN"/>
        </w:rPr>
      </w:pPr>
      <w:r w:rsidRPr="007F107E">
        <w:rPr>
          <w:rFonts w:eastAsiaTheme="majorEastAsia"/>
          <w:b/>
          <w:bCs/>
          <w:lang w:eastAsia="zh-CN"/>
        </w:rPr>
        <w:t>•</w:t>
      </w:r>
      <w:r>
        <w:rPr>
          <w:rFonts w:eastAsiaTheme="majorEastAsia" w:hint="eastAsia"/>
          <w:b/>
          <w:bCs/>
          <w:lang w:eastAsia="zh-CN"/>
        </w:rPr>
        <w:tab/>
      </w:r>
      <w:r w:rsidR="0088782A" w:rsidRPr="007C24FC">
        <w:rPr>
          <w:rFonts w:eastAsiaTheme="majorEastAsia"/>
          <w:b/>
          <w:bCs/>
          <w:lang w:eastAsia="zh-CN"/>
        </w:rPr>
        <w:t>标准</w:t>
      </w:r>
      <w:r w:rsidR="0088782A" w:rsidRPr="007C24FC">
        <w:rPr>
          <w:rFonts w:eastAsiaTheme="majorEastAsia"/>
          <w:b/>
          <w:bCs/>
          <w:lang w:eastAsia="zh-CN"/>
        </w:rPr>
        <w:t>1</w:t>
      </w:r>
      <w:r w:rsidR="0088782A" w:rsidRPr="007C24FC">
        <w:rPr>
          <w:rFonts w:eastAsiaTheme="majorEastAsia"/>
          <w:b/>
          <w:bCs/>
          <w:lang w:eastAsia="zh-CN"/>
        </w:rPr>
        <w:t>：</w:t>
      </w:r>
      <w:r w:rsidR="004D2C8D" w:rsidRPr="00BA4B87">
        <w:rPr>
          <w:rFonts w:ascii="STKaiti" w:eastAsia="STKaiti" w:hAnsi="STKaiti"/>
          <w:lang w:eastAsia="zh-CN"/>
        </w:rPr>
        <w:t>作为国际性条约，</w:t>
      </w:r>
      <w:r w:rsidR="004D2C8D" w:rsidRPr="00BA4B87">
        <w:rPr>
          <w:rFonts w:ascii="STKaiti" w:eastAsia="STKaiti" w:hAnsi="STKaiti" w:cs="Calibri"/>
          <w:lang w:eastAsia="zh-CN"/>
        </w:rPr>
        <w:t>ITR</w:t>
      </w:r>
      <w:r w:rsidR="004D2C8D" w:rsidRPr="00BA4B87">
        <w:rPr>
          <w:rFonts w:ascii="STKaiti" w:eastAsia="STKaiti" w:hAnsi="STKaiti"/>
          <w:lang w:eastAsia="zh-CN"/>
        </w:rPr>
        <w:t>应针对高层战略和政策问题。</w:t>
      </w:r>
    </w:p>
    <w:p w:rsidR="007C24FC" w:rsidRPr="00F74028" w:rsidRDefault="00BA4B87" w:rsidP="00BA4B87">
      <w:pPr>
        <w:pStyle w:val="enumlev1"/>
        <w:rPr>
          <w:lang w:eastAsia="zh-CN"/>
        </w:rPr>
      </w:pPr>
      <w:r>
        <w:rPr>
          <w:rFonts w:hint="eastAsia"/>
          <w:lang w:eastAsia="zh-CN"/>
        </w:rPr>
        <w:tab/>
      </w:r>
      <w:r w:rsidR="004F0B5D" w:rsidRPr="00F74028">
        <w:rPr>
          <w:lang w:eastAsia="zh-CN"/>
        </w:rPr>
        <w:t>根据这一标准，</w:t>
      </w:r>
      <w:r w:rsidR="000F61D9">
        <w:rPr>
          <w:rFonts w:eastAsiaTheme="minorEastAsia" w:hint="eastAsia"/>
          <w:lang w:eastAsia="zh-CN"/>
        </w:rPr>
        <w:t>欧洲</w:t>
      </w:r>
      <w:r w:rsidR="004F0B5D" w:rsidRPr="00F74028">
        <w:rPr>
          <w:lang w:eastAsia="zh-CN"/>
        </w:rPr>
        <w:t>认为特别重要的是遵守以下原则，即《国际电信规则》应包含涉及国际电信业务和设施的高度战略性和政策性问题（应纳入国际条约的相关领域），</w:t>
      </w:r>
      <w:r w:rsidR="00431245" w:rsidRPr="00F74028">
        <w:rPr>
          <w:lang w:eastAsia="zh-CN"/>
        </w:rPr>
        <w:t>条款应灵活并足够广泛，以适应时代变迁</w:t>
      </w:r>
      <w:r w:rsidR="007C24FC" w:rsidRPr="00F74028">
        <w:rPr>
          <w:lang w:eastAsia="zh-CN"/>
        </w:rPr>
        <w:t>。</w:t>
      </w:r>
    </w:p>
    <w:p w:rsidR="00015C7F" w:rsidRPr="00F74028" w:rsidRDefault="00BA4B87" w:rsidP="00BA4B87">
      <w:pPr>
        <w:pStyle w:val="enumlev1"/>
        <w:rPr>
          <w:lang w:eastAsia="zh-CN"/>
        </w:rPr>
      </w:pPr>
      <w:r>
        <w:rPr>
          <w:rFonts w:hint="eastAsia"/>
          <w:lang w:eastAsia="zh-CN"/>
        </w:rPr>
        <w:tab/>
      </w:r>
      <w:r w:rsidR="007C24FC" w:rsidRPr="00F74028">
        <w:rPr>
          <w:lang w:eastAsia="zh-CN"/>
        </w:rPr>
        <w:t>此外，</w:t>
      </w:r>
      <w:r w:rsidR="004F0B5D" w:rsidRPr="00F74028">
        <w:rPr>
          <w:lang w:eastAsia="zh-CN"/>
        </w:rPr>
        <w:t>保护电信运营商和服务提供商的商业选择权及其在国际电信服务和设施提供工作中享有的运行和技术自由权。</w:t>
      </w:r>
    </w:p>
    <w:p w:rsidR="00015C7F" w:rsidRPr="00214681" w:rsidRDefault="00BA4B87" w:rsidP="00BA4B87">
      <w:pPr>
        <w:pStyle w:val="enumlev1"/>
        <w:rPr>
          <w:lang w:eastAsia="zh-CN"/>
        </w:rPr>
      </w:pPr>
      <w:r>
        <w:rPr>
          <w:rFonts w:hint="eastAsia"/>
          <w:lang w:eastAsia="zh-CN"/>
        </w:rPr>
        <w:tab/>
      </w:r>
      <w:r w:rsidR="00C922E0" w:rsidRPr="00F74028">
        <w:rPr>
          <w:lang w:eastAsia="zh-CN"/>
        </w:rPr>
        <w:t>第</w:t>
      </w:r>
      <w:r w:rsidR="00C922E0" w:rsidRPr="00F74028">
        <w:rPr>
          <w:lang w:eastAsia="zh-CN"/>
        </w:rPr>
        <w:t>171</w:t>
      </w:r>
      <w:r w:rsidR="00C922E0" w:rsidRPr="00F74028">
        <w:rPr>
          <w:lang w:eastAsia="zh-CN"/>
        </w:rPr>
        <w:t>号决议</w:t>
      </w:r>
      <w:r w:rsidR="00862AD7">
        <w:rPr>
          <w:rFonts w:hint="eastAsia"/>
          <w:lang w:eastAsia="zh-CN"/>
        </w:rPr>
        <w:t>“</w:t>
      </w:r>
      <w:r w:rsidR="00C922E0" w:rsidRPr="00F74028">
        <w:rPr>
          <w:lang w:eastAsia="zh-CN"/>
        </w:rPr>
        <w:t>2012</w:t>
      </w:r>
      <w:r w:rsidR="00C922E0" w:rsidRPr="00F74028">
        <w:rPr>
          <w:lang w:eastAsia="zh-CN"/>
        </w:rPr>
        <w:t>年国际电信世界大会的筹备</w:t>
      </w:r>
      <w:r w:rsidR="00862AD7">
        <w:rPr>
          <w:rFonts w:hint="eastAsia"/>
          <w:lang w:eastAsia="zh-CN"/>
        </w:rPr>
        <w:t>”</w:t>
      </w:r>
      <w:r w:rsidR="00C922E0" w:rsidRPr="00F74028">
        <w:rPr>
          <w:lang w:eastAsia="zh-CN"/>
        </w:rPr>
        <w:t>（</w:t>
      </w:r>
      <w:r w:rsidR="00C922E0" w:rsidRPr="00F74028">
        <w:rPr>
          <w:lang w:eastAsia="zh-CN"/>
        </w:rPr>
        <w:t>2010</w:t>
      </w:r>
      <w:r w:rsidR="00C922E0" w:rsidRPr="00F74028">
        <w:rPr>
          <w:lang w:eastAsia="zh-CN"/>
        </w:rPr>
        <w:t>年，瓜达拉哈拉）规定了这项标准的依据，并在其</w:t>
      </w:r>
      <w:r w:rsidR="004E4C30">
        <w:rPr>
          <w:rFonts w:hint="eastAsia"/>
          <w:lang w:eastAsia="zh-CN"/>
        </w:rPr>
        <w:t>“</w:t>
      </w:r>
      <w:r w:rsidR="00C922E0" w:rsidRPr="00F74028">
        <w:rPr>
          <w:lang w:eastAsia="zh-CN"/>
        </w:rPr>
        <w:t>进一步做出决议</w:t>
      </w:r>
      <w:r w:rsidR="004E4C30">
        <w:rPr>
          <w:rFonts w:hint="eastAsia"/>
          <w:lang w:eastAsia="zh-CN"/>
        </w:rPr>
        <w:t>”</w:t>
      </w:r>
      <w:r w:rsidR="00C922E0" w:rsidRPr="00F74028">
        <w:rPr>
          <w:lang w:eastAsia="zh-CN"/>
        </w:rPr>
        <w:t>部分提出，修改《国际电信规则》的提案应</w:t>
      </w:r>
      <w:r w:rsidR="004E4C30">
        <w:rPr>
          <w:rFonts w:hint="eastAsia"/>
          <w:lang w:eastAsia="zh-CN"/>
        </w:rPr>
        <w:t>“</w:t>
      </w:r>
      <w:r w:rsidR="00C922E0" w:rsidRPr="00F74028">
        <w:rPr>
          <w:lang w:eastAsia="zh-CN"/>
        </w:rPr>
        <w:t>特别反映出战略与政策原则，以确保能够灵活地适应技术进步</w:t>
      </w:r>
      <w:r w:rsidR="004E4C30">
        <w:rPr>
          <w:rFonts w:hint="eastAsia"/>
          <w:lang w:eastAsia="zh-CN"/>
        </w:rPr>
        <w:t>”</w:t>
      </w:r>
      <w:r w:rsidR="00C922E0" w:rsidRPr="00F74028">
        <w:rPr>
          <w:lang w:eastAsia="zh-CN"/>
        </w:rPr>
        <w:t>并</w:t>
      </w:r>
      <w:r w:rsidR="004E4C30">
        <w:rPr>
          <w:rFonts w:hint="eastAsia"/>
          <w:lang w:eastAsia="zh-CN"/>
        </w:rPr>
        <w:t>“</w:t>
      </w:r>
      <w:r w:rsidR="00C922E0" w:rsidRPr="00F74028">
        <w:rPr>
          <w:lang w:eastAsia="zh-CN"/>
        </w:rPr>
        <w:t>具有可纳入国际条约的针对性</w:t>
      </w:r>
      <w:r w:rsidR="004E4C30">
        <w:rPr>
          <w:rFonts w:hint="eastAsia"/>
          <w:lang w:eastAsia="zh-CN"/>
        </w:rPr>
        <w:t>”</w:t>
      </w:r>
      <w:r w:rsidR="00C922E0" w:rsidRPr="00F74028">
        <w:rPr>
          <w:lang w:eastAsia="zh-CN"/>
        </w:rPr>
        <w:t>。</w:t>
      </w:r>
    </w:p>
    <w:p w:rsidR="00015C7F" w:rsidRPr="00BA4B87" w:rsidRDefault="007F107E" w:rsidP="00BA4B87">
      <w:pPr>
        <w:pStyle w:val="enumlev1"/>
      </w:pPr>
      <w:r w:rsidRPr="00BA4B87">
        <w:t>•</w:t>
      </w:r>
      <w:r w:rsidRPr="00BA4B87">
        <w:rPr>
          <w:rFonts w:hint="eastAsia"/>
        </w:rPr>
        <w:tab/>
      </w:r>
      <w:r w:rsidR="00B76090" w:rsidRPr="00BA4B87">
        <w:rPr>
          <w:b/>
          <w:bCs/>
        </w:rPr>
        <w:t>标准</w:t>
      </w:r>
      <w:r w:rsidR="007C24FC" w:rsidRPr="00BA4B87">
        <w:rPr>
          <w:b/>
          <w:bCs/>
        </w:rPr>
        <w:t>2</w:t>
      </w:r>
      <w:r w:rsidR="007C24FC" w:rsidRPr="00BA4B87">
        <w:rPr>
          <w:b/>
          <w:bCs/>
        </w:rPr>
        <w:t>：</w:t>
      </w:r>
      <w:r w:rsidR="004C73BB" w:rsidRPr="00BA4B87">
        <w:rPr>
          <w:rFonts w:ascii="STKaiti" w:eastAsia="STKaiti" w:hAnsi="STKaiti"/>
        </w:rPr>
        <w:t>与《组织法》的前言和第</w:t>
      </w:r>
      <w:r w:rsidR="007C24FC" w:rsidRPr="00BA4B87">
        <w:rPr>
          <w:rFonts w:ascii="STKaiti" w:eastAsia="STKaiti" w:hAnsi="STKaiti"/>
        </w:rPr>
        <w:t>1</w:t>
      </w:r>
      <w:r w:rsidR="004C73BB" w:rsidRPr="00BA4B87">
        <w:rPr>
          <w:rFonts w:ascii="STKaiti" w:eastAsia="STKaiti" w:hAnsi="STKaiti"/>
        </w:rPr>
        <w:t>条保持一致</w:t>
      </w:r>
    </w:p>
    <w:p w:rsidR="00F579B6" w:rsidRDefault="00BA4B87" w:rsidP="00BA4B87">
      <w:pPr>
        <w:pStyle w:val="enumlev1"/>
        <w:rPr>
          <w:color w:val="000000"/>
          <w:lang w:val="en-US" w:eastAsia="zh-CN"/>
        </w:rPr>
      </w:pPr>
      <w:r>
        <w:rPr>
          <w:rFonts w:hint="eastAsia"/>
          <w:lang w:eastAsia="zh-CN"/>
        </w:rPr>
        <w:tab/>
      </w:r>
      <w:r w:rsidR="007C24FC" w:rsidRPr="006427D1">
        <w:rPr>
          <w:rFonts w:hint="eastAsia"/>
          <w:lang w:eastAsia="zh-CN"/>
        </w:rPr>
        <w:t>欧洲承认，</w:t>
      </w:r>
      <w:r w:rsidR="00F579B6" w:rsidRPr="006427D1">
        <w:rPr>
          <w:rFonts w:hint="eastAsia"/>
          <w:lang w:eastAsia="zh-CN"/>
        </w:rPr>
        <w:t>成员国应尽最大可能遵守国际电联建议书的规定。但也认为，对</w:t>
      </w:r>
      <w:r w:rsidR="007C24FC" w:rsidRPr="006427D1">
        <w:rPr>
          <w:rFonts w:hint="eastAsia"/>
          <w:lang w:eastAsia="zh-CN"/>
        </w:rPr>
        <w:t>成员国提出</w:t>
      </w:r>
      <w:r w:rsidR="00F579B6" w:rsidRPr="006427D1">
        <w:rPr>
          <w:rFonts w:hint="eastAsia"/>
          <w:lang w:eastAsia="zh-CN"/>
        </w:rPr>
        <w:t>的要求，即：</w:t>
      </w:r>
    </w:p>
    <w:p w:rsidR="00F579B6" w:rsidRPr="00F74028" w:rsidRDefault="00F74028" w:rsidP="00BA4B87">
      <w:pPr>
        <w:pStyle w:val="enumlev2"/>
        <w:rPr>
          <w:lang w:eastAsia="zh-CN"/>
        </w:rPr>
      </w:pPr>
      <w:r w:rsidRPr="00F74028">
        <w:rPr>
          <w:rFonts w:cs="Calibri"/>
          <w:lang w:eastAsia="zh-CN"/>
        </w:rPr>
        <w:t>i</w:t>
      </w:r>
      <w:r w:rsidRPr="00F74028">
        <w:rPr>
          <w:lang w:eastAsia="zh-CN"/>
        </w:rPr>
        <w:t>)</w:t>
      </w:r>
      <w:r w:rsidRPr="00F74028">
        <w:rPr>
          <w:lang w:eastAsia="zh-CN"/>
        </w:rPr>
        <w:tab/>
      </w:r>
      <w:r w:rsidR="00F579B6" w:rsidRPr="00F74028">
        <w:rPr>
          <w:lang w:eastAsia="zh-CN"/>
        </w:rPr>
        <w:t>执行</w:t>
      </w:r>
      <w:r w:rsidR="007C24FC" w:rsidRPr="00F74028">
        <w:rPr>
          <w:rFonts w:cs="Calibri"/>
          <w:lang w:eastAsia="zh-CN"/>
        </w:rPr>
        <w:t>ITU-T</w:t>
      </w:r>
      <w:r w:rsidR="00F579B6" w:rsidRPr="00F74028">
        <w:rPr>
          <w:lang w:eastAsia="zh-CN"/>
        </w:rPr>
        <w:t>建议书；</w:t>
      </w:r>
    </w:p>
    <w:p w:rsidR="00F579B6" w:rsidRPr="006427D1" w:rsidRDefault="00F74028" w:rsidP="00BA4B87">
      <w:pPr>
        <w:pStyle w:val="enumlev2"/>
        <w:rPr>
          <w:lang w:eastAsia="zh-CN"/>
        </w:rPr>
      </w:pPr>
      <w:r w:rsidRPr="00F74028">
        <w:rPr>
          <w:rFonts w:cs="Calibri"/>
          <w:lang w:eastAsia="zh-CN"/>
        </w:rPr>
        <w:t>ii</w:t>
      </w:r>
      <w:r w:rsidRPr="00F74028">
        <w:rPr>
          <w:lang w:eastAsia="zh-CN"/>
        </w:rPr>
        <w:t>)</w:t>
      </w:r>
      <w:r w:rsidRPr="00F74028">
        <w:rPr>
          <w:rFonts w:hint="eastAsia"/>
          <w:lang w:eastAsia="zh-CN"/>
        </w:rPr>
        <w:tab/>
      </w:r>
      <w:r w:rsidR="00F579B6" w:rsidRPr="00F74028">
        <w:rPr>
          <w:lang w:eastAsia="zh-CN"/>
        </w:rPr>
        <w:t>采取执行国际电联规定的全国措施；</w:t>
      </w:r>
      <w:r w:rsidR="00F579B6" w:rsidRPr="006427D1">
        <w:rPr>
          <w:lang w:eastAsia="zh-CN"/>
        </w:rPr>
        <w:t xml:space="preserve"> </w:t>
      </w:r>
    </w:p>
    <w:p w:rsidR="00F579B6" w:rsidRPr="00F74028" w:rsidRDefault="00BA4B87" w:rsidP="00BA4B87">
      <w:pPr>
        <w:pStyle w:val="enumlev1"/>
        <w:rPr>
          <w:lang w:eastAsia="zh-CN"/>
        </w:rPr>
      </w:pPr>
      <w:r>
        <w:rPr>
          <w:rFonts w:hint="eastAsia"/>
          <w:lang w:eastAsia="zh-CN"/>
        </w:rPr>
        <w:tab/>
      </w:r>
      <w:r w:rsidR="000B59D7" w:rsidRPr="00F74028">
        <w:rPr>
          <w:lang w:eastAsia="zh-CN"/>
        </w:rPr>
        <w:t>不符合《组织法》前言的精神、国际电联《组织法》第</w:t>
      </w:r>
      <w:r w:rsidR="000B59D7" w:rsidRPr="00F74028">
        <w:rPr>
          <w:lang w:eastAsia="zh-CN"/>
        </w:rPr>
        <w:t>1</w:t>
      </w:r>
      <w:r w:rsidR="000B59D7" w:rsidRPr="00F74028">
        <w:rPr>
          <w:lang w:eastAsia="zh-CN"/>
        </w:rPr>
        <w:t>条规定的国际电联宗旨和《国际电信规则》第</w:t>
      </w:r>
      <w:r w:rsidR="000B59D7" w:rsidRPr="00F74028">
        <w:rPr>
          <w:lang w:eastAsia="zh-CN"/>
        </w:rPr>
        <w:t>1</w:t>
      </w:r>
      <w:r w:rsidR="00F579B6" w:rsidRPr="00F74028">
        <w:rPr>
          <w:lang w:eastAsia="zh-CN"/>
        </w:rPr>
        <w:t>条规定的职责范围和宗旨。此外，</w:t>
      </w:r>
      <w:r w:rsidR="00F579B6" w:rsidRPr="00F74028">
        <w:rPr>
          <w:lang w:eastAsia="zh-CN"/>
        </w:rPr>
        <w:t>ITU-T</w:t>
      </w:r>
      <w:r w:rsidR="00F579B6" w:rsidRPr="00F74028">
        <w:rPr>
          <w:lang w:eastAsia="zh-CN"/>
        </w:rPr>
        <w:t>建议书本身不具约束性，仅供自愿采用，因此不能付诸例行强制执行。</w:t>
      </w:r>
    </w:p>
    <w:p w:rsidR="00F579B6" w:rsidRPr="00F74028" w:rsidRDefault="00BA4B87" w:rsidP="00BA4B87">
      <w:pPr>
        <w:pStyle w:val="enumlev1"/>
        <w:rPr>
          <w:lang w:eastAsia="zh-CN"/>
        </w:rPr>
      </w:pPr>
      <w:r>
        <w:rPr>
          <w:rFonts w:hint="eastAsia"/>
          <w:lang w:eastAsia="zh-CN"/>
        </w:rPr>
        <w:tab/>
      </w:r>
      <w:r w:rsidR="00F579B6" w:rsidRPr="00F74028">
        <w:rPr>
          <w:lang w:eastAsia="zh-CN"/>
        </w:rPr>
        <w:t>这并不意味着个体成员国不能通过它们选用的国家立法或许可要求等措施，强制执行</w:t>
      </w:r>
      <w:r w:rsidR="00F579B6" w:rsidRPr="00F74028">
        <w:rPr>
          <w:lang w:eastAsia="zh-CN"/>
        </w:rPr>
        <w:t>ITU-T</w:t>
      </w:r>
      <w:r w:rsidR="00F579B6" w:rsidRPr="00F74028">
        <w:rPr>
          <w:lang w:eastAsia="zh-CN"/>
        </w:rPr>
        <w:t>建议书的规定。</w:t>
      </w:r>
    </w:p>
    <w:p w:rsidR="00F579B6" w:rsidRPr="00F74028" w:rsidRDefault="00BA4B87" w:rsidP="00BA4B87">
      <w:pPr>
        <w:pStyle w:val="enumlev1"/>
        <w:rPr>
          <w:lang w:eastAsia="zh-CN"/>
        </w:rPr>
      </w:pPr>
      <w:r>
        <w:rPr>
          <w:rFonts w:hint="eastAsia"/>
          <w:lang w:eastAsia="zh-CN"/>
        </w:rPr>
        <w:tab/>
      </w:r>
      <w:r w:rsidR="00F579B6" w:rsidRPr="00F74028">
        <w:rPr>
          <w:lang w:eastAsia="zh-CN"/>
        </w:rPr>
        <w:t>《国际电信规则》第</w:t>
      </w:r>
      <w:r w:rsidR="00F579B6" w:rsidRPr="00F74028">
        <w:rPr>
          <w:lang w:eastAsia="zh-CN"/>
        </w:rPr>
        <w:t>1.4</w:t>
      </w:r>
      <w:r w:rsidR="00F579B6" w:rsidRPr="00F74028">
        <w:rPr>
          <w:lang w:eastAsia="zh-CN"/>
        </w:rPr>
        <w:t>款对这些原则给予认可。</w:t>
      </w:r>
    </w:p>
    <w:p w:rsidR="00015C7F" w:rsidRPr="00214681" w:rsidRDefault="00BA4B87" w:rsidP="00BA4B87">
      <w:pPr>
        <w:pStyle w:val="enumlev1"/>
        <w:rPr>
          <w:lang w:eastAsia="zh-CN"/>
        </w:rPr>
      </w:pPr>
      <w:r>
        <w:rPr>
          <w:rFonts w:hint="eastAsia"/>
          <w:lang w:eastAsia="zh-CN"/>
        </w:rPr>
        <w:tab/>
      </w:r>
      <w:r w:rsidR="00F579B6" w:rsidRPr="00F74028">
        <w:rPr>
          <w:lang w:eastAsia="zh-CN"/>
        </w:rPr>
        <w:t>因此，鉴于国际电联《组织法》未赋予国际电联建议书约束力，</w:t>
      </w:r>
      <w:r w:rsidR="000B59D7" w:rsidRPr="00F74028">
        <w:rPr>
          <w:lang w:eastAsia="zh-CN"/>
        </w:rPr>
        <w:t>欧洲</w:t>
      </w:r>
      <w:r w:rsidR="00F579B6" w:rsidRPr="00F74028">
        <w:rPr>
          <w:lang w:eastAsia="zh-CN"/>
        </w:rPr>
        <w:t>认为不应利用《国际电信规则》的修订改变国际电联建议书的性质。</w:t>
      </w:r>
    </w:p>
    <w:p w:rsidR="00015C7F" w:rsidRPr="006427D1" w:rsidRDefault="007F107E" w:rsidP="00BA4B87">
      <w:pPr>
        <w:pStyle w:val="enumlev1"/>
        <w:rPr>
          <w:rFonts w:cs="Calibri"/>
          <w:i/>
          <w:szCs w:val="24"/>
          <w:lang w:eastAsia="zh-CN"/>
        </w:rPr>
      </w:pPr>
      <w:r w:rsidRPr="007F107E">
        <w:rPr>
          <w:rFonts w:cs="Calibri"/>
          <w:b/>
          <w:szCs w:val="24"/>
          <w:lang w:eastAsia="zh-CN"/>
        </w:rPr>
        <w:t>•</w:t>
      </w:r>
      <w:r>
        <w:rPr>
          <w:rFonts w:cs="Calibri" w:hint="eastAsia"/>
          <w:b/>
          <w:szCs w:val="24"/>
          <w:lang w:eastAsia="zh-CN"/>
        </w:rPr>
        <w:tab/>
      </w:r>
      <w:r w:rsidR="009B2BC9" w:rsidRPr="006427D1">
        <w:rPr>
          <w:rFonts w:cs="Calibri"/>
          <w:b/>
          <w:szCs w:val="24"/>
          <w:lang w:eastAsia="zh-CN"/>
        </w:rPr>
        <w:t>标准</w:t>
      </w:r>
      <w:r w:rsidR="00015C7F" w:rsidRPr="006427D1">
        <w:rPr>
          <w:rFonts w:cs="Calibri"/>
          <w:b/>
          <w:szCs w:val="24"/>
          <w:lang w:eastAsia="zh-CN"/>
        </w:rPr>
        <w:t>3</w:t>
      </w:r>
      <w:r w:rsidR="000B59D7" w:rsidRPr="006427D1">
        <w:rPr>
          <w:rFonts w:cs="Calibri"/>
          <w:b/>
          <w:szCs w:val="24"/>
          <w:lang w:eastAsia="zh-CN"/>
        </w:rPr>
        <w:t>：</w:t>
      </w:r>
      <w:r w:rsidR="00CB2881" w:rsidRPr="00BA4B87">
        <w:rPr>
          <w:rFonts w:ascii="STKaiti" w:eastAsia="STKaiti" w:hAnsi="STKaiti"/>
          <w:lang w:eastAsia="zh-CN"/>
        </w:rPr>
        <w:t>遵守CEPT成员国通过的国际协议/立法</w:t>
      </w:r>
    </w:p>
    <w:p w:rsidR="00032DE7" w:rsidRPr="00F74028" w:rsidRDefault="00BA4B87" w:rsidP="00BA4B87">
      <w:pPr>
        <w:pStyle w:val="enumlev1"/>
        <w:rPr>
          <w:lang w:eastAsia="zh-CN"/>
        </w:rPr>
      </w:pPr>
      <w:r>
        <w:rPr>
          <w:rFonts w:hint="eastAsia"/>
          <w:lang w:eastAsia="zh-CN"/>
        </w:rPr>
        <w:tab/>
      </w:r>
      <w:r w:rsidR="00032DE7" w:rsidRPr="00F74028">
        <w:rPr>
          <w:lang w:eastAsia="zh-CN"/>
        </w:rPr>
        <w:t>100</w:t>
      </w:r>
      <w:r w:rsidR="00032DE7" w:rsidRPr="00F74028">
        <w:rPr>
          <w:lang w:eastAsia="zh-CN"/>
        </w:rPr>
        <w:t>多个国家就</w:t>
      </w:r>
      <w:r w:rsidR="000B59D7" w:rsidRPr="00F74028">
        <w:rPr>
          <w:lang w:eastAsia="zh-CN"/>
        </w:rPr>
        <w:t>服务贸易总协定</w:t>
      </w:r>
      <w:r w:rsidR="00032DE7" w:rsidRPr="00F74028">
        <w:rPr>
          <w:lang w:eastAsia="zh-CN"/>
        </w:rPr>
        <w:t>第</w:t>
      </w:r>
      <w:r w:rsidR="00032DE7" w:rsidRPr="00F74028">
        <w:rPr>
          <w:lang w:eastAsia="zh-CN"/>
        </w:rPr>
        <w:t>4</w:t>
      </w:r>
      <w:r w:rsidR="00032DE7" w:rsidRPr="00F74028">
        <w:rPr>
          <w:lang w:eastAsia="zh-CN"/>
        </w:rPr>
        <w:t>议定书</w:t>
      </w:r>
      <w:r w:rsidR="00DF00C5" w:rsidRPr="00F74028">
        <w:rPr>
          <w:lang w:eastAsia="zh-CN"/>
        </w:rPr>
        <w:t>中的基本电信业务协议</w:t>
      </w:r>
      <w:r w:rsidR="00032DE7" w:rsidRPr="00F74028">
        <w:rPr>
          <w:lang w:eastAsia="zh-CN"/>
        </w:rPr>
        <w:t>做出了承诺。因此，不符合世贸组织</w:t>
      </w:r>
      <w:r w:rsidR="00DF00C5" w:rsidRPr="00F74028">
        <w:rPr>
          <w:lang w:eastAsia="zh-CN"/>
        </w:rPr>
        <w:t>条约或破坏该组织做出的承诺</w:t>
      </w:r>
      <w:r w:rsidR="00032DE7" w:rsidRPr="00F74028">
        <w:rPr>
          <w:lang w:eastAsia="zh-CN"/>
        </w:rPr>
        <w:t>的基本原则的提案不能得到支持。</w:t>
      </w:r>
    </w:p>
    <w:p w:rsidR="00A94931" w:rsidRPr="007A01DF" w:rsidRDefault="00BA4B87" w:rsidP="00BA4B87">
      <w:pPr>
        <w:pStyle w:val="enumlev1"/>
        <w:rPr>
          <w:lang w:eastAsia="zh-CN"/>
        </w:rPr>
      </w:pPr>
      <w:r>
        <w:rPr>
          <w:rFonts w:hint="eastAsia"/>
          <w:lang w:eastAsia="zh-CN"/>
        </w:rPr>
        <w:tab/>
      </w:r>
      <w:r w:rsidR="00032DE7" w:rsidRPr="00F74028">
        <w:rPr>
          <w:lang w:eastAsia="zh-CN"/>
        </w:rPr>
        <w:t>此外，考虑到许多</w:t>
      </w:r>
      <w:r w:rsidR="00DF00C5" w:rsidRPr="00F74028">
        <w:rPr>
          <w:lang w:eastAsia="zh-CN"/>
        </w:rPr>
        <w:t>欧洲国家</w:t>
      </w:r>
      <w:r w:rsidR="00032DE7" w:rsidRPr="00F74028">
        <w:rPr>
          <w:lang w:eastAsia="zh-CN"/>
        </w:rPr>
        <w:t>也是欧盟</w:t>
      </w:r>
      <w:r w:rsidR="00032DE7" w:rsidRPr="00F74028">
        <w:rPr>
          <w:lang w:eastAsia="zh-CN"/>
        </w:rPr>
        <w:t>/</w:t>
      </w:r>
      <w:r w:rsidR="00032DE7" w:rsidRPr="00F74028">
        <w:rPr>
          <w:lang w:eastAsia="zh-CN"/>
        </w:rPr>
        <w:t>欧洲经济区</w:t>
      </w:r>
      <w:r w:rsidR="00DF00C5" w:rsidRPr="00F74028">
        <w:rPr>
          <w:lang w:eastAsia="zh-CN"/>
        </w:rPr>
        <w:t>（</w:t>
      </w:r>
      <w:r w:rsidR="00DF00C5" w:rsidRPr="00F74028">
        <w:rPr>
          <w:lang w:eastAsia="zh-CN"/>
        </w:rPr>
        <w:t>EU/EEA</w:t>
      </w:r>
      <w:r w:rsidR="00DF00C5" w:rsidRPr="00F74028">
        <w:rPr>
          <w:lang w:eastAsia="zh-CN"/>
        </w:rPr>
        <w:t>）</w:t>
      </w:r>
      <w:r w:rsidR="00032DE7" w:rsidRPr="00F74028">
        <w:rPr>
          <w:lang w:eastAsia="zh-CN"/>
        </w:rPr>
        <w:t>成员国，</w:t>
      </w:r>
      <w:r w:rsidR="00DF00C5" w:rsidRPr="00F74028">
        <w:rPr>
          <w:lang w:eastAsia="zh-CN"/>
        </w:rPr>
        <w:t>欧洲</w:t>
      </w:r>
      <w:r w:rsidR="00032DE7" w:rsidRPr="00F74028">
        <w:rPr>
          <w:lang w:eastAsia="zh-CN"/>
        </w:rPr>
        <w:t>对</w:t>
      </w:r>
      <w:r w:rsidR="00DF00C5" w:rsidRPr="00F74028">
        <w:rPr>
          <w:lang w:eastAsia="zh-CN"/>
        </w:rPr>
        <w:t>违背</w:t>
      </w:r>
      <w:r w:rsidR="00032DE7" w:rsidRPr="00F74028">
        <w:rPr>
          <w:lang w:eastAsia="zh-CN"/>
        </w:rPr>
        <w:t>欧盟</w:t>
      </w:r>
      <w:r w:rsidR="00032DE7" w:rsidRPr="00F74028">
        <w:rPr>
          <w:lang w:eastAsia="zh-CN"/>
        </w:rPr>
        <w:t>/</w:t>
      </w:r>
      <w:r w:rsidR="00032DE7" w:rsidRPr="00F74028">
        <w:rPr>
          <w:lang w:eastAsia="zh-CN"/>
        </w:rPr>
        <w:t>欧洲经济区立法的提案</w:t>
      </w:r>
      <w:r w:rsidR="00DF00C5" w:rsidRPr="00F74028">
        <w:rPr>
          <w:lang w:eastAsia="zh-CN"/>
        </w:rPr>
        <w:t>不予支持</w:t>
      </w:r>
      <w:r w:rsidR="00032DE7" w:rsidRPr="00F74028">
        <w:rPr>
          <w:lang w:eastAsia="zh-CN"/>
        </w:rPr>
        <w:t>。</w:t>
      </w:r>
    </w:p>
    <w:p w:rsidR="00015C7F" w:rsidRPr="006427D1" w:rsidRDefault="007F107E" w:rsidP="00BA4B87">
      <w:pPr>
        <w:pStyle w:val="enumlev1"/>
        <w:rPr>
          <w:lang w:eastAsia="zh-CN"/>
        </w:rPr>
      </w:pPr>
      <w:r w:rsidRPr="007F107E">
        <w:rPr>
          <w:rFonts w:cs="Calibri"/>
          <w:b/>
          <w:szCs w:val="24"/>
          <w:lang w:eastAsia="zh-CN"/>
        </w:rPr>
        <w:t>•</w:t>
      </w:r>
      <w:r>
        <w:rPr>
          <w:rFonts w:cs="Calibri" w:hint="eastAsia"/>
          <w:b/>
          <w:szCs w:val="24"/>
          <w:lang w:eastAsia="zh-CN"/>
        </w:rPr>
        <w:tab/>
      </w:r>
      <w:r w:rsidR="0025502F" w:rsidRPr="006427D1">
        <w:rPr>
          <w:rFonts w:cs="Calibri"/>
          <w:b/>
          <w:szCs w:val="24"/>
          <w:lang w:eastAsia="zh-CN"/>
        </w:rPr>
        <w:t>标准</w:t>
      </w:r>
      <w:r w:rsidR="00015C7F" w:rsidRPr="006427D1">
        <w:rPr>
          <w:rFonts w:cs="Calibri"/>
          <w:b/>
          <w:szCs w:val="24"/>
          <w:lang w:eastAsia="zh-CN"/>
        </w:rPr>
        <w:t>4</w:t>
      </w:r>
      <w:r w:rsidR="006427D1">
        <w:rPr>
          <w:rFonts w:cs="Calibri" w:hint="eastAsia"/>
          <w:b/>
          <w:szCs w:val="24"/>
          <w:lang w:eastAsia="zh-CN"/>
        </w:rPr>
        <w:t>：</w:t>
      </w:r>
      <w:r w:rsidR="00836225" w:rsidRPr="00BA4B87">
        <w:rPr>
          <w:rFonts w:ascii="STKaiti" w:eastAsia="STKaiti" w:hAnsi="STKaiti" w:hint="eastAsia"/>
          <w:lang w:eastAsia="zh-CN"/>
        </w:rPr>
        <w:t>与成员国实行其主权范围内的法律或政策原则相关的领域</w:t>
      </w:r>
    </w:p>
    <w:p w:rsidR="00015C7F" w:rsidRPr="00F74028" w:rsidRDefault="00BA4B87" w:rsidP="00BA4B87">
      <w:pPr>
        <w:pStyle w:val="enumlev1"/>
        <w:rPr>
          <w:lang w:eastAsia="zh-CN"/>
        </w:rPr>
      </w:pPr>
      <w:r>
        <w:rPr>
          <w:rFonts w:hint="eastAsia"/>
          <w:lang w:eastAsia="zh-CN"/>
        </w:rPr>
        <w:tab/>
      </w:r>
      <w:r w:rsidR="00DF00C5" w:rsidRPr="00F74028">
        <w:rPr>
          <w:lang w:eastAsia="zh-CN"/>
        </w:rPr>
        <w:t>欧洲将</w:t>
      </w:r>
      <w:r w:rsidR="00022A90" w:rsidRPr="00F74028">
        <w:rPr>
          <w:lang w:eastAsia="zh-CN"/>
        </w:rPr>
        <w:t>结合第</w:t>
      </w:r>
      <w:r w:rsidR="00022A90" w:rsidRPr="00F74028">
        <w:rPr>
          <w:lang w:eastAsia="zh-CN"/>
        </w:rPr>
        <w:t>130</w:t>
      </w:r>
      <w:r w:rsidR="00022A90" w:rsidRPr="00F74028">
        <w:rPr>
          <w:lang w:eastAsia="zh-CN"/>
        </w:rPr>
        <w:t>号决议（</w:t>
      </w:r>
      <w:r w:rsidR="00022A90" w:rsidRPr="00F74028">
        <w:rPr>
          <w:lang w:eastAsia="zh-CN"/>
        </w:rPr>
        <w:t>2010</w:t>
      </w:r>
      <w:r w:rsidR="00022A90" w:rsidRPr="00F74028">
        <w:rPr>
          <w:lang w:eastAsia="zh-CN"/>
        </w:rPr>
        <w:t>年，瓜达拉哈拉，修订版）做出决定</w:t>
      </w:r>
      <w:r w:rsidR="00022A90" w:rsidRPr="00F74028">
        <w:rPr>
          <w:lang w:eastAsia="zh-CN"/>
        </w:rPr>
        <w:t>3</w:t>
      </w:r>
      <w:r w:rsidR="00022A90" w:rsidRPr="00F74028">
        <w:rPr>
          <w:lang w:eastAsia="zh-CN"/>
        </w:rPr>
        <w:t>，即</w:t>
      </w:r>
      <w:r w:rsidR="00862AD7">
        <w:rPr>
          <w:rFonts w:hint="eastAsia"/>
          <w:lang w:eastAsia="zh-CN"/>
        </w:rPr>
        <w:t>“</w:t>
      </w:r>
      <w:r w:rsidR="00022A90" w:rsidRPr="00F74028">
        <w:rPr>
          <w:lang w:eastAsia="zh-CN"/>
        </w:rPr>
        <w:t>国际电联须将资源和项目集中于那些符合其核心职责范围与专业特长的网络安全领域，主要是技术和发展领域，不包括那些与成员国在国防、国家安全、内容和网</w:t>
      </w:r>
      <w:r w:rsidR="00022A90" w:rsidRPr="00F74028">
        <w:rPr>
          <w:lang w:eastAsia="zh-CN"/>
        </w:rPr>
        <w:lastRenderedPageBreak/>
        <w:t>络犯罪方面采取法律或政策原则有关的领域，这类领域属于成员国的主权</w:t>
      </w:r>
      <w:r w:rsidR="00862AD7">
        <w:rPr>
          <w:rFonts w:hint="eastAsia"/>
          <w:lang w:eastAsia="zh-CN"/>
        </w:rPr>
        <w:t>”</w:t>
      </w:r>
      <w:r w:rsidR="00022A90" w:rsidRPr="00F74028">
        <w:rPr>
          <w:lang w:eastAsia="zh-CN"/>
        </w:rPr>
        <w:t>，审议有关国防、国家安全、内容和网络犯罪问题的提案。</w:t>
      </w:r>
    </w:p>
    <w:p w:rsidR="00015C7F" w:rsidRPr="006427D1" w:rsidRDefault="00992460" w:rsidP="00BA4B87">
      <w:pPr>
        <w:pStyle w:val="enumlev1"/>
        <w:rPr>
          <w:lang w:eastAsia="zh-CN"/>
        </w:rPr>
      </w:pPr>
      <w:r w:rsidRPr="00992460">
        <w:rPr>
          <w:rFonts w:cs="Calibri"/>
          <w:b/>
          <w:szCs w:val="24"/>
          <w:lang w:eastAsia="zh-CN"/>
        </w:rPr>
        <w:t>•</w:t>
      </w:r>
      <w:r w:rsidR="007F107E">
        <w:rPr>
          <w:rFonts w:cs="Calibri" w:hint="eastAsia"/>
          <w:b/>
          <w:szCs w:val="24"/>
          <w:lang w:eastAsia="zh-CN"/>
        </w:rPr>
        <w:tab/>
      </w:r>
      <w:r w:rsidR="00A70814" w:rsidRPr="006427D1">
        <w:rPr>
          <w:rFonts w:cs="Calibri"/>
          <w:b/>
          <w:szCs w:val="24"/>
          <w:lang w:eastAsia="zh-CN"/>
        </w:rPr>
        <w:t>标准</w:t>
      </w:r>
      <w:r w:rsidR="00015C7F" w:rsidRPr="006427D1">
        <w:rPr>
          <w:rFonts w:cs="Calibri"/>
          <w:b/>
          <w:szCs w:val="24"/>
          <w:lang w:eastAsia="zh-CN"/>
        </w:rPr>
        <w:t>5</w:t>
      </w:r>
      <w:r w:rsidR="00DF00C5" w:rsidRPr="006427D1">
        <w:rPr>
          <w:rFonts w:cs="Calibri" w:hint="eastAsia"/>
          <w:b/>
          <w:szCs w:val="24"/>
          <w:lang w:eastAsia="zh-CN"/>
        </w:rPr>
        <w:t>：</w:t>
      </w:r>
      <w:r w:rsidR="007C67D7" w:rsidRPr="00BA4B87">
        <w:rPr>
          <w:rFonts w:ascii="STKaiti" w:eastAsia="STKaiti" w:hAnsi="STKaiti" w:hint="eastAsia"/>
          <w:lang w:eastAsia="zh-CN"/>
        </w:rPr>
        <w:t>取消与《国际电信规则》的宗旨和职责范围无关的领域</w:t>
      </w:r>
    </w:p>
    <w:p w:rsidR="008E4366" w:rsidRPr="006103D1" w:rsidRDefault="00BA4B87" w:rsidP="00BA4B87">
      <w:pPr>
        <w:pStyle w:val="enumlev1"/>
        <w:rPr>
          <w:lang w:eastAsia="zh-CN"/>
        </w:rPr>
      </w:pPr>
      <w:r>
        <w:rPr>
          <w:rFonts w:hint="eastAsia"/>
          <w:lang w:eastAsia="zh-CN"/>
        </w:rPr>
        <w:tab/>
      </w:r>
      <w:r w:rsidR="00DF00C5" w:rsidRPr="006103D1">
        <w:rPr>
          <w:lang w:eastAsia="zh-CN"/>
        </w:rPr>
        <w:t>欧洲</w:t>
      </w:r>
      <w:r w:rsidR="008E4366" w:rsidRPr="006103D1">
        <w:rPr>
          <w:lang w:eastAsia="zh-CN"/>
        </w:rPr>
        <w:t>强调必须遵循《国际电信规则》的宗旨和职责范围，尤其是以下规定：</w:t>
      </w:r>
    </w:p>
    <w:p w:rsidR="008E4366" w:rsidRPr="006103D1" w:rsidRDefault="007F107E" w:rsidP="00BA4B87">
      <w:pPr>
        <w:pStyle w:val="enumlev2"/>
        <w:rPr>
          <w:lang w:eastAsia="zh-CN"/>
        </w:rPr>
      </w:pPr>
      <w:r>
        <w:rPr>
          <w:lang w:eastAsia="zh-CN"/>
        </w:rPr>
        <w:t>–</w:t>
      </w:r>
      <w:r w:rsidR="006427D1" w:rsidRPr="006103D1">
        <w:rPr>
          <w:lang w:eastAsia="zh-CN"/>
        </w:rPr>
        <w:tab/>
      </w:r>
      <w:r w:rsidR="008E4366" w:rsidRPr="006103D1">
        <w:rPr>
          <w:lang w:eastAsia="zh-CN"/>
        </w:rPr>
        <w:t>1.1a)</w:t>
      </w:r>
      <w:r w:rsidR="006103D1">
        <w:rPr>
          <w:rFonts w:hint="eastAsia"/>
          <w:lang w:eastAsia="zh-CN"/>
        </w:rPr>
        <w:t>：“</w:t>
      </w:r>
      <w:r w:rsidR="008E4366" w:rsidRPr="006103D1">
        <w:rPr>
          <w:lang w:eastAsia="zh-CN"/>
        </w:rPr>
        <w:t>本规则制定若干一般性原则，涉及向公众开放的国际电信业务的提供和操作以及用以提供这些业务的国际电信基本传输手段。本规则还规定了适用于各主管部门的条例。</w:t>
      </w:r>
      <w:r w:rsidR="006103D1">
        <w:rPr>
          <w:rFonts w:hint="eastAsia"/>
          <w:lang w:eastAsia="zh-CN"/>
        </w:rPr>
        <w:t>”</w:t>
      </w:r>
    </w:p>
    <w:p w:rsidR="008E4366" w:rsidRPr="006103D1" w:rsidRDefault="007F107E" w:rsidP="00BA4B87">
      <w:pPr>
        <w:pStyle w:val="enumlev2"/>
        <w:rPr>
          <w:lang w:val="fr-FR" w:eastAsia="zh-CN"/>
        </w:rPr>
      </w:pPr>
      <w:r>
        <w:rPr>
          <w:lang w:eastAsia="zh-CN"/>
        </w:rPr>
        <w:t>–</w:t>
      </w:r>
      <w:r w:rsidR="00216B52">
        <w:rPr>
          <w:lang w:eastAsia="zh-CN"/>
        </w:rPr>
        <w:tab/>
        <w:t>1.3</w:t>
      </w:r>
      <w:r w:rsidR="006427D1" w:rsidRPr="006103D1">
        <w:rPr>
          <w:lang w:eastAsia="zh-CN"/>
        </w:rPr>
        <w:t>)</w:t>
      </w:r>
      <w:r w:rsidR="00ED5216">
        <w:rPr>
          <w:rFonts w:hint="eastAsia"/>
          <w:lang w:eastAsia="zh-CN"/>
        </w:rPr>
        <w:t>：</w:t>
      </w:r>
      <w:r w:rsidR="008E4366" w:rsidRPr="006103D1">
        <w:rPr>
          <w:lang w:eastAsia="zh-CN"/>
        </w:rPr>
        <w:t>制定本规则旨在便于电信设施的全球性相互连接和相互操作，促进技术设施的协调开发和高效操作，并提高国际电信业务的效率、有用性及对公众的可用性。</w:t>
      </w:r>
    </w:p>
    <w:p w:rsidR="00015C7F" w:rsidRPr="006103D1" w:rsidRDefault="00BA4B87" w:rsidP="00BA4B87">
      <w:pPr>
        <w:pStyle w:val="enumlev1"/>
        <w:rPr>
          <w:lang w:eastAsia="zh-CN"/>
        </w:rPr>
      </w:pPr>
      <w:r>
        <w:rPr>
          <w:rFonts w:hint="eastAsia"/>
          <w:lang w:eastAsia="zh-CN"/>
        </w:rPr>
        <w:tab/>
      </w:r>
      <w:r w:rsidR="00DF00C5" w:rsidRPr="006103D1">
        <w:rPr>
          <w:lang w:eastAsia="zh-CN"/>
        </w:rPr>
        <w:t>欧洲</w:t>
      </w:r>
      <w:r w:rsidR="008E4366" w:rsidRPr="006103D1">
        <w:rPr>
          <w:lang w:eastAsia="zh-CN"/>
        </w:rPr>
        <w:t>就此认为，有关国家</w:t>
      </w:r>
      <w:r w:rsidR="00DF00C5" w:rsidRPr="006103D1">
        <w:rPr>
          <w:lang w:eastAsia="zh-CN"/>
        </w:rPr>
        <w:t>/</w:t>
      </w:r>
      <w:r w:rsidR="00DF00C5" w:rsidRPr="006103D1">
        <w:rPr>
          <w:lang w:eastAsia="zh-CN"/>
        </w:rPr>
        <w:t>区域电信业务或</w:t>
      </w:r>
      <w:r w:rsidR="008E4366" w:rsidRPr="006103D1">
        <w:rPr>
          <w:lang w:eastAsia="zh-CN"/>
        </w:rPr>
        <w:t>传输手段的提案不应被纳入《国际电信规则》。遵循这一标准还涉及国际电联《组织法》和《国际电信规则》有关充分承认</w:t>
      </w:r>
      <w:r w:rsidR="00862AD7">
        <w:rPr>
          <w:rFonts w:hint="eastAsia"/>
          <w:lang w:eastAsia="zh-CN"/>
        </w:rPr>
        <w:t>“</w:t>
      </w:r>
      <w:r w:rsidR="008E4366" w:rsidRPr="006103D1">
        <w:rPr>
          <w:lang w:eastAsia="zh-CN"/>
        </w:rPr>
        <w:t>各国管理及电信业务的主权</w:t>
      </w:r>
      <w:r w:rsidR="00862AD7">
        <w:rPr>
          <w:rFonts w:hint="eastAsia"/>
          <w:lang w:eastAsia="zh-CN"/>
        </w:rPr>
        <w:t>”</w:t>
      </w:r>
      <w:r w:rsidR="008E4366" w:rsidRPr="006103D1">
        <w:rPr>
          <w:lang w:eastAsia="zh-CN"/>
        </w:rPr>
        <w:t>的前言。</w:t>
      </w:r>
    </w:p>
    <w:p w:rsidR="00015C7F" w:rsidRPr="00826997" w:rsidRDefault="00BA4B87" w:rsidP="00BA4B87">
      <w:pPr>
        <w:pStyle w:val="enumlev1"/>
        <w:rPr>
          <w:lang w:eastAsia="zh-CN"/>
        </w:rPr>
      </w:pPr>
      <w:r>
        <w:rPr>
          <w:rFonts w:hint="eastAsia"/>
          <w:lang w:eastAsia="zh-CN"/>
        </w:rPr>
        <w:tab/>
      </w:r>
      <w:r w:rsidR="004D2C8D" w:rsidRPr="00826997">
        <w:rPr>
          <w:lang w:eastAsia="zh-CN"/>
        </w:rPr>
        <w:t>按照上述标准，欧洲还注意到，</w:t>
      </w:r>
      <w:r w:rsidR="004D2C8D" w:rsidRPr="00826997">
        <w:rPr>
          <w:lang w:eastAsia="zh-CN"/>
        </w:rPr>
        <w:t>ITR</w:t>
      </w:r>
      <w:r w:rsidR="004D2C8D" w:rsidRPr="00826997">
        <w:rPr>
          <w:lang w:eastAsia="zh-CN"/>
        </w:rPr>
        <w:t>现有基本结构应保持不变。</w:t>
      </w:r>
    </w:p>
    <w:p w:rsidR="00015C7F" w:rsidRPr="00214681" w:rsidRDefault="00DF00C5" w:rsidP="00EB1D36">
      <w:pPr>
        <w:ind w:firstLineChars="200" w:firstLine="480"/>
        <w:rPr>
          <w:lang w:eastAsia="zh-CN"/>
        </w:rPr>
      </w:pPr>
      <w:r w:rsidRPr="00826997">
        <w:rPr>
          <w:lang w:eastAsia="zh-CN"/>
        </w:rPr>
        <w:t>考虑到上述标准，欧洲在本文件补遗</w:t>
      </w:r>
      <w:r w:rsidR="004D2C8D" w:rsidRPr="00826997">
        <w:rPr>
          <w:lang w:eastAsia="zh-CN"/>
        </w:rPr>
        <w:t>中提出了对</w:t>
      </w:r>
      <w:r w:rsidR="004D2C8D" w:rsidRPr="00826997">
        <w:rPr>
          <w:lang w:eastAsia="zh-CN"/>
        </w:rPr>
        <w:t>ITR</w:t>
      </w:r>
      <w:r w:rsidRPr="00826997">
        <w:rPr>
          <w:lang w:eastAsia="zh-CN"/>
        </w:rPr>
        <w:t>的</w:t>
      </w:r>
      <w:r w:rsidR="004D2C8D" w:rsidRPr="00826997">
        <w:rPr>
          <w:lang w:eastAsia="zh-CN"/>
        </w:rPr>
        <w:t>修正。</w:t>
      </w:r>
    </w:p>
    <w:p w:rsidR="00015C7F" w:rsidRPr="00680229" w:rsidRDefault="008917CF" w:rsidP="00EB1D36">
      <w:pPr>
        <w:ind w:firstLineChars="200" w:firstLine="482"/>
        <w:rPr>
          <w:lang w:eastAsia="zh-CN"/>
        </w:rPr>
      </w:pPr>
      <w:r w:rsidRPr="008917CF">
        <w:rPr>
          <w:rFonts w:hint="eastAsia"/>
          <w:b/>
          <w:bCs/>
          <w:lang w:eastAsia="zh-CN"/>
        </w:rPr>
        <w:t>附件</w:t>
      </w:r>
      <w:r w:rsidRPr="008917CF">
        <w:rPr>
          <w:rFonts w:hint="eastAsia"/>
          <w:b/>
          <w:bCs/>
          <w:lang w:eastAsia="zh-CN"/>
        </w:rPr>
        <w:t>1</w:t>
      </w:r>
      <w:r>
        <w:rPr>
          <w:rFonts w:hint="eastAsia"/>
          <w:lang w:eastAsia="zh-CN"/>
        </w:rPr>
        <w:t>为欧洲共同提案（</w:t>
      </w:r>
      <w:r>
        <w:rPr>
          <w:rFonts w:hint="eastAsia"/>
          <w:lang w:eastAsia="zh-CN"/>
        </w:rPr>
        <w:t>ECP</w:t>
      </w:r>
      <w:r>
        <w:rPr>
          <w:rFonts w:hint="eastAsia"/>
          <w:lang w:eastAsia="zh-CN"/>
        </w:rPr>
        <w:t>）联署国列表</w:t>
      </w:r>
    </w:p>
    <w:p w:rsidR="00015C7F" w:rsidRPr="00DF00C5" w:rsidRDefault="00015C7F" w:rsidP="00DF00C5">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FE0E0D" w:rsidRDefault="00FE0E0D" w:rsidP="006B4DCF">
      <w:pPr>
        <w:pStyle w:val="AnnexNo"/>
        <w:rPr>
          <w:lang w:eastAsia="zh-CN"/>
        </w:rPr>
      </w:pPr>
      <w:r>
        <w:rPr>
          <w:rFonts w:hint="eastAsia"/>
          <w:lang w:eastAsia="zh-CN"/>
        </w:rPr>
        <w:lastRenderedPageBreak/>
        <w:t>附件</w:t>
      </w:r>
      <w:r>
        <w:rPr>
          <w:lang w:eastAsia="zh-CN"/>
        </w:rPr>
        <w:t>1</w:t>
      </w:r>
    </w:p>
    <w:p w:rsidR="00015C7F" w:rsidRDefault="00FE0E0D" w:rsidP="006B4DCF">
      <w:pPr>
        <w:pStyle w:val="Annextitle"/>
        <w:rPr>
          <w:lang w:eastAsia="zh-CN"/>
        </w:rPr>
      </w:pPr>
      <w:r>
        <w:rPr>
          <w:rFonts w:hint="eastAsia"/>
          <w:lang w:eastAsia="zh-CN"/>
        </w:rPr>
        <w:t>欧洲共同提案（</w:t>
      </w:r>
      <w:r>
        <w:rPr>
          <w:rFonts w:hint="eastAsia"/>
          <w:lang w:eastAsia="zh-CN"/>
        </w:rPr>
        <w:t>ECP</w:t>
      </w:r>
      <w:r>
        <w:rPr>
          <w:rFonts w:hint="eastAsia"/>
          <w:lang w:eastAsia="zh-CN"/>
        </w:rPr>
        <w:t>）联署国列表</w:t>
      </w:r>
    </w:p>
    <w:p w:rsidR="00015C7F" w:rsidRDefault="00015C7F" w:rsidP="00015C7F">
      <w:pPr>
        <w:rPr>
          <w:sz w:val="2"/>
          <w:szCs w:val="2"/>
          <w:lang w:eastAsia="zh-CN"/>
        </w:rPr>
      </w:pPr>
    </w:p>
    <w:tbl>
      <w:tblPr>
        <w:tblW w:w="5260" w:type="dxa"/>
        <w:tblInd w:w="55" w:type="dxa"/>
        <w:tblCellMar>
          <w:left w:w="70" w:type="dxa"/>
          <w:right w:w="70" w:type="dxa"/>
        </w:tblCellMar>
        <w:tblLook w:val="0000" w:firstRow="0" w:lastRow="0" w:firstColumn="0" w:lastColumn="0" w:noHBand="0" w:noVBand="0"/>
      </w:tblPr>
      <w:tblGrid>
        <w:gridCol w:w="1858"/>
        <w:gridCol w:w="2126"/>
        <w:gridCol w:w="1276"/>
      </w:tblGrid>
      <w:tr w:rsidR="007F107E" w:rsidRPr="009366CE" w:rsidTr="009366CE">
        <w:trPr>
          <w:trHeight w:val="255"/>
          <w:tblHeader/>
        </w:trPr>
        <w:tc>
          <w:tcPr>
            <w:tcW w:w="1858" w:type="dxa"/>
            <w:tcBorders>
              <w:top w:val="single" w:sz="8" w:space="0" w:color="auto"/>
              <w:left w:val="single" w:sz="8" w:space="0" w:color="auto"/>
              <w:bottom w:val="single" w:sz="8" w:space="0" w:color="auto"/>
              <w:right w:val="single" w:sz="8" w:space="0" w:color="auto"/>
            </w:tcBorders>
            <w:shd w:val="clear" w:color="auto" w:fill="auto"/>
            <w:vAlign w:val="center"/>
          </w:tcPr>
          <w:p w:rsidR="007F107E" w:rsidRPr="00EF06EC" w:rsidRDefault="00BF3B6F" w:rsidP="009366CE">
            <w:pPr>
              <w:pStyle w:val="Tablehead"/>
              <w:spacing w:before="0" w:after="0"/>
              <w:rPr>
                <w:rFonts w:eastAsia="Batang"/>
                <w:sz w:val="24"/>
                <w:lang w:val="sv-SE" w:eastAsia="ko-KR"/>
              </w:rPr>
            </w:pPr>
            <w:r w:rsidRPr="00EF06EC">
              <w:rPr>
                <w:lang w:val="sv-SE" w:eastAsia="zh-CN"/>
              </w:rPr>
              <w:t>成员国</w:t>
            </w:r>
          </w:p>
        </w:tc>
        <w:tc>
          <w:tcPr>
            <w:tcW w:w="2126" w:type="dxa"/>
            <w:tcBorders>
              <w:top w:val="single" w:sz="8" w:space="0" w:color="auto"/>
              <w:left w:val="nil"/>
              <w:bottom w:val="single" w:sz="8" w:space="0" w:color="auto"/>
              <w:right w:val="single" w:sz="8" w:space="0" w:color="auto"/>
            </w:tcBorders>
            <w:shd w:val="clear" w:color="auto" w:fill="auto"/>
            <w:noWrap/>
            <w:vAlign w:val="center"/>
          </w:tcPr>
          <w:p w:rsidR="007F107E" w:rsidRPr="009366CE" w:rsidRDefault="00BF3B6F" w:rsidP="009366CE">
            <w:pPr>
              <w:pStyle w:val="Tablehead"/>
              <w:spacing w:before="0" w:after="0"/>
              <w:rPr>
                <w:lang w:val="sv-SE" w:eastAsia="zh-CN"/>
              </w:rPr>
            </w:pPr>
            <w:r w:rsidRPr="00BF3B6F">
              <w:rPr>
                <w:rFonts w:hint="eastAsia"/>
              </w:rPr>
              <w:t>第</w:t>
            </w:r>
            <w:r w:rsidRPr="009366CE">
              <w:rPr>
                <w:rFonts w:hint="eastAsia"/>
                <w:lang w:val="sv-SE"/>
              </w:rPr>
              <w:t>16</w:t>
            </w:r>
            <w:r w:rsidRPr="00BF3B6F">
              <w:rPr>
                <w:rFonts w:hint="eastAsia"/>
              </w:rPr>
              <w:t>号文件</w:t>
            </w:r>
            <w:r w:rsidR="009366CE">
              <w:rPr>
                <w:rFonts w:hint="eastAsia"/>
                <w:lang w:eastAsia="zh-CN"/>
              </w:rPr>
              <w:t>（</w:t>
            </w:r>
            <w:r w:rsidR="007F107E" w:rsidRPr="009366CE">
              <w:rPr>
                <w:lang w:val="sv-SE"/>
              </w:rPr>
              <w:t>Add.1</w:t>
            </w:r>
            <w:r w:rsidR="009366CE">
              <w:rPr>
                <w:rFonts w:hint="eastAsia"/>
                <w:lang w:val="sv-SE" w:eastAsia="zh-CN"/>
              </w:rPr>
              <w:t>）</w:t>
            </w:r>
          </w:p>
        </w:tc>
        <w:tc>
          <w:tcPr>
            <w:tcW w:w="1276" w:type="dxa"/>
            <w:tcBorders>
              <w:top w:val="single" w:sz="8" w:space="0" w:color="auto"/>
              <w:left w:val="nil"/>
              <w:bottom w:val="single" w:sz="8" w:space="0" w:color="auto"/>
              <w:right w:val="single" w:sz="8" w:space="0" w:color="auto"/>
            </w:tcBorders>
            <w:vAlign w:val="center"/>
          </w:tcPr>
          <w:p w:rsidR="007F107E" w:rsidRPr="00BF3B6F" w:rsidRDefault="007F107E" w:rsidP="009366CE">
            <w:pPr>
              <w:pStyle w:val="Tablehead"/>
              <w:spacing w:before="0" w:after="0"/>
              <w:rPr>
                <w:rFonts w:eastAsia="Batang"/>
                <w:sz w:val="24"/>
                <w:lang w:val="sv-SE" w:eastAsia="ko-KR"/>
              </w:rPr>
            </w:pPr>
          </w:p>
        </w:tc>
      </w:tr>
      <w:tr w:rsidR="007F107E" w:rsidRPr="009366CE" w:rsidTr="009366CE">
        <w:trPr>
          <w:trHeight w:val="199"/>
        </w:trPr>
        <w:tc>
          <w:tcPr>
            <w:tcW w:w="1858" w:type="dxa"/>
            <w:tcBorders>
              <w:top w:val="single" w:sz="4" w:space="0" w:color="auto"/>
              <w:left w:val="single" w:sz="8" w:space="0" w:color="auto"/>
              <w:bottom w:val="single" w:sz="8" w:space="0" w:color="auto"/>
              <w:right w:val="nil"/>
            </w:tcBorders>
            <w:shd w:val="clear" w:color="auto" w:fill="auto"/>
            <w:vAlign w:val="center"/>
          </w:tcPr>
          <w:p w:rsidR="007F107E" w:rsidRPr="00EF06EC" w:rsidRDefault="007F107E" w:rsidP="009366CE">
            <w:pPr>
              <w:pStyle w:val="Tabletext"/>
              <w:spacing w:before="0" w:after="0"/>
              <w:jc w:val="center"/>
              <w:rPr>
                <w:b/>
                <w:lang w:val="sv-SE" w:eastAsia="ko-KR"/>
              </w:rPr>
            </w:pPr>
            <w:r w:rsidRPr="00EF06EC">
              <w:rPr>
                <w:b/>
                <w:lang w:val="sv-SE" w:eastAsia="ko-KR"/>
              </w:rPr>
              <w:t>ALB</w:t>
            </w:r>
          </w:p>
        </w:tc>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tcPr>
          <w:p w:rsidR="007F107E" w:rsidRPr="002405FA" w:rsidRDefault="007F107E" w:rsidP="009366CE">
            <w:pPr>
              <w:pStyle w:val="Tabletext"/>
              <w:spacing w:before="0" w:after="0"/>
              <w:jc w:val="center"/>
              <w:rPr>
                <w:lang w:val="sv-SE" w:eastAsia="ko-KR"/>
              </w:rPr>
            </w:pPr>
          </w:p>
        </w:tc>
        <w:tc>
          <w:tcPr>
            <w:tcW w:w="1276" w:type="dxa"/>
            <w:tcBorders>
              <w:top w:val="single" w:sz="8" w:space="0" w:color="auto"/>
              <w:left w:val="single" w:sz="8" w:space="0" w:color="auto"/>
              <w:bottom w:val="single" w:sz="8" w:space="0" w:color="auto"/>
              <w:right w:val="single" w:sz="8" w:space="0" w:color="auto"/>
            </w:tcBorders>
          </w:tcPr>
          <w:p w:rsidR="007F107E" w:rsidRPr="002405FA" w:rsidRDefault="007F107E" w:rsidP="009366CE">
            <w:pPr>
              <w:pStyle w:val="Tabletext"/>
              <w:spacing w:before="0" w:after="0"/>
              <w:rPr>
                <w:lang w:val="sv-SE" w:eastAsia="ko-KR"/>
              </w:rPr>
            </w:pPr>
          </w:p>
        </w:tc>
      </w:tr>
      <w:tr w:rsidR="007F107E" w:rsidRPr="009366CE" w:rsidTr="009366CE">
        <w:trPr>
          <w:trHeight w:val="199"/>
        </w:trPr>
        <w:tc>
          <w:tcPr>
            <w:tcW w:w="1858" w:type="dxa"/>
            <w:tcBorders>
              <w:top w:val="nil"/>
              <w:left w:val="single" w:sz="8" w:space="0" w:color="auto"/>
              <w:bottom w:val="single" w:sz="8" w:space="0" w:color="auto"/>
              <w:right w:val="nil"/>
            </w:tcBorders>
            <w:shd w:val="clear" w:color="auto" w:fill="auto"/>
            <w:vAlign w:val="center"/>
          </w:tcPr>
          <w:p w:rsidR="007F107E" w:rsidRPr="00EF06EC" w:rsidRDefault="007F107E" w:rsidP="009366CE">
            <w:pPr>
              <w:pStyle w:val="Tabletext"/>
              <w:spacing w:before="0" w:after="0"/>
              <w:jc w:val="center"/>
              <w:rPr>
                <w:b/>
                <w:lang w:val="sv-SE" w:eastAsia="ko-KR"/>
              </w:rPr>
            </w:pPr>
            <w:r w:rsidRPr="00EF06EC">
              <w:rPr>
                <w:b/>
                <w:lang w:val="sv-SE" w:eastAsia="ko-KR"/>
              </w:rPr>
              <w:t>AND</w:t>
            </w:r>
          </w:p>
        </w:tc>
        <w:tc>
          <w:tcPr>
            <w:tcW w:w="2126" w:type="dxa"/>
            <w:tcBorders>
              <w:top w:val="nil"/>
              <w:left w:val="single" w:sz="8" w:space="0" w:color="auto"/>
              <w:bottom w:val="single" w:sz="8" w:space="0" w:color="auto"/>
              <w:right w:val="single" w:sz="8" w:space="0" w:color="auto"/>
            </w:tcBorders>
            <w:shd w:val="clear" w:color="auto" w:fill="auto"/>
            <w:noWrap/>
            <w:vAlign w:val="center"/>
          </w:tcPr>
          <w:p w:rsidR="007F107E" w:rsidRPr="002405FA" w:rsidRDefault="007F107E" w:rsidP="009366CE">
            <w:pPr>
              <w:pStyle w:val="Tabletext"/>
              <w:spacing w:before="0" w:after="0"/>
              <w:jc w:val="center"/>
              <w:rPr>
                <w:lang w:val="sv-SE" w:eastAsia="ko-KR"/>
              </w:rPr>
            </w:pPr>
          </w:p>
        </w:tc>
        <w:tc>
          <w:tcPr>
            <w:tcW w:w="1276" w:type="dxa"/>
            <w:tcBorders>
              <w:top w:val="nil"/>
              <w:left w:val="single" w:sz="8" w:space="0" w:color="auto"/>
              <w:bottom w:val="single" w:sz="8" w:space="0" w:color="auto"/>
              <w:right w:val="single" w:sz="8" w:space="0" w:color="auto"/>
            </w:tcBorders>
          </w:tcPr>
          <w:p w:rsidR="007F107E" w:rsidRPr="002405FA" w:rsidRDefault="007F107E" w:rsidP="009366CE">
            <w:pPr>
              <w:pStyle w:val="Tabletext"/>
              <w:spacing w:before="0" w:after="0"/>
              <w:rPr>
                <w:lang w:val="sv-SE" w:eastAsia="ko-KR"/>
              </w:rPr>
            </w:pPr>
          </w:p>
        </w:tc>
      </w:tr>
      <w:tr w:rsidR="007F107E" w:rsidRPr="009366CE" w:rsidTr="009366CE">
        <w:trPr>
          <w:trHeight w:val="199"/>
        </w:trPr>
        <w:tc>
          <w:tcPr>
            <w:tcW w:w="1858" w:type="dxa"/>
            <w:tcBorders>
              <w:top w:val="nil"/>
              <w:left w:val="single" w:sz="8" w:space="0" w:color="auto"/>
              <w:bottom w:val="single" w:sz="8" w:space="0" w:color="auto"/>
              <w:right w:val="nil"/>
            </w:tcBorders>
            <w:shd w:val="clear" w:color="auto" w:fill="auto"/>
            <w:vAlign w:val="center"/>
          </w:tcPr>
          <w:p w:rsidR="007F107E" w:rsidRPr="00EF06EC" w:rsidRDefault="007F107E" w:rsidP="009366CE">
            <w:pPr>
              <w:pStyle w:val="Tabletext"/>
              <w:spacing w:before="0" w:after="0"/>
              <w:jc w:val="center"/>
              <w:rPr>
                <w:b/>
                <w:lang w:val="sv-SE" w:eastAsia="ko-KR"/>
              </w:rPr>
            </w:pPr>
            <w:r w:rsidRPr="00EF06EC">
              <w:rPr>
                <w:b/>
                <w:lang w:val="sv-SE" w:eastAsia="ko-KR"/>
              </w:rPr>
              <w:t>AUT</w:t>
            </w:r>
          </w:p>
        </w:tc>
        <w:tc>
          <w:tcPr>
            <w:tcW w:w="2126" w:type="dxa"/>
            <w:tcBorders>
              <w:top w:val="nil"/>
              <w:left w:val="single" w:sz="8" w:space="0" w:color="auto"/>
              <w:bottom w:val="single" w:sz="8" w:space="0" w:color="auto"/>
              <w:right w:val="single" w:sz="8" w:space="0" w:color="auto"/>
            </w:tcBorders>
            <w:shd w:val="clear" w:color="auto" w:fill="auto"/>
            <w:noWrap/>
            <w:vAlign w:val="center"/>
          </w:tcPr>
          <w:p w:rsidR="007F107E" w:rsidRPr="002405FA" w:rsidRDefault="007F107E" w:rsidP="009366CE">
            <w:pPr>
              <w:pStyle w:val="Tabletext"/>
              <w:spacing w:before="0" w:after="0"/>
              <w:jc w:val="center"/>
              <w:rPr>
                <w:lang w:val="sv-SE" w:eastAsia="ko-KR"/>
              </w:rPr>
            </w:pPr>
          </w:p>
        </w:tc>
        <w:tc>
          <w:tcPr>
            <w:tcW w:w="1276" w:type="dxa"/>
            <w:tcBorders>
              <w:top w:val="nil"/>
              <w:left w:val="single" w:sz="8" w:space="0" w:color="auto"/>
              <w:bottom w:val="single" w:sz="8" w:space="0" w:color="auto"/>
              <w:right w:val="single" w:sz="8" w:space="0" w:color="auto"/>
            </w:tcBorders>
          </w:tcPr>
          <w:p w:rsidR="007F107E" w:rsidRPr="002405FA" w:rsidRDefault="007F107E" w:rsidP="009366CE">
            <w:pPr>
              <w:pStyle w:val="Tabletext"/>
              <w:spacing w:before="0" w:after="0"/>
              <w:rPr>
                <w:lang w:val="sv-SE" w:eastAsia="ko-KR"/>
              </w:rPr>
            </w:pPr>
          </w:p>
        </w:tc>
      </w:tr>
      <w:tr w:rsidR="007F107E" w:rsidRPr="009366CE" w:rsidTr="009366CE">
        <w:trPr>
          <w:trHeight w:val="199"/>
        </w:trPr>
        <w:tc>
          <w:tcPr>
            <w:tcW w:w="1858" w:type="dxa"/>
            <w:tcBorders>
              <w:top w:val="nil"/>
              <w:left w:val="single" w:sz="8" w:space="0" w:color="auto"/>
              <w:bottom w:val="single" w:sz="8" w:space="0" w:color="auto"/>
              <w:right w:val="nil"/>
            </w:tcBorders>
            <w:shd w:val="clear" w:color="auto" w:fill="auto"/>
            <w:vAlign w:val="center"/>
          </w:tcPr>
          <w:p w:rsidR="007F107E" w:rsidRPr="00EF06EC" w:rsidRDefault="007F107E" w:rsidP="009366CE">
            <w:pPr>
              <w:pStyle w:val="Tabletext"/>
              <w:spacing w:before="0" w:after="0"/>
              <w:jc w:val="center"/>
              <w:rPr>
                <w:b/>
                <w:lang w:val="sv-SE" w:eastAsia="ko-KR"/>
              </w:rPr>
            </w:pPr>
            <w:r w:rsidRPr="00EF06EC">
              <w:rPr>
                <w:b/>
                <w:lang w:val="sv-SE" w:eastAsia="ko-KR"/>
              </w:rPr>
              <w:t>AZE</w:t>
            </w:r>
          </w:p>
        </w:tc>
        <w:tc>
          <w:tcPr>
            <w:tcW w:w="2126" w:type="dxa"/>
            <w:tcBorders>
              <w:top w:val="nil"/>
              <w:left w:val="single" w:sz="8" w:space="0" w:color="auto"/>
              <w:bottom w:val="single" w:sz="8" w:space="0" w:color="auto"/>
              <w:right w:val="single" w:sz="8" w:space="0" w:color="auto"/>
            </w:tcBorders>
            <w:shd w:val="clear" w:color="auto" w:fill="auto"/>
            <w:noWrap/>
            <w:vAlign w:val="center"/>
          </w:tcPr>
          <w:p w:rsidR="007F107E" w:rsidRPr="002405FA" w:rsidRDefault="007F107E" w:rsidP="009366CE">
            <w:pPr>
              <w:pStyle w:val="Tabletext"/>
              <w:spacing w:before="0" w:after="0"/>
              <w:jc w:val="center"/>
              <w:rPr>
                <w:lang w:val="sv-SE" w:eastAsia="ko-KR"/>
              </w:rPr>
            </w:pPr>
          </w:p>
        </w:tc>
        <w:tc>
          <w:tcPr>
            <w:tcW w:w="1276" w:type="dxa"/>
            <w:tcBorders>
              <w:top w:val="nil"/>
              <w:left w:val="single" w:sz="8" w:space="0" w:color="auto"/>
              <w:bottom w:val="single" w:sz="8" w:space="0" w:color="auto"/>
              <w:right w:val="single" w:sz="8" w:space="0" w:color="auto"/>
            </w:tcBorders>
          </w:tcPr>
          <w:p w:rsidR="007F107E" w:rsidRPr="002405FA" w:rsidRDefault="007F107E" w:rsidP="009366CE">
            <w:pPr>
              <w:pStyle w:val="Tabletext"/>
              <w:spacing w:before="0" w:after="0"/>
              <w:rPr>
                <w:lang w:val="sv-SE" w:eastAsia="ko-KR"/>
              </w:rPr>
            </w:pPr>
          </w:p>
        </w:tc>
      </w:tr>
      <w:tr w:rsidR="007F107E" w:rsidRPr="009366CE" w:rsidTr="009366CE">
        <w:trPr>
          <w:trHeight w:val="199"/>
        </w:trPr>
        <w:tc>
          <w:tcPr>
            <w:tcW w:w="1858" w:type="dxa"/>
            <w:tcBorders>
              <w:top w:val="nil"/>
              <w:left w:val="single" w:sz="8" w:space="0" w:color="auto"/>
              <w:bottom w:val="single" w:sz="8" w:space="0" w:color="auto"/>
              <w:right w:val="nil"/>
            </w:tcBorders>
            <w:shd w:val="clear" w:color="auto" w:fill="auto"/>
            <w:vAlign w:val="center"/>
          </w:tcPr>
          <w:p w:rsidR="007F107E" w:rsidRPr="00EF06EC" w:rsidRDefault="007F107E" w:rsidP="009366CE">
            <w:pPr>
              <w:pStyle w:val="Tabletext"/>
              <w:spacing w:before="0" w:after="0"/>
              <w:jc w:val="center"/>
              <w:rPr>
                <w:b/>
                <w:lang w:val="sv-SE" w:eastAsia="ko-KR"/>
              </w:rPr>
            </w:pPr>
            <w:r w:rsidRPr="00EF06EC">
              <w:rPr>
                <w:b/>
                <w:lang w:val="sv-SE" w:eastAsia="ko-KR"/>
              </w:rPr>
              <w:t>BEL</w:t>
            </w:r>
          </w:p>
        </w:tc>
        <w:tc>
          <w:tcPr>
            <w:tcW w:w="2126" w:type="dxa"/>
            <w:tcBorders>
              <w:top w:val="nil"/>
              <w:left w:val="single" w:sz="8" w:space="0" w:color="auto"/>
              <w:bottom w:val="single" w:sz="8" w:space="0" w:color="auto"/>
              <w:right w:val="single" w:sz="8" w:space="0" w:color="auto"/>
            </w:tcBorders>
            <w:shd w:val="clear" w:color="auto" w:fill="auto"/>
            <w:noWrap/>
            <w:vAlign w:val="center"/>
          </w:tcPr>
          <w:p w:rsidR="007F107E" w:rsidRPr="002405FA" w:rsidRDefault="007F107E" w:rsidP="009366CE">
            <w:pPr>
              <w:pStyle w:val="Tabletext"/>
              <w:spacing w:before="0" w:after="0"/>
              <w:jc w:val="center"/>
              <w:rPr>
                <w:lang w:val="sv-SE" w:eastAsia="ko-KR"/>
              </w:rPr>
            </w:pPr>
          </w:p>
        </w:tc>
        <w:tc>
          <w:tcPr>
            <w:tcW w:w="1276" w:type="dxa"/>
            <w:tcBorders>
              <w:top w:val="nil"/>
              <w:left w:val="single" w:sz="8" w:space="0" w:color="auto"/>
              <w:bottom w:val="single" w:sz="8" w:space="0" w:color="auto"/>
              <w:right w:val="single" w:sz="8" w:space="0" w:color="auto"/>
            </w:tcBorders>
          </w:tcPr>
          <w:p w:rsidR="007F107E" w:rsidRPr="002405FA" w:rsidRDefault="007F107E" w:rsidP="009366CE">
            <w:pPr>
              <w:pStyle w:val="Tabletext"/>
              <w:spacing w:before="0" w:after="0"/>
              <w:rPr>
                <w:lang w:val="sv-SE" w:eastAsia="ko-KR"/>
              </w:rPr>
            </w:pPr>
          </w:p>
        </w:tc>
      </w:tr>
      <w:tr w:rsidR="007F107E" w:rsidRPr="009366CE" w:rsidTr="009366CE">
        <w:trPr>
          <w:trHeight w:val="199"/>
        </w:trPr>
        <w:tc>
          <w:tcPr>
            <w:tcW w:w="1858" w:type="dxa"/>
            <w:tcBorders>
              <w:top w:val="nil"/>
              <w:left w:val="single" w:sz="8" w:space="0" w:color="auto"/>
              <w:bottom w:val="single" w:sz="8" w:space="0" w:color="auto"/>
              <w:right w:val="nil"/>
            </w:tcBorders>
            <w:shd w:val="clear" w:color="auto" w:fill="auto"/>
            <w:vAlign w:val="center"/>
          </w:tcPr>
          <w:p w:rsidR="007F107E" w:rsidRPr="00EF06EC" w:rsidRDefault="007F107E" w:rsidP="009366CE">
            <w:pPr>
              <w:pStyle w:val="Tabletext"/>
              <w:spacing w:before="0" w:after="0"/>
              <w:jc w:val="center"/>
              <w:rPr>
                <w:b/>
                <w:lang w:val="sv-SE" w:eastAsia="ko-KR"/>
              </w:rPr>
            </w:pPr>
            <w:r w:rsidRPr="00EF06EC">
              <w:rPr>
                <w:b/>
                <w:lang w:val="sv-SE" w:eastAsia="ko-KR"/>
              </w:rPr>
              <w:t>BIH</w:t>
            </w:r>
          </w:p>
        </w:tc>
        <w:tc>
          <w:tcPr>
            <w:tcW w:w="2126" w:type="dxa"/>
            <w:tcBorders>
              <w:top w:val="nil"/>
              <w:left w:val="single" w:sz="8" w:space="0" w:color="auto"/>
              <w:bottom w:val="single" w:sz="8" w:space="0" w:color="auto"/>
              <w:right w:val="single" w:sz="8" w:space="0" w:color="auto"/>
            </w:tcBorders>
            <w:shd w:val="clear" w:color="auto" w:fill="auto"/>
            <w:noWrap/>
            <w:vAlign w:val="center"/>
          </w:tcPr>
          <w:p w:rsidR="007F107E" w:rsidRPr="002405FA" w:rsidRDefault="007F107E" w:rsidP="009366CE">
            <w:pPr>
              <w:pStyle w:val="Tabletext"/>
              <w:spacing w:before="0" w:after="0"/>
              <w:jc w:val="center"/>
              <w:rPr>
                <w:lang w:val="sv-SE" w:eastAsia="ko-KR"/>
              </w:rPr>
            </w:pPr>
          </w:p>
        </w:tc>
        <w:tc>
          <w:tcPr>
            <w:tcW w:w="1276" w:type="dxa"/>
            <w:tcBorders>
              <w:top w:val="nil"/>
              <w:left w:val="single" w:sz="8" w:space="0" w:color="auto"/>
              <w:bottom w:val="single" w:sz="8" w:space="0" w:color="auto"/>
              <w:right w:val="single" w:sz="8" w:space="0" w:color="auto"/>
            </w:tcBorders>
          </w:tcPr>
          <w:p w:rsidR="007F107E" w:rsidRPr="002405FA" w:rsidRDefault="007F107E" w:rsidP="009366CE">
            <w:pPr>
              <w:pStyle w:val="Tabletext"/>
              <w:spacing w:before="0" w:after="0"/>
              <w:rPr>
                <w:lang w:val="sv-SE" w:eastAsia="ko-KR"/>
              </w:rPr>
            </w:pPr>
          </w:p>
        </w:tc>
      </w:tr>
      <w:tr w:rsidR="007F107E" w:rsidRPr="009366CE" w:rsidTr="009366CE">
        <w:trPr>
          <w:trHeight w:val="199"/>
        </w:trPr>
        <w:tc>
          <w:tcPr>
            <w:tcW w:w="1858" w:type="dxa"/>
            <w:tcBorders>
              <w:top w:val="nil"/>
              <w:left w:val="single" w:sz="8" w:space="0" w:color="auto"/>
              <w:bottom w:val="single" w:sz="8" w:space="0" w:color="auto"/>
              <w:right w:val="nil"/>
            </w:tcBorders>
            <w:shd w:val="clear" w:color="auto" w:fill="auto"/>
            <w:vAlign w:val="center"/>
          </w:tcPr>
          <w:p w:rsidR="007F107E" w:rsidRPr="00EF06EC" w:rsidRDefault="007F107E" w:rsidP="009366CE">
            <w:pPr>
              <w:pStyle w:val="Tabletext"/>
              <w:spacing w:before="0" w:after="0"/>
              <w:jc w:val="center"/>
              <w:rPr>
                <w:b/>
                <w:lang w:val="sv-SE" w:eastAsia="ko-KR"/>
              </w:rPr>
            </w:pPr>
            <w:r w:rsidRPr="00EF06EC">
              <w:rPr>
                <w:b/>
                <w:lang w:val="sv-SE" w:eastAsia="ko-KR"/>
              </w:rPr>
              <w:t>BLR</w:t>
            </w:r>
          </w:p>
        </w:tc>
        <w:tc>
          <w:tcPr>
            <w:tcW w:w="2126" w:type="dxa"/>
            <w:tcBorders>
              <w:top w:val="nil"/>
              <w:left w:val="single" w:sz="8" w:space="0" w:color="auto"/>
              <w:bottom w:val="single" w:sz="8" w:space="0" w:color="auto"/>
              <w:right w:val="single" w:sz="8" w:space="0" w:color="auto"/>
            </w:tcBorders>
            <w:shd w:val="clear" w:color="auto" w:fill="auto"/>
            <w:noWrap/>
            <w:vAlign w:val="center"/>
          </w:tcPr>
          <w:p w:rsidR="007F107E" w:rsidRPr="002405FA" w:rsidRDefault="007F107E" w:rsidP="009366CE">
            <w:pPr>
              <w:pStyle w:val="Tabletext"/>
              <w:spacing w:before="0" w:after="0"/>
              <w:jc w:val="center"/>
              <w:rPr>
                <w:lang w:val="sv-SE" w:eastAsia="ko-KR"/>
              </w:rPr>
            </w:pPr>
          </w:p>
        </w:tc>
        <w:tc>
          <w:tcPr>
            <w:tcW w:w="1276" w:type="dxa"/>
            <w:tcBorders>
              <w:top w:val="nil"/>
              <w:left w:val="single" w:sz="8" w:space="0" w:color="auto"/>
              <w:bottom w:val="single" w:sz="8" w:space="0" w:color="auto"/>
              <w:right w:val="single" w:sz="8" w:space="0" w:color="auto"/>
            </w:tcBorders>
          </w:tcPr>
          <w:p w:rsidR="007F107E" w:rsidRPr="002405FA" w:rsidRDefault="007F107E" w:rsidP="009366CE">
            <w:pPr>
              <w:pStyle w:val="Tabletext"/>
              <w:spacing w:before="0" w:after="0"/>
              <w:rPr>
                <w:lang w:val="sv-SE" w:eastAsia="ko-KR"/>
              </w:rPr>
            </w:pPr>
          </w:p>
        </w:tc>
      </w:tr>
      <w:tr w:rsidR="007F107E" w:rsidRPr="009366CE" w:rsidTr="009366CE">
        <w:trPr>
          <w:trHeight w:val="199"/>
        </w:trPr>
        <w:tc>
          <w:tcPr>
            <w:tcW w:w="1858" w:type="dxa"/>
            <w:tcBorders>
              <w:top w:val="nil"/>
              <w:left w:val="single" w:sz="8" w:space="0" w:color="auto"/>
              <w:bottom w:val="single" w:sz="8" w:space="0" w:color="auto"/>
              <w:right w:val="nil"/>
            </w:tcBorders>
            <w:shd w:val="clear" w:color="auto" w:fill="auto"/>
            <w:vAlign w:val="center"/>
          </w:tcPr>
          <w:p w:rsidR="007F107E" w:rsidRPr="00EF06EC" w:rsidRDefault="007F107E" w:rsidP="009366CE">
            <w:pPr>
              <w:pStyle w:val="Tabletext"/>
              <w:spacing w:before="0" w:after="0"/>
              <w:jc w:val="center"/>
              <w:rPr>
                <w:b/>
                <w:lang w:val="sv-SE" w:eastAsia="ko-KR"/>
              </w:rPr>
            </w:pPr>
            <w:r w:rsidRPr="00EF06EC">
              <w:rPr>
                <w:b/>
                <w:lang w:val="sv-SE" w:eastAsia="ko-KR"/>
              </w:rPr>
              <w:t>BUL</w:t>
            </w:r>
          </w:p>
        </w:tc>
        <w:tc>
          <w:tcPr>
            <w:tcW w:w="2126" w:type="dxa"/>
            <w:tcBorders>
              <w:top w:val="nil"/>
              <w:left w:val="single" w:sz="8" w:space="0" w:color="auto"/>
              <w:bottom w:val="single" w:sz="8" w:space="0" w:color="auto"/>
              <w:right w:val="single" w:sz="8" w:space="0" w:color="auto"/>
            </w:tcBorders>
            <w:shd w:val="clear" w:color="auto" w:fill="auto"/>
            <w:noWrap/>
            <w:vAlign w:val="center"/>
          </w:tcPr>
          <w:p w:rsidR="007F107E" w:rsidRPr="002405FA" w:rsidRDefault="007F107E" w:rsidP="009366CE">
            <w:pPr>
              <w:pStyle w:val="Tabletext"/>
              <w:spacing w:before="0" w:after="0"/>
              <w:jc w:val="center"/>
              <w:rPr>
                <w:lang w:val="sv-SE" w:eastAsia="ko-KR"/>
              </w:rPr>
            </w:pPr>
          </w:p>
        </w:tc>
        <w:tc>
          <w:tcPr>
            <w:tcW w:w="1276" w:type="dxa"/>
            <w:tcBorders>
              <w:top w:val="nil"/>
              <w:left w:val="single" w:sz="8" w:space="0" w:color="auto"/>
              <w:bottom w:val="single" w:sz="8" w:space="0" w:color="auto"/>
              <w:right w:val="single" w:sz="8" w:space="0" w:color="auto"/>
            </w:tcBorders>
          </w:tcPr>
          <w:p w:rsidR="007F107E" w:rsidRPr="002405FA" w:rsidRDefault="007F107E" w:rsidP="009366CE">
            <w:pPr>
              <w:pStyle w:val="Tabletext"/>
              <w:spacing w:before="0" w:after="0"/>
              <w:rPr>
                <w:lang w:val="sv-SE" w:eastAsia="ko-KR"/>
              </w:rPr>
            </w:pPr>
          </w:p>
        </w:tc>
      </w:tr>
      <w:tr w:rsidR="007F107E" w:rsidRPr="009366CE" w:rsidTr="009366CE">
        <w:trPr>
          <w:trHeight w:val="199"/>
        </w:trPr>
        <w:tc>
          <w:tcPr>
            <w:tcW w:w="1858" w:type="dxa"/>
            <w:tcBorders>
              <w:top w:val="nil"/>
              <w:left w:val="single" w:sz="8" w:space="0" w:color="auto"/>
              <w:bottom w:val="single" w:sz="8" w:space="0" w:color="auto"/>
              <w:right w:val="nil"/>
            </w:tcBorders>
            <w:shd w:val="clear" w:color="auto" w:fill="auto"/>
            <w:vAlign w:val="center"/>
          </w:tcPr>
          <w:p w:rsidR="007F107E" w:rsidRPr="00EF06EC" w:rsidRDefault="007F107E" w:rsidP="009366CE">
            <w:pPr>
              <w:pStyle w:val="Tabletext"/>
              <w:spacing w:before="0" w:after="0"/>
              <w:jc w:val="center"/>
              <w:rPr>
                <w:b/>
                <w:lang w:val="sv-SE" w:eastAsia="ko-KR"/>
              </w:rPr>
            </w:pPr>
            <w:r w:rsidRPr="00EF06EC">
              <w:rPr>
                <w:b/>
                <w:lang w:val="sv-SE" w:eastAsia="ko-KR"/>
              </w:rPr>
              <w:t>CVA</w:t>
            </w:r>
          </w:p>
        </w:tc>
        <w:tc>
          <w:tcPr>
            <w:tcW w:w="2126" w:type="dxa"/>
            <w:tcBorders>
              <w:top w:val="nil"/>
              <w:left w:val="single" w:sz="8" w:space="0" w:color="auto"/>
              <w:bottom w:val="single" w:sz="8" w:space="0" w:color="auto"/>
              <w:right w:val="single" w:sz="8" w:space="0" w:color="auto"/>
            </w:tcBorders>
            <w:shd w:val="clear" w:color="auto" w:fill="auto"/>
            <w:noWrap/>
            <w:vAlign w:val="center"/>
          </w:tcPr>
          <w:p w:rsidR="007F107E" w:rsidRPr="002405FA" w:rsidRDefault="007F107E" w:rsidP="009366CE">
            <w:pPr>
              <w:pStyle w:val="Tabletext"/>
              <w:spacing w:before="0" w:after="0"/>
              <w:jc w:val="center"/>
              <w:rPr>
                <w:lang w:val="sv-SE" w:eastAsia="ko-KR"/>
              </w:rPr>
            </w:pPr>
          </w:p>
        </w:tc>
        <w:tc>
          <w:tcPr>
            <w:tcW w:w="1276" w:type="dxa"/>
            <w:tcBorders>
              <w:top w:val="nil"/>
              <w:left w:val="single" w:sz="8" w:space="0" w:color="auto"/>
              <w:bottom w:val="single" w:sz="8" w:space="0" w:color="auto"/>
              <w:right w:val="single" w:sz="8" w:space="0" w:color="auto"/>
            </w:tcBorders>
          </w:tcPr>
          <w:p w:rsidR="007F107E" w:rsidRPr="002405FA" w:rsidRDefault="007F107E" w:rsidP="009366CE">
            <w:pPr>
              <w:pStyle w:val="Tabletext"/>
              <w:spacing w:before="0" w:after="0"/>
              <w:rPr>
                <w:lang w:val="sv-SE" w:eastAsia="ko-KR"/>
              </w:rPr>
            </w:pPr>
          </w:p>
        </w:tc>
      </w:tr>
      <w:tr w:rsidR="007F107E" w:rsidRPr="009366CE" w:rsidTr="009366CE">
        <w:trPr>
          <w:trHeight w:val="199"/>
        </w:trPr>
        <w:tc>
          <w:tcPr>
            <w:tcW w:w="1858" w:type="dxa"/>
            <w:tcBorders>
              <w:top w:val="nil"/>
              <w:left w:val="single" w:sz="8" w:space="0" w:color="auto"/>
              <w:bottom w:val="single" w:sz="8" w:space="0" w:color="auto"/>
              <w:right w:val="nil"/>
            </w:tcBorders>
            <w:shd w:val="clear" w:color="auto" w:fill="auto"/>
            <w:vAlign w:val="center"/>
          </w:tcPr>
          <w:p w:rsidR="007F107E" w:rsidRPr="00EF06EC" w:rsidRDefault="007F107E" w:rsidP="009366CE">
            <w:pPr>
              <w:pStyle w:val="Tabletext"/>
              <w:spacing w:before="0" w:after="0"/>
              <w:jc w:val="center"/>
              <w:rPr>
                <w:b/>
                <w:lang w:val="sv-SE" w:eastAsia="ko-KR"/>
              </w:rPr>
            </w:pPr>
            <w:r w:rsidRPr="00EF06EC">
              <w:rPr>
                <w:b/>
                <w:lang w:val="sv-SE" w:eastAsia="ko-KR"/>
              </w:rPr>
              <w:t>CYP</w:t>
            </w:r>
          </w:p>
        </w:tc>
        <w:tc>
          <w:tcPr>
            <w:tcW w:w="2126" w:type="dxa"/>
            <w:tcBorders>
              <w:top w:val="nil"/>
              <w:left w:val="single" w:sz="8" w:space="0" w:color="auto"/>
              <w:bottom w:val="single" w:sz="8" w:space="0" w:color="auto"/>
              <w:right w:val="single" w:sz="8" w:space="0" w:color="auto"/>
            </w:tcBorders>
            <w:shd w:val="clear" w:color="auto" w:fill="auto"/>
            <w:noWrap/>
            <w:vAlign w:val="center"/>
          </w:tcPr>
          <w:p w:rsidR="007F107E" w:rsidRPr="002405FA" w:rsidRDefault="007F107E" w:rsidP="009366CE">
            <w:pPr>
              <w:pStyle w:val="Tabletext"/>
              <w:spacing w:before="0" w:after="0"/>
              <w:jc w:val="center"/>
              <w:rPr>
                <w:lang w:val="sv-SE" w:eastAsia="ko-KR"/>
              </w:rPr>
            </w:pPr>
          </w:p>
        </w:tc>
        <w:tc>
          <w:tcPr>
            <w:tcW w:w="1276" w:type="dxa"/>
            <w:tcBorders>
              <w:top w:val="nil"/>
              <w:left w:val="single" w:sz="8" w:space="0" w:color="auto"/>
              <w:bottom w:val="single" w:sz="8" w:space="0" w:color="auto"/>
              <w:right w:val="single" w:sz="8" w:space="0" w:color="auto"/>
            </w:tcBorders>
          </w:tcPr>
          <w:p w:rsidR="007F107E" w:rsidRPr="002405FA" w:rsidRDefault="007F107E" w:rsidP="009366CE">
            <w:pPr>
              <w:pStyle w:val="Tabletext"/>
              <w:spacing w:before="0" w:after="0"/>
              <w:rPr>
                <w:lang w:val="sv-SE" w:eastAsia="ko-KR"/>
              </w:rPr>
            </w:pPr>
          </w:p>
        </w:tc>
      </w:tr>
      <w:tr w:rsidR="007F107E" w:rsidRPr="009366CE" w:rsidTr="009366CE">
        <w:trPr>
          <w:trHeight w:val="199"/>
        </w:trPr>
        <w:tc>
          <w:tcPr>
            <w:tcW w:w="1858" w:type="dxa"/>
            <w:tcBorders>
              <w:top w:val="nil"/>
              <w:left w:val="single" w:sz="8" w:space="0" w:color="auto"/>
              <w:bottom w:val="single" w:sz="8" w:space="0" w:color="auto"/>
              <w:right w:val="nil"/>
            </w:tcBorders>
            <w:shd w:val="clear" w:color="auto" w:fill="auto"/>
            <w:vAlign w:val="center"/>
          </w:tcPr>
          <w:p w:rsidR="007F107E" w:rsidRPr="00EF06EC" w:rsidRDefault="007F107E" w:rsidP="009366CE">
            <w:pPr>
              <w:pStyle w:val="Tabletext"/>
              <w:spacing w:before="0" w:after="0"/>
              <w:jc w:val="center"/>
              <w:rPr>
                <w:b/>
                <w:lang w:val="sv-SE" w:eastAsia="ko-KR"/>
              </w:rPr>
            </w:pPr>
            <w:r w:rsidRPr="00EF06EC">
              <w:rPr>
                <w:b/>
                <w:lang w:val="sv-SE" w:eastAsia="ko-KR"/>
              </w:rPr>
              <w:t>CZE</w:t>
            </w:r>
          </w:p>
        </w:tc>
        <w:tc>
          <w:tcPr>
            <w:tcW w:w="2126" w:type="dxa"/>
            <w:tcBorders>
              <w:top w:val="nil"/>
              <w:left w:val="single" w:sz="8" w:space="0" w:color="auto"/>
              <w:bottom w:val="single" w:sz="8" w:space="0" w:color="auto"/>
              <w:right w:val="single" w:sz="8" w:space="0" w:color="auto"/>
            </w:tcBorders>
            <w:shd w:val="clear" w:color="auto" w:fill="auto"/>
            <w:noWrap/>
            <w:vAlign w:val="center"/>
          </w:tcPr>
          <w:p w:rsidR="007F107E" w:rsidRPr="002405FA" w:rsidRDefault="00EF06EC" w:rsidP="009366CE">
            <w:pPr>
              <w:pStyle w:val="Tabletext"/>
              <w:spacing w:before="0" w:after="0"/>
              <w:jc w:val="center"/>
              <w:rPr>
                <w:lang w:val="sv-SE" w:eastAsia="ko-KR"/>
              </w:rPr>
            </w:pPr>
            <w:r>
              <w:rPr>
                <w:rFonts w:hint="eastAsia"/>
                <w:lang w:val="sv-SE" w:eastAsia="zh-CN"/>
              </w:rPr>
              <w:t>是</w:t>
            </w:r>
          </w:p>
        </w:tc>
        <w:tc>
          <w:tcPr>
            <w:tcW w:w="1276" w:type="dxa"/>
            <w:tcBorders>
              <w:top w:val="nil"/>
              <w:left w:val="single" w:sz="8" w:space="0" w:color="auto"/>
              <w:bottom w:val="single" w:sz="8" w:space="0" w:color="auto"/>
              <w:right w:val="single" w:sz="8" w:space="0" w:color="auto"/>
            </w:tcBorders>
          </w:tcPr>
          <w:p w:rsidR="007F107E" w:rsidRPr="002405FA" w:rsidRDefault="007F107E" w:rsidP="009366CE">
            <w:pPr>
              <w:pStyle w:val="Tabletext"/>
              <w:spacing w:before="0" w:after="0"/>
              <w:rPr>
                <w:lang w:val="sv-SE" w:eastAsia="ko-KR"/>
              </w:rPr>
            </w:pPr>
          </w:p>
        </w:tc>
      </w:tr>
      <w:tr w:rsidR="007F107E" w:rsidRPr="009366CE" w:rsidTr="009366CE">
        <w:trPr>
          <w:trHeight w:val="199"/>
        </w:trPr>
        <w:tc>
          <w:tcPr>
            <w:tcW w:w="1858" w:type="dxa"/>
            <w:tcBorders>
              <w:top w:val="nil"/>
              <w:left w:val="single" w:sz="8" w:space="0" w:color="auto"/>
              <w:bottom w:val="single" w:sz="8" w:space="0" w:color="auto"/>
              <w:right w:val="single" w:sz="8" w:space="0" w:color="auto"/>
            </w:tcBorders>
            <w:shd w:val="clear" w:color="auto" w:fill="auto"/>
            <w:vAlign w:val="center"/>
          </w:tcPr>
          <w:p w:rsidR="007F107E" w:rsidRPr="00EF06EC" w:rsidRDefault="007F107E" w:rsidP="009366CE">
            <w:pPr>
              <w:pStyle w:val="Tabletext"/>
              <w:spacing w:before="0" w:after="0"/>
              <w:jc w:val="center"/>
              <w:rPr>
                <w:b/>
                <w:lang w:val="sv-SE" w:eastAsia="ko-KR"/>
              </w:rPr>
            </w:pPr>
            <w:r w:rsidRPr="00EF06EC">
              <w:rPr>
                <w:b/>
                <w:lang w:val="sv-SE" w:eastAsia="ko-KR"/>
              </w:rPr>
              <w:t>D</w:t>
            </w:r>
          </w:p>
        </w:tc>
        <w:tc>
          <w:tcPr>
            <w:tcW w:w="2126" w:type="dxa"/>
            <w:tcBorders>
              <w:top w:val="nil"/>
              <w:left w:val="nil"/>
              <w:bottom w:val="single" w:sz="8" w:space="0" w:color="auto"/>
              <w:right w:val="single" w:sz="8" w:space="0" w:color="auto"/>
            </w:tcBorders>
            <w:shd w:val="clear" w:color="auto" w:fill="auto"/>
            <w:noWrap/>
            <w:vAlign w:val="center"/>
          </w:tcPr>
          <w:p w:rsidR="007F107E" w:rsidRPr="002405FA" w:rsidRDefault="00EF06EC" w:rsidP="009366CE">
            <w:pPr>
              <w:pStyle w:val="Tabletext"/>
              <w:spacing w:before="0" w:after="0"/>
              <w:jc w:val="center"/>
              <w:rPr>
                <w:lang w:val="sv-SE" w:eastAsia="zh-CN"/>
              </w:rPr>
            </w:pPr>
            <w:r>
              <w:rPr>
                <w:rFonts w:hint="eastAsia"/>
                <w:lang w:val="sv-SE" w:eastAsia="zh-CN"/>
              </w:rPr>
              <w:t>是</w:t>
            </w:r>
          </w:p>
        </w:tc>
        <w:tc>
          <w:tcPr>
            <w:tcW w:w="1276" w:type="dxa"/>
            <w:tcBorders>
              <w:top w:val="nil"/>
              <w:left w:val="nil"/>
              <w:bottom w:val="single" w:sz="8" w:space="0" w:color="auto"/>
              <w:right w:val="single" w:sz="8" w:space="0" w:color="auto"/>
            </w:tcBorders>
          </w:tcPr>
          <w:p w:rsidR="007F107E" w:rsidRPr="002405FA" w:rsidRDefault="007F107E" w:rsidP="009366CE">
            <w:pPr>
              <w:pStyle w:val="Tabletext"/>
              <w:spacing w:before="0" w:after="0"/>
              <w:rPr>
                <w:lang w:val="sv-SE" w:eastAsia="ko-KR"/>
              </w:rPr>
            </w:pPr>
          </w:p>
        </w:tc>
      </w:tr>
      <w:tr w:rsidR="007F107E" w:rsidRPr="009366CE" w:rsidTr="009366CE">
        <w:trPr>
          <w:trHeight w:val="199"/>
        </w:trPr>
        <w:tc>
          <w:tcPr>
            <w:tcW w:w="1858" w:type="dxa"/>
            <w:tcBorders>
              <w:top w:val="nil"/>
              <w:left w:val="single" w:sz="8" w:space="0" w:color="auto"/>
              <w:bottom w:val="single" w:sz="8" w:space="0" w:color="auto"/>
              <w:right w:val="nil"/>
            </w:tcBorders>
            <w:shd w:val="clear" w:color="auto" w:fill="auto"/>
            <w:vAlign w:val="center"/>
          </w:tcPr>
          <w:p w:rsidR="007F107E" w:rsidRPr="00EF06EC" w:rsidRDefault="007F107E" w:rsidP="009366CE">
            <w:pPr>
              <w:pStyle w:val="Tabletext"/>
              <w:spacing w:before="0" w:after="0"/>
              <w:jc w:val="center"/>
              <w:rPr>
                <w:b/>
                <w:lang w:val="sv-SE" w:eastAsia="ko-KR"/>
              </w:rPr>
            </w:pPr>
            <w:r w:rsidRPr="00EF06EC">
              <w:rPr>
                <w:b/>
                <w:lang w:val="sv-SE" w:eastAsia="ko-KR"/>
              </w:rPr>
              <w:t>DNK</w:t>
            </w:r>
          </w:p>
        </w:tc>
        <w:tc>
          <w:tcPr>
            <w:tcW w:w="2126" w:type="dxa"/>
            <w:tcBorders>
              <w:top w:val="nil"/>
              <w:left w:val="single" w:sz="8" w:space="0" w:color="auto"/>
              <w:bottom w:val="single" w:sz="8" w:space="0" w:color="auto"/>
              <w:right w:val="single" w:sz="8" w:space="0" w:color="auto"/>
            </w:tcBorders>
            <w:shd w:val="clear" w:color="auto" w:fill="auto"/>
            <w:noWrap/>
            <w:vAlign w:val="center"/>
          </w:tcPr>
          <w:p w:rsidR="007F107E" w:rsidRPr="002405FA" w:rsidRDefault="00EF06EC" w:rsidP="009366CE">
            <w:pPr>
              <w:pStyle w:val="Tabletext"/>
              <w:spacing w:before="0" w:after="0"/>
              <w:jc w:val="center"/>
              <w:rPr>
                <w:lang w:val="sv-SE" w:eastAsia="ko-KR"/>
              </w:rPr>
            </w:pPr>
            <w:r>
              <w:rPr>
                <w:lang w:val="sv-SE" w:eastAsia="ko-KR"/>
              </w:rPr>
              <w:t>是</w:t>
            </w:r>
          </w:p>
        </w:tc>
        <w:tc>
          <w:tcPr>
            <w:tcW w:w="1276" w:type="dxa"/>
            <w:tcBorders>
              <w:top w:val="nil"/>
              <w:left w:val="single" w:sz="8" w:space="0" w:color="auto"/>
              <w:bottom w:val="single" w:sz="8" w:space="0" w:color="auto"/>
              <w:right w:val="single" w:sz="8" w:space="0" w:color="auto"/>
            </w:tcBorders>
          </w:tcPr>
          <w:p w:rsidR="007F107E" w:rsidRPr="002405FA" w:rsidRDefault="007F107E" w:rsidP="009366CE">
            <w:pPr>
              <w:pStyle w:val="Tabletext"/>
              <w:spacing w:before="0" w:after="0"/>
              <w:rPr>
                <w:lang w:val="sv-SE" w:eastAsia="ko-KR"/>
              </w:rPr>
            </w:pPr>
          </w:p>
        </w:tc>
      </w:tr>
      <w:tr w:rsidR="007F107E" w:rsidRPr="009366CE" w:rsidTr="009366CE">
        <w:trPr>
          <w:trHeight w:val="199"/>
        </w:trPr>
        <w:tc>
          <w:tcPr>
            <w:tcW w:w="1858" w:type="dxa"/>
            <w:tcBorders>
              <w:top w:val="nil"/>
              <w:left w:val="single" w:sz="8" w:space="0" w:color="auto"/>
              <w:bottom w:val="single" w:sz="8" w:space="0" w:color="auto"/>
              <w:right w:val="nil"/>
            </w:tcBorders>
            <w:shd w:val="clear" w:color="auto" w:fill="auto"/>
            <w:vAlign w:val="center"/>
          </w:tcPr>
          <w:p w:rsidR="007F107E" w:rsidRPr="00EF06EC" w:rsidRDefault="007F107E" w:rsidP="009366CE">
            <w:pPr>
              <w:pStyle w:val="Tabletext"/>
              <w:spacing w:before="0" w:after="0"/>
              <w:jc w:val="center"/>
              <w:rPr>
                <w:b/>
                <w:color w:val="000000"/>
                <w:lang w:val="sv-SE" w:eastAsia="ko-KR"/>
              </w:rPr>
            </w:pPr>
            <w:r w:rsidRPr="00EF06EC">
              <w:rPr>
                <w:b/>
                <w:color w:val="000000"/>
                <w:lang w:val="sv-SE" w:eastAsia="ko-KR"/>
              </w:rPr>
              <w:t>E</w:t>
            </w:r>
          </w:p>
        </w:tc>
        <w:tc>
          <w:tcPr>
            <w:tcW w:w="2126" w:type="dxa"/>
            <w:tcBorders>
              <w:top w:val="nil"/>
              <w:left w:val="single" w:sz="8" w:space="0" w:color="auto"/>
              <w:bottom w:val="single" w:sz="8" w:space="0" w:color="auto"/>
              <w:right w:val="single" w:sz="8" w:space="0" w:color="auto"/>
            </w:tcBorders>
            <w:shd w:val="clear" w:color="auto" w:fill="auto"/>
            <w:noWrap/>
            <w:vAlign w:val="center"/>
          </w:tcPr>
          <w:p w:rsidR="007F107E" w:rsidRPr="002405FA" w:rsidRDefault="007F107E" w:rsidP="009366CE">
            <w:pPr>
              <w:pStyle w:val="Tabletext"/>
              <w:spacing w:before="0" w:after="0"/>
              <w:jc w:val="center"/>
              <w:rPr>
                <w:lang w:val="sv-SE" w:eastAsia="ko-KR"/>
              </w:rPr>
            </w:pPr>
          </w:p>
        </w:tc>
        <w:tc>
          <w:tcPr>
            <w:tcW w:w="1276" w:type="dxa"/>
            <w:tcBorders>
              <w:top w:val="nil"/>
              <w:left w:val="single" w:sz="8" w:space="0" w:color="auto"/>
              <w:bottom w:val="single" w:sz="8" w:space="0" w:color="auto"/>
              <w:right w:val="single" w:sz="8" w:space="0" w:color="auto"/>
            </w:tcBorders>
          </w:tcPr>
          <w:p w:rsidR="007F107E" w:rsidRPr="002405FA" w:rsidRDefault="007F107E" w:rsidP="009366CE">
            <w:pPr>
              <w:pStyle w:val="Tabletext"/>
              <w:spacing w:before="0" w:after="0"/>
              <w:rPr>
                <w:lang w:val="sv-SE" w:eastAsia="ko-KR"/>
              </w:rPr>
            </w:pPr>
          </w:p>
        </w:tc>
      </w:tr>
      <w:tr w:rsidR="007F107E" w:rsidRPr="009366CE" w:rsidTr="009366CE">
        <w:trPr>
          <w:trHeight w:val="199"/>
        </w:trPr>
        <w:tc>
          <w:tcPr>
            <w:tcW w:w="1858" w:type="dxa"/>
            <w:tcBorders>
              <w:top w:val="nil"/>
              <w:left w:val="single" w:sz="8" w:space="0" w:color="auto"/>
              <w:bottom w:val="single" w:sz="8" w:space="0" w:color="auto"/>
              <w:right w:val="nil"/>
            </w:tcBorders>
            <w:shd w:val="clear" w:color="auto" w:fill="auto"/>
            <w:vAlign w:val="center"/>
          </w:tcPr>
          <w:p w:rsidR="007F107E" w:rsidRPr="00EF06EC" w:rsidRDefault="007F107E" w:rsidP="009366CE">
            <w:pPr>
              <w:pStyle w:val="Tabletext"/>
              <w:spacing w:before="0" w:after="0"/>
              <w:jc w:val="center"/>
              <w:rPr>
                <w:b/>
                <w:lang w:val="sv-SE" w:eastAsia="ko-KR"/>
              </w:rPr>
            </w:pPr>
            <w:r w:rsidRPr="00EF06EC">
              <w:rPr>
                <w:b/>
                <w:lang w:val="sv-SE" w:eastAsia="ko-KR"/>
              </w:rPr>
              <w:t>EST</w:t>
            </w:r>
          </w:p>
        </w:tc>
        <w:tc>
          <w:tcPr>
            <w:tcW w:w="2126" w:type="dxa"/>
            <w:tcBorders>
              <w:top w:val="nil"/>
              <w:left w:val="single" w:sz="8" w:space="0" w:color="auto"/>
              <w:bottom w:val="single" w:sz="8" w:space="0" w:color="auto"/>
              <w:right w:val="single" w:sz="8" w:space="0" w:color="auto"/>
            </w:tcBorders>
            <w:shd w:val="clear" w:color="auto" w:fill="auto"/>
            <w:noWrap/>
            <w:vAlign w:val="center"/>
          </w:tcPr>
          <w:p w:rsidR="007F107E" w:rsidRPr="002405FA" w:rsidRDefault="00EF06EC" w:rsidP="009366CE">
            <w:pPr>
              <w:pStyle w:val="Tabletext"/>
              <w:spacing w:before="0" w:after="0"/>
              <w:jc w:val="center"/>
              <w:rPr>
                <w:lang w:val="sv-SE" w:eastAsia="ko-KR"/>
              </w:rPr>
            </w:pPr>
            <w:r>
              <w:rPr>
                <w:lang w:val="sv-SE" w:eastAsia="ko-KR"/>
              </w:rPr>
              <w:t>是</w:t>
            </w:r>
          </w:p>
        </w:tc>
        <w:tc>
          <w:tcPr>
            <w:tcW w:w="1276" w:type="dxa"/>
            <w:tcBorders>
              <w:top w:val="nil"/>
              <w:left w:val="single" w:sz="8" w:space="0" w:color="auto"/>
              <w:bottom w:val="single" w:sz="8" w:space="0" w:color="auto"/>
              <w:right w:val="single" w:sz="8" w:space="0" w:color="auto"/>
            </w:tcBorders>
          </w:tcPr>
          <w:p w:rsidR="007F107E" w:rsidRPr="002405FA" w:rsidRDefault="007F107E" w:rsidP="009366CE">
            <w:pPr>
              <w:pStyle w:val="Tabletext"/>
              <w:spacing w:before="0" w:after="0"/>
              <w:rPr>
                <w:lang w:val="sv-SE" w:eastAsia="ko-KR"/>
              </w:rPr>
            </w:pPr>
          </w:p>
        </w:tc>
      </w:tr>
      <w:tr w:rsidR="007F107E" w:rsidRPr="009366CE" w:rsidTr="009366CE">
        <w:trPr>
          <w:trHeight w:val="199"/>
        </w:trPr>
        <w:tc>
          <w:tcPr>
            <w:tcW w:w="1858" w:type="dxa"/>
            <w:tcBorders>
              <w:top w:val="nil"/>
              <w:left w:val="single" w:sz="8" w:space="0" w:color="auto"/>
              <w:bottom w:val="single" w:sz="8" w:space="0" w:color="auto"/>
              <w:right w:val="single" w:sz="8" w:space="0" w:color="auto"/>
            </w:tcBorders>
            <w:shd w:val="clear" w:color="auto" w:fill="auto"/>
            <w:vAlign w:val="center"/>
          </w:tcPr>
          <w:p w:rsidR="007F107E" w:rsidRPr="00EF06EC" w:rsidRDefault="007F107E" w:rsidP="009366CE">
            <w:pPr>
              <w:pStyle w:val="Tabletext"/>
              <w:spacing w:before="0" w:after="0"/>
              <w:jc w:val="center"/>
              <w:rPr>
                <w:b/>
                <w:lang w:val="sv-SE" w:eastAsia="ko-KR"/>
              </w:rPr>
            </w:pPr>
            <w:r w:rsidRPr="00EF06EC">
              <w:rPr>
                <w:b/>
                <w:lang w:val="sv-SE" w:eastAsia="ko-KR"/>
              </w:rPr>
              <w:t>F</w:t>
            </w:r>
          </w:p>
        </w:tc>
        <w:tc>
          <w:tcPr>
            <w:tcW w:w="2126" w:type="dxa"/>
            <w:tcBorders>
              <w:top w:val="nil"/>
              <w:left w:val="nil"/>
              <w:bottom w:val="single" w:sz="8" w:space="0" w:color="auto"/>
              <w:right w:val="single" w:sz="8" w:space="0" w:color="auto"/>
            </w:tcBorders>
            <w:shd w:val="clear" w:color="auto" w:fill="auto"/>
            <w:noWrap/>
            <w:vAlign w:val="center"/>
          </w:tcPr>
          <w:p w:rsidR="007F107E" w:rsidRPr="002405FA" w:rsidRDefault="007F107E" w:rsidP="009366CE">
            <w:pPr>
              <w:pStyle w:val="Tabletext"/>
              <w:spacing w:before="0" w:after="0"/>
              <w:jc w:val="center"/>
              <w:rPr>
                <w:lang w:val="sv-SE" w:eastAsia="ko-KR"/>
              </w:rPr>
            </w:pPr>
          </w:p>
        </w:tc>
        <w:tc>
          <w:tcPr>
            <w:tcW w:w="1276" w:type="dxa"/>
            <w:tcBorders>
              <w:top w:val="nil"/>
              <w:left w:val="nil"/>
              <w:bottom w:val="single" w:sz="8" w:space="0" w:color="auto"/>
              <w:right w:val="single" w:sz="8" w:space="0" w:color="auto"/>
            </w:tcBorders>
          </w:tcPr>
          <w:p w:rsidR="007F107E" w:rsidRPr="002405FA" w:rsidRDefault="007F107E" w:rsidP="009366CE">
            <w:pPr>
              <w:pStyle w:val="Tabletext"/>
              <w:spacing w:before="0" w:after="0"/>
              <w:rPr>
                <w:lang w:val="sv-SE" w:eastAsia="ko-KR"/>
              </w:rPr>
            </w:pPr>
          </w:p>
        </w:tc>
      </w:tr>
      <w:tr w:rsidR="007F107E" w:rsidRPr="009366CE" w:rsidTr="009366CE">
        <w:trPr>
          <w:trHeight w:val="199"/>
        </w:trPr>
        <w:tc>
          <w:tcPr>
            <w:tcW w:w="1858" w:type="dxa"/>
            <w:tcBorders>
              <w:top w:val="nil"/>
              <w:left w:val="single" w:sz="8" w:space="0" w:color="auto"/>
              <w:bottom w:val="single" w:sz="8" w:space="0" w:color="auto"/>
              <w:right w:val="nil"/>
            </w:tcBorders>
            <w:shd w:val="clear" w:color="auto" w:fill="auto"/>
            <w:vAlign w:val="center"/>
          </w:tcPr>
          <w:p w:rsidR="007F107E" w:rsidRPr="00EF06EC" w:rsidRDefault="007F107E" w:rsidP="009366CE">
            <w:pPr>
              <w:pStyle w:val="Tabletext"/>
              <w:spacing w:before="0" w:after="0"/>
              <w:jc w:val="center"/>
              <w:rPr>
                <w:b/>
                <w:lang w:val="sv-SE" w:eastAsia="ko-KR"/>
              </w:rPr>
            </w:pPr>
            <w:r w:rsidRPr="00EF06EC">
              <w:rPr>
                <w:b/>
                <w:lang w:val="sv-SE" w:eastAsia="ko-KR"/>
              </w:rPr>
              <w:t>FIN</w:t>
            </w:r>
          </w:p>
        </w:tc>
        <w:tc>
          <w:tcPr>
            <w:tcW w:w="2126" w:type="dxa"/>
            <w:tcBorders>
              <w:top w:val="nil"/>
              <w:left w:val="single" w:sz="8" w:space="0" w:color="auto"/>
              <w:bottom w:val="single" w:sz="8" w:space="0" w:color="auto"/>
              <w:right w:val="single" w:sz="8" w:space="0" w:color="auto"/>
            </w:tcBorders>
            <w:shd w:val="clear" w:color="auto" w:fill="auto"/>
            <w:noWrap/>
            <w:vAlign w:val="center"/>
          </w:tcPr>
          <w:p w:rsidR="007F107E" w:rsidRPr="002405FA" w:rsidRDefault="00EF06EC" w:rsidP="009366CE">
            <w:pPr>
              <w:pStyle w:val="Tabletext"/>
              <w:spacing w:before="0" w:after="0"/>
              <w:jc w:val="center"/>
              <w:rPr>
                <w:lang w:val="sv-SE" w:eastAsia="ko-KR"/>
              </w:rPr>
            </w:pPr>
            <w:r>
              <w:rPr>
                <w:lang w:val="sv-SE" w:eastAsia="ko-KR"/>
              </w:rPr>
              <w:t>是</w:t>
            </w:r>
          </w:p>
        </w:tc>
        <w:tc>
          <w:tcPr>
            <w:tcW w:w="1276" w:type="dxa"/>
            <w:tcBorders>
              <w:top w:val="nil"/>
              <w:left w:val="single" w:sz="8" w:space="0" w:color="auto"/>
              <w:bottom w:val="single" w:sz="8" w:space="0" w:color="auto"/>
              <w:right w:val="single" w:sz="8" w:space="0" w:color="auto"/>
            </w:tcBorders>
          </w:tcPr>
          <w:p w:rsidR="007F107E" w:rsidRPr="002405FA" w:rsidRDefault="007F107E" w:rsidP="009366CE">
            <w:pPr>
              <w:pStyle w:val="Tabletext"/>
              <w:spacing w:before="0" w:after="0"/>
              <w:rPr>
                <w:lang w:val="sv-SE" w:eastAsia="ko-KR"/>
              </w:rPr>
            </w:pPr>
          </w:p>
        </w:tc>
      </w:tr>
      <w:tr w:rsidR="007F107E" w:rsidRPr="009366CE" w:rsidTr="009366CE">
        <w:trPr>
          <w:trHeight w:val="199"/>
        </w:trPr>
        <w:tc>
          <w:tcPr>
            <w:tcW w:w="1858" w:type="dxa"/>
            <w:tcBorders>
              <w:top w:val="nil"/>
              <w:left w:val="single" w:sz="8" w:space="0" w:color="auto"/>
              <w:bottom w:val="single" w:sz="8" w:space="0" w:color="auto"/>
              <w:right w:val="nil"/>
            </w:tcBorders>
            <w:shd w:val="clear" w:color="auto" w:fill="auto"/>
            <w:vAlign w:val="center"/>
          </w:tcPr>
          <w:p w:rsidR="007F107E" w:rsidRPr="00EF06EC" w:rsidRDefault="007F107E" w:rsidP="009366CE">
            <w:pPr>
              <w:pStyle w:val="Tabletext"/>
              <w:spacing w:before="0" w:after="0"/>
              <w:jc w:val="center"/>
              <w:rPr>
                <w:b/>
                <w:lang w:val="sv-SE" w:eastAsia="ko-KR"/>
              </w:rPr>
            </w:pPr>
            <w:r w:rsidRPr="00EF06EC">
              <w:rPr>
                <w:b/>
                <w:lang w:val="sv-SE" w:eastAsia="ko-KR"/>
              </w:rPr>
              <w:t>G</w:t>
            </w:r>
          </w:p>
        </w:tc>
        <w:tc>
          <w:tcPr>
            <w:tcW w:w="2126" w:type="dxa"/>
            <w:tcBorders>
              <w:top w:val="nil"/>
              <w:left w:val="single" w:sz="8" w:space="0" w:color="auto"/>
              <w:bottom w:val="single" w:sz="8" w:space="0" w:color="auto"/>
              <w:right w:val="single" w:sz="8" w:space="0" w:color="auto"/>
            </w:tcBorders>
            <w:shd w:val="clear" w:color="auto" w:fill="auto"/>
            <w:noWrap/>
            <w:vAlign w:val="center"/>
          </w:tcPr>
          <w:p w:rsidR="007F107E" w:rsidRPr="002405FA" w:rsidRDefault="00EF06EC" w:rsidP="009366CE">
            <w:pPr>
              <w:pStyle w:val="Tabletext"/>
              <w:spacing w:before="0" w:after="0"/>
              <w:jc w:val="center"/>
              <w:rPr>
                <w:lang w:val="sv-SE" w:eastAsia="ko-KR"/>
              </w:rPr>
            </w:pPr>
            <w:r>
              <w:rPr>
                <w:lang w:val="sv-SE" w:eastAsia="ko-KR"/>
              </w:rPr>
              <w:t>是</w:t>
            </w:r>
          </w:p>
        </w:tc>
        <w:tc>
          <w:tcPr>
            <w:tcW w:w="1276" w:type="dxa"/>
            <w:tcBorders>
              <w:top w:val="nil"/>
              <w:left w:val="single" w:sz="8" w:space="0" w:color="auto"/>
              <w:bottom w:val="single" w:sz="8" w:space="0" w:color="auto"/>
              <w:right w:val="single" w:sz="8" w:space="0" w:color="auto"/>
            </w:tcBorders>
          </w:tcPr>
          <w:p w:rsidR="007F107E" w:rsidRPr="002405FA" w:rsidRDefault="007F107E" w:rsidP="009366CE">
            <w:pPr>
              <w:pStyle w:val="Tabletext"/>
              <w:spacing w:before="0" w:after="0"/>
              <w:rPr>
                <w:lang w:val="sv-SE" w:eastAsia="ko-KR"/>
              </w:rPr>
            </w:pPr>
          </w:p>
        </w:tc>
      </w:tr>
      <w:tr w:rsidR="007F107E" w:rsidRPr="00472E66" w:rsidTr="009366CE">
        <w:trPr>
          <w:trHeight w:val="199"/>
        </w:trPr>
        <w:tc>
          <w:tcPr>
            <w:tcW w:w="1858" w:type="dxa"/>
            <w:tcBorders>
              <w:top w:val="nil"/>
              <w:left w:val="single" w:sz="8" w:space="0" w:color="auto"/>
              <w:bottom w:val="single" w:sz="8" w:space="0" w:color="auto"/>
              <w:right w:val="nil"/>
            </w:tcBorders>
            <w:shd w:val="clear" w:color="auto" w:fill="auto"/>
            <w:vAlign w:val="center"/>
          </w:tcPr>
          <w:p w:rsidR="007F107E" w:rsidRPr="00EF06EC" w:rsidRDefault="007F107E" w:rsidP="009366CE">
            <w:pPr>
              <w:pStyle w:val="Tabletext"/>
              <w:spacing w:before="0" w:after="0"/>
              <w:jc w:val="center"/>
              <w:rPr>
                <w:b/>
                <w:lang w:val="sv-SE" w:eastAsia="ko-KR"/>
              </w:rPr>
            </w:pPr>
            <w:r w:rsidRPr="00EF06EC">
              <w:rPr>
                <w:b/>
                <w:lang w:val="sv-SE" w:eastAsia="ko-KR"/>
              </w:rPr>
              <w:t>GEO</w:t>
            </w:r>
          </w:p>
        </w:tc>
        <w:tc>
          <w:tcPr>
            <w:tcW w:w="2126" w:type="dxa"/>
            <w:tcBorders>
              <w:top w:val="nil"/>
              <w:left w:val="single" w:sz="8" w:space="0" w:color="auto"/>
              <w:bottom w:val="single" w:sz="8" w:space="0" w:color="auto"/>
              <w:right w:val="single" w:sz="8" w:space="0" w:color="auto"/>
            </w:tcBorders>
            <w:shd w:val="clear" w:color="auto" w:fill="auto"/>
            <w:noWrap/>
            <w:vAlign w:val="center"/>
          </w:tcPr>
          <w:p w:rsidR="007F107E" w:rsidRPr="002405FA" w:rsidRDefault="007F107E" w:rsidP="009366CE">
            <w:pPr>
              <w:pStyle w:val="Tabletext"/>
              <w:spacing w:before="0" w:after="0"/>
              <w:jc w:val="center"/>
              <w:rPr>
                <w:lang w:val="sv-SE" w:eastAsia="ko-KR"/>
              </w:rPr>
            </w:pPr>
          </w:p>
        </w:tc>
        <w:tc>
          <w:tcPr>
            <w:tcW w:w="1276" w:type="dxa"/>
            <w:tcBorders>
              <w:top w:val="nil"/>
              <w:left w:val="single" w:sz="8" w:space="0" w:color="auto"/>
              <w:bottom w:val="single" w:sz="8" w:space="0" w:color="auto"/>
              <w:right w:val="single" w:sz="8" w:space="0" w:color="auto"/>
            </w:tcBorders>
          </w:tcPr>
          <w:p w:rsidR="007F107E" w:rsidRPr="002405FA" w:rsidRDefault="007F107E" w:rsidP="009366CE">
            <w:pPr>
              <w:pStyle w:val="Tabletext"/>
              <w:spacing w:before="0" w:after="0"/>
              <w:rPr>
                <w:lang w:val="sv-SE" w:eastAsia="ko-KR"/>
              </w:rPr>
            </w:pPr>
          </w:p>
        </w:tc>
      </w:tr>
      <w:tr w:rsidR="007F107E" w:rsidRPr="00472E66" w:rsidTr="009366CE">
        <w:trPr>
          <w:trHeight w:val="199"/>
        </w:trPr>
        <w:tc>
          <w:tcPr>
            <w:tcW w:w="1858" w:type="dxa"/>
            <w:tcBorders>
              <w:top w:val="nil"/>
              <w:left w:val="single" w:sz="8" w:space="0" w:color="auto"/>
              <w:bottom w:val="single" w:sz="8" w:space="0" w:color="auto"/>
              <w:right w:val="nil"/>
            </w:tcBorders>
            <w:shd w:val="clear" w:color="auto" w:fill="auto"/>
            <w:vAlign w:val="center"/>
          </w:tcPr>
          <w:p w:rsidR="007F107E" w:rsidRPr="00EF06EC" w:rsidRDefault="007F107E" w:rsidP="009366CE">
            <w:pPr>
              <w:pStyle w:val="Tabletext"/>
              <w:spacing w:before="0" w:after="0"/>
              <w:jc w:val="center"/>
              <w:rPr>
                <w:b/>
                <w:lang w:val="sv-SE" w:eastAsia="ko-KR"/>
              </w:rPr>
            </w:pPr>
            <w:r w:rsidRPr="00EF06EC">
              <w:rPr>
                <w:b/>
                <w:lang w:val="sv-SE" w:eastAsia="ko-KR"/>
              </w:rPr>
              <w:t>GRC</w:t>
            </w:r>
          </w:p>
        </w:tc>
        <w:tc>
          <w:tcPr>
            <w:tcW w:w="2126" w:type="dxa"/>
            <w:tcBorders>
              <w:top w:val="nil"/>
              <w:left w:val="single" w:sz="8" w:space="0" w:color="auto"/>
              <w:bottom w:val="single" w:sz="8" w:space="0" w:color="auto"/>
              <w:right w:val="single" w:sz="8" w:space="0" w:color="auto"/>
            </w:tcBorders>
            <w:shd w:val="clear" w:color="auto" w:fill="auto"/>
            <w:noWrap/>
            <w:vAlign w:val="center"/>
          </w:tcPr>
          <w:p w:rsidR="007F107E" w:rsidRPr="002405FA" w:rsidRDefault="007F107E" w:rsidP="009366CE">
            <w:pPr>
              <w:pStyle w:val="Tabletext"/>
              <w:spacing w:before="0" w:after="0"/>
              <w:jc w:val="center"/>
              <w:rPr>
                <w:lang w:val="sv-SE" w:eastAsia="ko-KR"/>
              </w:rPr>
            </w:pPr>
          </w:p>
        </w:tc>
        <w:tc>
          <w:tcPr>
            <w:tcW w:w="1276" w:type="dxa"/>
            <w:tcBorders>
              <w:top w:val="nil"/>
              <w:left w:val="single" w:sz="8" w:space="0" w:color="auto"/>
              <w:bottom w:val="single" w:sz="8" w:space="0" w:color="auto"/>
              <w:right w:val="single" w:sz="8" w:space="0" w:color="auto"/>
            </w:tcBorders>
          </w:tcPr>
          <w:p w:rsidR="007F107E" w:rsidRPr="002405FA" w:rsidRDefault="007F107E" w:rsidP="009366CE">
            <w:pPr>
              <w:pStyle w:val="Tabletext"/>
              <w:spacing w:before="0" w:after="0"/>
              <w:rPr>
                <w:lang w:val="sv-SE" w:eastAsia="ko-KR"/>
              </w:rPr>
            </w:pPr>
          </w:p>
        </w:tc>
      </w:tr>
      <w:tr w:rsidR="007F107E" w:rsidRPr="00472E66" w:rsidTr="009366CE">
        <w:trPr>
          <w:trHeight w:val="199"/>
        </w:trPr>
        <w:tc>
          <w:tcPr>
            <w:tcW w:w="1858" w:type="dxa"/>
            <w:tcBorders>
              <w:top w:val="nil"/>
              <w:left w:val="single" w:sz="8" w:space="0" w:color="auto"/>
              <w:bottom w:val="single" w:sz="8" w:space="0" w:color="auto"/>
              <w:right w:val="nil"/>
            </w:tcBorders>
            <w:shd w:val="clear" w:color="auto" w:fill="auto"/>
            <w:vAlign w:val="center"/>
          </w:tcPr>
          <w:p w:rsidR="007F107E" w:rsidRPr="00EF06EC" w:rsidRDefault="007F107E" w:rsidP="009366CE">
            <w:pPr>
              <w:pStyle w:val="Tabletext"/>
              <w:spacing w:before="0" w:after="0"/>
              <w:jc w:val="center"/>
              <w:rPr>
                <w:b/>
                <w:lang w:val="sv-SE" w:eastAsia="ko-KR"/>
              </w:rPr>
            </w:pPr>
            <w:r w:rsidRPr="00EF06EC">
              <w:rPr>
                <w:b/>
                <w:lang w:val="sv-SE" w:eastAsia="ko-KR"/>
              </w:rPr>
              <w:t>HNG</w:t>
            </w:r>
          </w:p>
        </w:tc>
        <w:tc>
          <w:tcPr>
            <w:tcW w:w="2126" w:type="dxa"/>
            <w:tcBorders>
              <w:top w:val="nil"/>
              <w:left w:val="single" w:sz="8" w:space="0" w:color="auto"/>
              <w:bottom w:val="single" w:sz="8" w:space="0" w:color="auto"/>
              <w:right w:val="single" w:sz="8" w:space="0" w:color="auto"/>
            </w:tcBorders>
            <w:shd w:val="clear" w:color="auto" w:fill="auto"/>
            <w:noWrap/>
            <w:vAlign w:val="center"/>
          </w:tcPr>
          <w:p w:rsidR="007F107E" w:rsidRPr="002405FA" w:rsidRDefault="00EF06EC" w:rsidP="009366CE">
            <w:pPr>
              <w:pStyle w:val="Tabletext"/>
              <w:spacing w:before="0" w:after="0"/>
              <w:jc w:val="center"/>
              <w:rPr>
                <w:lang w:val="sv-SE" w:eastAsia="ko-KR"/>
              </w:rPr>
            </w:pPr>
            <w:r>
              <w:rPr>
                <w:lang w:val="sv-SE" w:eastAsia="ko-KR"/>
              </w:rPr>
              <w:t>是</w:t>
            </w:r>
          </w:p>
        </w:tc>
        <w:tc>
          <w:tcPr>
            <w:tcW w:w="1276" w:type="dxa"/>
            <w:tcBorders>
              <w:top w:val="nil"/>
              <w:left w:val="single" w:sz="8" w:space="0" w:color="auto"/>
              <w:bottom w:val="single" w:sz="8" w:space="0" w:color="auto"/>
              <w:right w:val="single" w:sz="8" w:space="0" w:color="auto"/>
            </w:tcBorders>
          </w:tcPr>
          <w:p w:rsidR="007F107E" w:rsidRPr="002405FA" w:rsidRDefault="007F107E" w:rsidP="009366CE">
            <w:pPr>
              <w:pStyle w:val="Tabletext"/>
              <w:spacing w:before="0" w:after="0"/>
              <w:rPr>
                <w:lang w:val="sv-SE" w:eastAsia="ko-KR"/>
              </w:rPr>
            </w:pPr>
          </w:p>
        </w:tc>
      </w:tr>
      <w:tr w:rsidR="007F107E" w:rsidRPr="00472E66" w:rsidTr="009366CE">
        <w:trPr>
          <w:trHeight w:val="199"/>
        </w:trPr>
        <w:tc>
          <w:tcPr>
            <w:tcW w:w="1858" w:type="dxa"/>
            <w:tcBorders>
              <w:top w:val="nil"/>
              <w:left w:val="single" w:sz="8" w:space="0" w:color="auto"/>
              <w:bottom w:val="single" w:sz="8" w:space="0" w:color="auto"/>
              <w:right w:val="single" w:sz="8" w:space="0" w:color="auto"/>
            </w:tcBorders>
            <w:shd w:val="clear" w:color="auto" w:fill="auto"/>
            <w:vAlign w:val="center"/>
          </w:tcPr>
          <w:p w:rsidR="007F107E" w:rsidRPr="00EF06EC" w:rsidRDefault="007F107E" w:rsidP="009366CE">
            <w:pPr>
              <w:pStyle w:val="Tabletext"/>
              <w:spacing w:before="0" w:after="0"/>
              <w:jc w:val="center"/>
              <w:rPr>
                <w:b/>
                <w:lang w:val="sv-SE" w:eastAsia="ko-KR"/>
              </w:rPr>
            </w:pPr>
            <w:r w:rsidRPr="00EF06EC">
              <w:rPr>
                <w:b/>
                <w:lang w:val="sv-SE" w:eastAsia="ko-KR"/>
              </w:rPr>
              <w:t>HOL</w:t>
            </w:r>
          </w:p>
        </w:tc>
        <w:tc>
          <w:tcPr>
            <w:tcW w:w="2126" w:type="dxa"/>
            <w:tcBorders>
              <w:top w:val="nil"/>
              <w:left w:val="nil"/>
              <w:bottom w:val="single" w:sz="8" w:space="0" w:color="auto"/>
              <w:right w:val="single" w:sz="8" w:space="0" w:color="auto"/>
            </w:tcBorders>
            <w:shd w:val="clear" w:color="auto" w:fill="auto"/>
            <w:noWrap/>
            <w:vAlign w:val="center"/>
          </w:tcPr>
          <w:p w:rsidR="007F107E" w:rsidRPr="002405FA" w:rsidRDefault="00EF06EC" w:rsidP="009366CE">
            <w:pPr>
              <w:pStyle w:val="Tabletext"/>
              <w:spacing w:before="0" w:after="0"/>
              <w:jc w:val="center"/>
              <w:rPr>
                <w:lang w:val="sv-SE" w:eastAsia="ko-KR"/>
              </w:rPr>
            </w:pPr>
            <w:r>
              <w:rPr>
                <w:lang w:val="sv-SE" w:eastAsia="ko-KR"/>
              </w:rPr>
              <w:t>是</w:t>
            </w:r>
          </w:p>
        </w:tc>
        <w:tc>
          <w:tcPr>
            <w:tcW w:w="1276" w:type="dxa"/>
            <w:tcBorders>
              <w:top w:val="nil"/>
              <w:left w:val="nil"/>
              <w:bottom w:val="single" w:sz="8" w:space="0" w:color="auto"/>
              <w:right w:val="single" w:sz="8" w:space="0" w:color="auto"/>
            </w:tcBorders>
          </w:tcPr>
          <w:p w:rsidR="007F107E" w:rsidRPr="002405FA" w:rsidRDefault="007F107E" w:rsidP="009366CE">
            <w:pPr>
              <w:pStyle w:val="Tabletext"/>
              <w:spacing w:before="0" w:after="0"/>
              <w:rPr>
                <w:lang w:val="sv-SE" w:eastAsia="ko-KR"/>
              </w:rPr>
            </w:pPr>
          </w:p>
        </w:tc>
      </w:tr>
      <w:tr w:rsidR="007F107E" w:rsidRPr="00472E66" w:rsidTr="009366CE">
        <w:trPr>
          <w:trHeight w:val="199"/>
        </w:trPr>
        <w:tc>
          <w:tcPr>
            <w:tcW w:w="1858" w:type="dxa"/>
            <w:tcBorders>
              <w:top w:val="nil"/>
              <w:left w:val="single" w:sz="8" w:space="0" w:color="auto"/>
              <w:bottom w:val="single" w:sz="8" w:space="0" w:color="auto"/>
              <w:right w:val="nil"/>
            </w:tcBorders>
            <w:shd w:val="clear" w:color="auto" w:fill="auto"/>
            <w:vAlign w:val="center"/>
          </w:tcPr>
          <w:p w:rsidR="007F107E" w:rsidRPr="00EF06EC" w:rsidRDefault="007F107E" w:rsidP="009366CE">
            <w:pPr>
              <w:pStyle w:val="Tabletext"/>
              <w:spacing w:before="0" w:after="0"/>
              <w:jc w:val="center"/>
              <w:rPr>
                <w:b/>
                <w:lang w:val="sv-SE" w:eastAsia="ko-KR"/>
              </w:rPr>
            </w:pPr>
            <w:r w:rsidRPr="00EF06EC">
              <w:rPr>
                <w:b/>
                <w:lang w:val="sv-SE" w:eastAsia="ko-KR"/>
              </w:rPr>
              <w:t>HRV</w:t>
            </w:r>
          </w:p>
        </w:tc>
        <w:tc>
          <w:tcPr>
            <w:tcW w:w="2126" w:type="dxa"/>
            <w:tcBorders>
              <w:top w:val="nil"/>
              <w:left w:val="single" w:sz="8" w:space="0" w:color="auto"/>
              <w:bottom w:val="single" w:sz="8" w:space="0" w:color="auto"/>
              <w:right w:val="single" w:sz="8" w:space="0" w:color="auto"/>
            </w:tcBorders>
            <w:shd w:val="clear" w:color="auto" w:fill="auto"/>
            <w:noWrap/>
            <w:vAlign w:val="center"/>
          </w:tcPr>
          <w:p w:rsidR="007F107E" w:rsidRPr="002405FA" w:rsidRDefault="00EF06EC" w:rsidP="009366CE">
            <w:pPr>
              <w:pStyle w:val="Tabletext"/>
              <w:spacing w:before="0" w:after="0"/>
              <w:jc w:val="center"/>
              <w:rPr>
                <w:lang w:val="sv-SE" w:eastAsia="ko-KR"/>
              </w:rPr>
            </w:pPr>
            <w:r>
              <w:rPr>
                <w:lang w:val="sv-SE" w:eastAsia="ko-KR"/>
              </w:rPr>
              <w:t>是</w:t>
            </w:r>
          </w:p>
        </w:tc>
        <w:tc>
          <w:tcPr>
            <w:tcW w:w="1276" w:type="dxa"/>
            <w:tcBorders>
              <w:top w:val="nil"/>
              <w:left w:val="single" w:sz="8" w:space="0" w:color="auto"/>
              <w:bottom w:val="single" w:sz="8" w:space="0" w:color="auto"/>
              <w:right w:val="single" w:sz="8" w:space="0" w:color="auto"/>
            </w:tcBorders>
          </w:tcPr>
          <w:p w:rsidR="007F107E" w:rsidRPr="002405FA" w:rsidRDefault="007F107E" w:rsidP="009366CE">
            <w:pPr>
              <w:pStyle w:val="Tabletext"/>
              <w:spacing w:before="0" w:after="0"/>
              <w:rPr>
                <w:lang w:val="sv-SE" w:eastAsia="ko-KR"/>
              </w:rPr>
            </w:pPr>
          </w:p>
        </w:tc>
      </w:tr>
      <w:tr w:rsidR="007F107E" w:rsidRPr="00472E66" w:rsidTr="009366CE">
        <w:trPr>
          <w:trHeight w:val="199"/>
        </w:trPr>
        <w:tc>
          <w:tcPr>
            <w:tcW w:w="1858" w:type="dxa"/>
            <w:tcBorders>
              <w:top w:val="nil"/>
              <w:left w:val="single" w:sz="8" w:space="0" w:color="auto"/>
              <w:bottom w:val="single" w:sz="8" w:space="0" w:color="auto"/>
              <w:right w:val="nil"/>
            </w:tcBorders>
            <w:shd w:val="clear" w:color="auto" w:fill="auto"/>
            <w:vAlign w:val="center"/>
          </w:tcPr>
          <w:p w:rsidR="007F107E" w:rsidRPr="00EF06EC" w:rsidRDefault="007F107E" w:rsidP="009366CE">
            <w:pPr>
              <w:pStyle w:val="Tabletext"/>
              <w:spacing w:before="0" w:after="0"/>
              <w:jc w:val="center"/>
              <w:rPr>
                <w:b/>
                <w:lang w:val="sv-SE" w:eastAsia="ko-KR"/>
              </w:rPr>
            </w:pPr>
            <w:r w:rsidRPr="00EF06EC">
              <w:rPr>
                <w:b/>
                <w:lang w:val="sv-SE" w:eastAsia="ko-KR"/>
              </w:rPr>
              <w:t>I</w:t>
            </w:r>
          </w:p>
        </w:tc>
        <w:tc>
          <w:tcPr>
            <w:tcW w:w="2126" w:type="dxa"/>
            <w:tcBorders>
              <w:top w:val="nil"/>
              <w:left w:val="single" w:sz="8" w:space="0" w:color="auto"/>
              <w:bottom w:val="single" w:sz="8" w:space="0" w:color="auto"/>
              <w:right w:val="single" w:sz="8" w:space="0" w:color="auto"/>
            </w:tcBorders>
            <w:shd w:val="clear" w:color="auto" w:fill="auto"/>
            <w:noWrap/>
            <w:vAlign w:val="center"/>
          </w:tcPr>
          <w:p w:rsidR="007F107E" w:rsidRPr="002405FA" w:rsidRDefault="007F107E" w:rsidP="009366CE">
            <w:pPr>
              <w:pStyle w:val="Tabletext"/>
              <w:spacing w:before="0" w:after="0"/>
              <w:jc w:val="center"/>
              <w:rPr>
                <w:lang w:val="sv-SE" w:eastAsia="ko-KR"/>
              </w:rPr>
            </w:pPr>
          </w:p>
        </w:tc>
        <w:tc>
          <w:tcPr>
            <w:tcW w:w="1276" w:type="dxa"/>
            <w:tcBorders>
              <w:top w:val="nil"/>
              <w:left w:val="single" w:sz="8" w:space="0" w:color="auto"/>
              <w:bottom w:val="single" w:sz="8" w:space="0" w:color="auto"/>
              <w:right w:val="single" w:sz="8" w:space="0" w:color="auto"/>
            </w:tcBorders>
          </w:tcPr>
          <w:p w:rsidR="007F107E" w:rsidRPr="002405FA" w:rsidRDefault="007F107E" w:rsidP="009366CE">
            <w:pPr>
              <w:pStyle w:val="Tabletext"/>
              <w:spacing w:before="0" w:after="0"/>
              <w:rPr>
                <w:lang w:val="sv-SE" w:eastAsia="ko-KR"/>
              </w:rPr>
            </w:pPr>
          </w:p>
        </w:tc>
      </w:tr>
      <w:tr w:rsidR="007F107E" w:rsidRPr="00472E66" w:rsidTr="009366CE">
        <w:trPr>
          <w:trHeight w:val="199"/>
        </w:trPr>
        <w:tc>
          <w:tcPr>
            <w:tcW w:w="1858" w:type="dxa"/>
            <w:tcBorders>
              <w:top w:val="nil"/>
              <w:left w:val="single" w:sz="8" w:space="0" w:color="auto"/>
              <w:bottom w:val="single" w:sz="8" w:space="0" w:color="auto"/>
              <w:right w:val="nil"/>
            </w:tcBorders>
            <w:shd w:val="clear" w:color="auto" w:fill="auto"/>
            <w:vAlign w:val="center"/>
          </w:tcPr>
          <w:p w:rsidR="007F107E" w:rsidRPr="00EF06EC" w:rsidRDefault="007F107E" w:rsidP="009366CE">
            <w:pPr>
              <w:pStyle w:val="Tabletext"/>
              <w:spacing w:before="0" w:after="0"/>
              <w:jc w:val="center"/>
              <w:rPr>
                <w:b/>
                <w:lang w:val="sv-SE" w:eastAsia="ko-KR"/>
              </w:rPr>
            </w:pPr>
            <w:r w:rsidRPr="00EF06EC">
              <w:rPr>
                <w:b/>
                <w:lang w:val="sv-SE" w:eastAsia="ko-KR"/>
              </w:rPr>
              <w:t>IRL</w:t>
            </w:r>
          </w:p>
        </w:tc>
        <w:tc>
          <w:tcPr>
            <w:tcW w:w="2126" w:type="dxa"/>
            <w:tcBorders>
              <w:top w:val="nil"/>
              <w:left w:val="single" w:sz="8" w:space="0" w:color="auto"/>
              <w:bottom w:val="single" w:sz="8" w:space="0" w:color="auto"/>
              <w:right w:val="single" w:sz="8" w:space="0" w:color="auto"/>
            </w:tcBorders>
            <w:shd w:val="clear" w:color="auto" w:fill="auto"/>
            <w:noWrap/>
            <w:vAlign w:val="center"/>
          </w:tcPr>
          <w:p w:rsidR="007F107E" w:rsidRPr="002405FA" w:rsidRDefault="00EF06EC" w:rsidP="009366CE">
            <w:pPr>
              <w:pStyle w:val="Tabletext"/>
              <w:spacing w:before="0" w:after="0"/>
              <w:jc w:val="center"/>
              <w:rPr>
                <w:lang w:val="sv-SE" w:eastAsia="ko-KR"/>
              </w:rPr>
            </w:pPr>
            <w:r>
              <w:rPr>
                <w:lang w:val="sv-SE" w:eastAsia="ko-KR"/>
              </w:rPr>
              <w:t>是</w:t>
            </w:r>
          </w:p>
        </w:tc>
        <w:tc>
          <w:tcPr>
            <w:tcW w:w="1276" w:type="dxa"/>
            <w:tcBorders>
              <w:top w:val="nil"/>
              <w:left w:val="single" w:sz="8" w:space="0" w:color="auto"/>
              <w:bottom w:val="single" w:sz="8" w:space="0" w:color="auto"/>
              <w:right w:val="single" w:sz="8" w:space="0" w:color="auto"/>
            </w:tcBorders>
          </w:tcPr>
          <w:p w:rsidR="007F107E" w:rsidRPr="002405FA" w:rsidRDefault="007F107E" w:rsidP="009366CE">
            <w:pPr>
              <w:pStyle w:val="Tabletext"/>
              <w:spacing w:before="0" w:after="0"/>
              <w:rPr>
                <w:lang w:val="sv-SE" w:eastAsia="ko-KR"/>
              </w:rPr>
            </w:pPr>
          </w:p>
        </w:tc>
      </w:tr>
      <w:tr w:rsidR="007F107E" w:rsidRPr="00472E66" w:rsidTr="009366CE">
        <w:trPr>
          <w:trHeight w:val="199"/>
        </w:trPr>
        <w:tc>
          <w:tcPr>
            <w:tcW w:w="1858" w:type="dxa"/>
            <w:tcBorders>
              <w:top w:val="nil"/>
              <w:left w:val="single" w:sz="8" w:space="0" w:color="auto"/>
              <w:bottom w:val="single" w:sz="8" w:space="0" w:color="auto"/>
              <w:right w:val="nil"/>
            </w:tcBorders>
            <w:shd w:val="clear" w:color="auto" w:fill="auto"/>
            <w:vAlign w:val="center"/>
          </w:tcPr>
          <w:p w:rsidR="007F107E" w:rsidRPr="00EF06EC" w:rsidRDefault="007F107E" w:rsidP="009366CE">
            <w:pPr>
              <w:pStyle w:val="Tabletext"/>
              <w:spacing w:before="0" w:after="0"/>
              <w:jc w:val="center"/>
              <w:rPr>
                <w:b/>
                <w:lang w:val="sv-SE" w:eastAsia="ko-KR"/>
              </w:rPr>
            </w:pPr>
            <w:r w:rsidRPr="00EF06EC">
              <w:rPr>
                <w:b/>
                <w:lang w:val="sv-SE" w:eastAsia="ko-KR"/>
              </w:rPr>
              <w:t>ISL</w:t>
            </w:r>
          </w:p>
        </w:tc>
        <w:tc>
          <w:tcPr>
            <w:tcW w:w="2126" w:type="dxa"/>
            <w:tcBorders>
              <w:top w:val="nil"/>
              <w:left w:val="single" w:sz="8" w:space="0" w:color="auto"/>
              <w:bottom w:val="single" w:sz="8" w:space="0" w:color="auto"/>
              <w:right w:val="single" w:sz="8" w:space="0" w:color="auto"/>
            </w:tcBorders>
            <w:shd w:val="clear" w:color="auto" w:fill="auto"/>
            <w:noWrap/>
            <w:vAlign w:val="center"/>
          </w:tcPr>
          <w:p w:rsidR="007F107E" w:rsidRPr="002405FA" w:rsidRDefault="007F107E" w:rsidP="009366CE">
            <w:pPr>
              <w:pStyle w:val="Tabletext"/>
              <w:spacing w:before="0" w:after="0"/>
              <w:jc w:val="center"/>
              <w:rPr>
                <w:lang w:val="sv-SE" w:eastAsia="ko-KR"/>
              </w:rPr>
            </w:pPr>
          </w:p>
        </w:tc>
        <w:tc>
          <w:tcPr>
            <w:tcW w:w="1276" w:type="dxa"/>
            <w:tcBorders>
              <w:top w:val="nil"/>
              <w:left w:val="single" w:sz="8" w:space="0" w:color="auto"/>
              <w:bottom w:val="single" w:sz="8" w:space="0" w:color="auto"/>
              <w:right w:val="single" w:sz="8" w:space="0" w:color="auto"/>
            </w:tcBorders>
          </w:tcPr>
          <w:p w:rsidR="007F107E" w:rsidRPr="002405FA" w:rsidRDefault="007F107E" w:rsidP="009366CE">
            <w:pPr>
              <w:pStyle w:val="Tabletext"/>
              <w:spacing w:before="0" w:after="0"/>
              <w:rPr>
                <w:lang w:val="sv-SE" w:eastAsia="ko-KR"/>
              </w:rPr>
            </w:pPr>
          </w:p>
        </w:tc>
      </w:tr>
      <w:tr w:rsidR="007F107E" w:rsidRPr="00472E66" w:rsidTr="009366CE">
        <w:trPr>
          <w:trHeight w:val="199"/>
        </w:trPr>
        <w:tc>
          <w:tcPr>
            <w:tcW w:w="1858" w:type="dxa"/>
            <w:tcBorders>
              <w:top w:val="nil"/>
              <w:left w:val="single" w:sz="8" w:space="0" w:color="auto"/>
              <w:bottom w:val="single" w:sz="8" w:space="0" w:color="auto"/>
              <w:right w:val="nil"/>
            </w:tcBorders>
            <w:shd w:val="clear" w:color="auto" w:fill="auto"/>
            <w:vAlign w:val="center"/>
          </w:tcPr>
          <w:p w:rsidR="007F107E" w:rsidRPr="00EF06EC" w:rsidRDefault="007F107E" w:rsidP="009366CE">
            <w:pPr>
              <w:pStyle w:val="Tabletext"/>
              <w:spacing w:before="0" w:after="0"/>
              <w:jc w:val="center"/>
              <w:rPr>
                <w:b/>
                <w:lang w:val="sv-SE" w:eastAsia="ko-KR"/>
              </w:rPr>
            </w:pPr>
            <w:r w:rsidRPr="00EF06EC">
              <w:rPr>
                <w:b/>
                <w:lang w:val="sv-SE" w:eastAsia="ko-KR"/>
              </w:rPr>
              <w:t>LIE</w:t>
            </w:r>
          </w:p>
        </w:tc>
        <w:tc>
          <w:tcPr>
            <w:tcW w:w="2126" w:type="dxa"/>
            <w:tcBorders>
              <w:top w:val="nil"/>
              <w:left w:val="single" w:sz="8" w:space="0" w:color="auto"/>
              <w:bottom w:val="single" w:sz="8" w:space="0" w:color="auto"/>
              <w:right w:val="single" w:sz="8" w:space="0" w:color="auto"/>
            </w:tcBorders>
            <w:shd w:val="clear" w:color="auto" w:fill="auto"/>
            <w:noWrap/>
            <w:vAlign w:val="center"/>
          </w:tcPr>
          <w:p w:rsidR="007F107E" w:rsidRPr="002405FA" w:rsidRDefault="007F107E" w:rsidP="009366CE">
            <w:pPr>
              <w:pStyle w:val="Tabletext"/>
              <w:spacing w:before="0" w:after="0"/>
              <w:jc w:val="center"/>
              <w:rPr>
                <w:lang w:val="sv-SE" w:eastAsia="ko-KR"/>
              </w:rPr>
            </w:pPr>
          </w:p>
        </w:tc>
        <w:tc>
          <w:tcPr>
            <w:tcW w:w="1276" w:type="dxa"/>
            <w:tcBorders>
              <w:top w:val="nil"/>
              <w:left w:val="single" w:sz="8" w:space="0" w:color="auto"/>
              <w:bottom w:val="single" w:sz="8" w:space="0" w:color="auto"/>
              <w:right w:val="single" w:sz="8" w:space="0" w:color="auto"/>
            </w:tcBorders>
          </w:tcPr>
          <w:p w:rsidR="007F107E" w:rsidRPr="002405FA" w:rsidRDefault="007F107E" w:rsidP="009366CE">
            <w:pPr>
              <w:pStyle w:val="Tabletext"/>
              <w:spacing w:before="0" w:after="0"/>
              <w:rPr>
                <w:lang w:val="sv-SE" w:eastAsia="ko-KR"/>
              </w:rPr>
            </w:pPr>
          </w:p>
        </w:tc>
      </w:tr>
      <w:tr w:rsidR="007F107E" w:rsidRPr="00472E66" w:rsidTr="009366CE">
        <w:trPr>
          <w:trHeight w:val="199"/>
        </w:trPr>
        <w:tc>
          <w:tcPr>
            <w:tcW w:w="1858" w:type="dxa"/>
            <w:tcBorders>
              <w:top w:val="nil"/>
              <w:left w:val="single" w:sz="8" w:space="0" w:color="auto"/>
              <w:bottom w:val="single" w:sz="8" w:space="0" w:color="auto"/>
              <w:right w:val="nil"/>
            </w:tcBorders>
            <w:shd w:val="clear" w:color="auto" w:fill="auto"/>
            <w:vAlign w:val="center"/>
          </w:tcPr>
          <w:p w:rsidR="007F107E" w:rsidRPr="00EF06EC" w:rsidRDefault="007F107E" w:rsidP="009366CE">
            <w:pPr>
              <w:pStyle w:val="Tabletext"/>
              <w:spacing w:before="0" w:after="0"/>
              <w:jc w:val="center"/>
              <w:rPr>
                <w:b/>
                <w:lang w:val="sv-SE" w:eastAsia="ko-KR"/>
              </w:rPr>
            </w:pPr>
            <w:r w:rsidRPr="00EF06EC">
              <w:rPr>
                <w:b/>
                <w:lang w:val="sv-SE" w:eastAsia="ko-KR"/>
              </w:rPr>
              <w:t>LTU</w:t>
            </w:r>
          </w:p>
        </w:tc>
        <w:tc>
          <w:tcPr>
            <w:tcW w:w="2126" w:type="dxa"/>
            <w:tcBorders>
              <w:top w:val="nil"/>
              <w:left w:val="single" w:sz="8" w:space="0" w:color="auto"/>
              <w:bottom w:val="single" w:sz="8" w:space="0" w:color="auto"/>
              <w:right w:val="single" w:sz="8" w:space="0" w:color="auto"/>
            </w:tcBorders>
            <w:shd w:val="clear" w:color="auto" w:fill="auto"/>
            <w:noWrap/>
            <w:vAlign w:val="center"/>
          </w:tcPr>
          <w:p w:rsidR="007F107E" w:rsidRPr="002405FA" w:rsidRDefault="00EF06EC" w:rsidP="009366CE">
            <w:pPr>
              <w:pStyle w:val="Tabletext"/>
              <w:spacing w:before="0" w:after="0"/>
              <w:jc w:val="center"/>
              <w:rPr>
                <w:lang w:val="sv-SE" w:eastAsia="ko-KR"/>
              </w:rPr>
            </w:pPr>
            <w:r>
              <w:rPr>
                <w:lang w:val="sv-SE" w:eastAsia="ko-KR"/>
              </w:rPr>
              <w:t>是</w:t>
            </w:r>
          </w:p>
        </w:tc>
        <w:tc>
          <w:tcPr>
            <w:tcW w:w="1276" w:type="dxa"/>
            <w:tcBorders>
              <w:top w:val="nil"/>
              <w:left w:val="single" w:sz="8" w:space="0" w:color="auto"/>
              <w:bottom w:val="single" w:sz="8" w:space="0" w:color="auto"/>
              <w:right w:val="single" w:sz="8" w:space="0" w:color="auto"/>
            </w:tcBorders>
          </w:tcPr>
          <w:p w:rsidR="007F107E" w:rsidRPr="002405FA" w:rsidRDefault="007F107E" w:rsidP="009366CE">
            <w:pPr>
              <w:pStyle w:val="Tabletext"/>
              <w:spacing w:before="0" w:after="0"/>
              <w:rPr>
                <w:lang w:val="sv-SE" w:eastAsia="ko-KR"/>
              </w:rPr>
            </w:pPr>
          </w:p>
        </w:tc>
      </w:tr>
      <w:tr w:rsidR="007F107E" w:rsidRPr="00472E66" w:rsidTr="009366CE">
        <w:trPr>
          <w:trHeight w:val="199"/>
        </w:trPr>
        <w:tc>
          <w:tcPr>
            <w:tcW w:w="1858" w:type="dxa"/>
            <w:tcBorders>
              <w:top w:val="nil"/>
              <w:left w:val="single" w:sz="8" w:space="0" w:color="auto"/>
              <w:bottom w:val="single" w:sz="8" w:space="0" w:color="auto"/>
              <w:right w:val="nil"/>
            </w:tcBorders>
            <w:shd w:val="clear" w:color="auto" w:fill="auto"/>
            <w:vAlign w:val="center"/>
          </w:tcPr>
          <w:p w:rsidR="007F107E" w:rsidRPr="00EF06EC" w:rsidRDefault="007F107E" w:rsidP="009366CE">
            <w:pPr>
              <w:pStyle w:val="Tabletext"/>
              <w:spacing w:before="0" w:after="0"/>
              <w:jc w:val="center"/>
              <w:rPr>
                <w:b/>
                <w:lang w:val="sv-SE" w:eastAsia="ko-KR"/>
              </w:rPr>
            </w:pPr>
            <w:r w:rsidRPr="00EF06EC">
              <w:rPr>
                <w:b/>
                <w:lang w:val="sv-SE" w:eastAsia="ko-KR"/>
              </w:rPr>
              <w:t>LUX</w:t>
            </w:r>
          </w:p>
        </w:tc>
        <w:tc>
          <w:tcPr>
            <w:tcW w:w="2126" w:type="dxa"/>
            <w:tcBorders>
              <w:top w:val="nil"/>
              <w:left w:val="single" w:sz="8" w:space="0" w:color="auto"/>
              <w:bottom w:val="single" w:sz="8" w:space="0" w:color="auto"/>
              <w:right w:val="single" w:sz="8" w:space="0" w:color="auto"/>
            </w:tcBorders>
            <w:shd w:val="clear" w:color="auto" w:fill="auto"/>
            <w:noWrap/>
            <w:vAlign w:val="center"/>
          </w:tcPr>
          <w:p w:rsidR="007F107E" w:rsidRPr="002405FA" w:rsidRDefault="007F107E" w:rsidP="009366CE">
            <w:pPr>
              <w:pStyle w:val="Tabletext"/>
              <w:spacing w:before="0" w:after="0"/>
              <w:jc w:val="center"/>
              <w:rPr>
                <w:lang w:val="sv-SE" w:eastAsia="ko-KR"/>
              </w:rPr>
            </w:pPr>
          </w:p>
        </w:tc>
        <w:tc>
          <w:tcPr>
            <w:tcW w:w="1276" w:type="dxa"/>
            <w:tcBorders>
              <w:top w:val="nil"/>
              <w:left w:val="single" w:sz="8" w:space="0" w:color="auto"/>
              <w:bottom w:val="single" w:sz="8" w:space="0" w:color="auto"/>
              <w:right w:val="single" w:sz="8" w:space="0" w:color="auto"/>
            </w:tcBorders>
          </w:tcPr>
          <w:p w:rsidR="007F107E" w:rsidRPr="002405FA" w:rsidRDefault="007F107E" w:rsidP="009366CE">
            <w:pPr>
              <w:pStyle w:val="Tabletext"/>
              <w:spacing w:before="0" w:after="0"/>
              <w:rPr>
                <w:lang w:val="sv-SE" w:eastAsia="ko-KR"/>
              </w:rPr>
            </w:pPr>
          </w:p>
        </w:tc>
      </w:tr>
      <w:tr w:rsidR="007F107E" w:rsidRPr="00472E66" w:rsidTr="009366CE">
        <w:trPr>
          <w:trHeight w:val="199"/>
        </w:trPr>
        <w:tc>
          <w:tcPr>
            <w:tcW w:w="1858" w:type="dxa"/>
            <w:tcBorders>
              <w:top w:val="nil"/>
              <w:left w:val="single" w:sz="8" w:space="0" w:color="auto"/>
              <w:bottom w:val="single" w:sz="8" w:space="0" w:color="auto"/>
              <w:right w:val="nil"/>
            </w:tcBorders>
            <w:shd w:val="clear" w:color="auto" w:fill="auto"/>
            <w:vAlign w:val="center"/>
          </w:tcPr>
          <w:p w:rsidR="007F107E" w:rsidRPr="00EF06EC" w:rsidRDefault="007F107E" w:rsidP="009366CE">
            <w:pPr>
              <w:pStyle w:val="Tabletext"/>
              <w:spacing w:before="0" w:after="0"/>
              <w:jc w:val="center"/>
              <w:rPr>
                <w:b/>
                <w:lang w:val="sv-SE" w:eastAsia="ko-KR"/>
              </w:rPr>
            </w:pPr>
            <w:r w:rsidRPr="00EF06EC">
              <w:rPr>
                <w:b/>
                <w:lang w:val="sv-SE" w:eastAsia="ko-KR"/>
              </w:rPr>
              <w:t>LVA</w:t>
            </w:r>
          </w:p>
        </w:tc>
        <w:tc>
          <w:tcPr>
            <w:tcW w:w="2126" w:type="dxa"/>
            <w:tcBorders>
              <w:top w:val="nil"/>
              <w:left w:val="single" w:sz="8" w:space="0" w:color="auto"/>
              <w:bottom w:val="single" w:sz="8" w:space="0" w:color="auto"/>
              <w:right w:val="single" w:sz="8" w:space="0" w:color="auto"/>
            </w:tcBorders>
            <w:shd w:val="clear" w:color="auto" w:fill="auto"/>
            <w:noWrap/>
            <w:vAlign w:val="center"/>
          </w:tcPr>
          <w:p w:rsidR="007F107E" w:rsidRPr="002405FA" w:rsidRDefault="007F107E" w:rsidP="009366CE">
            <w:pPr>
              <w:pStyle w:val="Tabletext"/>
              <w:spacing w:before="0" w:after="0"/>
              <w:jc w:val="center"/>
              <w:rPr>
                <w:lang w:val="sv-SE" w:eastAsia="ko-KR"/>
              </w:rPr>
            </w:pPr>
          </w:p>
        </w:tc>
        <w:tc>
          <w:tcPr>
            <w:tcW w:w="1276" w:type="dxa"/>
            <w:tcBorders>
              <w:top w:val="nil"/>
              <w:left w:val="single" w:sz="8" w:space="0" w:color="auto"/>
              <w:bottom w:val="single" w:sz="8" w:space="0" w:color="auto"/>
              <w:right w:val="single" w:sz="8" w:space="0" w:color="auto"/>
            </w:tcBorders>
          </w:tcPr>
          <w:p w:rsidR="007F107E" w:rsidRPr="002405FA" w:rsidRDefault="007F107E" w:rsidP="009366CE">
            <w:pPr>
              <w:pStyle w:val="Tabletext"/>
              <w:spacing w:before="0" w:after="0"/>
              <w:rPr>
                <w:lang w:val="sv-SE" w:eastAsia="ko-KR"/>
              </w:rPr>
            </w:pPr>
          </w:p>
        </w:tc>
      </w:tr>
      <w:tr w:rsidR="007F107E" w:rsidRPr="00472E66" w:rsidTr="009366CE">
        <w:trPr>
          <w:trHeight w:val="199"/>
        </w:trPr>
        <w:tc>
          <w:tcPr>
            <w:tcW w:w="1858" w:type="dxa"/>
            <w:tcBorders>
              <w:top w:val="nil"/>
              <w:left w:val="single" w:sz="8" w:space="0" w:color="auto"/>
              <w:bottom w:val="single" w:sz="8" w:space="0" w:color="auto"/>
              <w:right w:val="nil"/>
            </w:tcBorders>
            <w:shd w:val="clear" w:color="auto" w:fill="auto"/>
            <w:vAlign w:val="center"/>
          </w:tcPr>
          <w:p w:rsidR="007F107E" w:rsidRPr="00EF06EC" w:rsidRDefault="007F107E" w:rsidP="009366CE">
            <w:pPr>
              <w:pStyle w:val="Tabletext"/>
              <w:spacing w:before="0" w:after="0"/>
              <w:jc w:val="center"/>
              <w:rPr>
                <w:b/>
                <w:lang w:val="sv-SE" w:eastAsia="ko-KR"/>
              </w:rPr>
            </w:pPr>
            <w:r w:rsidRPr="00EF06EC">
              <w:rPr>
                <w:b/>
                <w:lang w:val="sv-SE" w:eastAsia="ko-KR"/>
              </w:rPr>
              <w:t>MCO</w:t>
            </w:r>
          </w:p>
        </w:tc>
        <w:tc>
          <w:tcPr>
            <w:tcW w:w="2126" w:type="dxa"/>
            <w:tcBorders>
              <w:top w:val="nil"/>
              <w:left w:val="single" w:sz="8" w:space="0" w:color="auto"/>
              <w:bottom w:val="single" w:sz="8" w:space="0" w:color="auto"/>
              <w:right w:val="single" w:sz="8" w:space="0" w:color="auto"/>
            </w:tcBorders>
            <w:shd w:val="clear" w:color="auto" w:fill="auto"/>
            <w:noWrap/>
            <w:vAlign w:val="center"/>
          </w:tcPr>
          <w:p w:rsidR="007F107E" w:rsidRPr="002405FA" w:rsidRDefault="007F107E" w:rsidP="009366CE">
            <w:pPr>
              <w:pStyle w:val="Tabletext"/>
              <w:spacing w:before="0" w:after="0"/>
              <w:jc w:val="center"/>
              <w:rPr>
                <w:lang w:val="sv-SE" w:eastAsia="ko-KR"/>
              </w:rPr>
            </w:pPr>
          </w:p>
        </w:tc>
        <w:tc>
          <w:tcPr>
            <w:tcW w:w="1276" w:type="dxa"/>
            <w:tcBorders>
              <w:top w:val="nil"/>
              <w:left w:val="single" w:sz="8" w:space="0" w:color="auto"/>
              <w:bottom w:val="single" w:sz="8" w:space="0" w:color="auto"/>
              <w:right w:val="single" w:sz="8" w:space="0" w:color="auto"/>
            </w:tcBorders>
          </w:tcPr>
          <w:p w:rsidR="007F107E" w:rsidRPr="002405FA" w:rsidRDefault="007F107E" w:rsidP="009366CE">
            <w:pPr>
              <w:pStyle w:val="Tabletext"/>
              <w:spacing w:before="0" w:after="0"/>
              <w:rPr>
                <w:lang w:val="sv-SE" w:eastAsia="ko-KR"/>
              </w:rPr>
            </w:pPr>
          </w:p>
        </w:tc>
      </w:tr>
      <w:tr w:rsidR="007F107E" w:rsidRPr="00472E66" w:rsidTr="009366CE">
        <w:trPr>
          <w:trHeight w:val="199"/>
        </w:trPr>
        <w:tc>
          <w:tcPr>
            <w:tcW w:w="1858" w:type="dxa"/>
            <w:tcBorders>
              <w:top w:val="nil"/>
              <w:left w:val="single" w:sz="8" w:space="0" w:color="auto"/>
              <w:bottom w:val="single" w:sz="8" w:space="0" w:color="auto"/>
              <w:right w:val="nil"/>
            </w:tcBorders>
            <w:shd w:val="clear" w:color="auto" w:fill="auto"/>
            <w:vAlign w:val="center"/>
          </w:tcPr>
          <w:p w:rsidR="007F107E" w:rsidRPr="00EF06EC" w:rsidRDefault="007F107E" w:rsidP="009366CE">
            <w:pPr>
              <w:pStyle w:val="Tabletext"/>
              <w:spacing w:before="0" w:after="0"/>
              <w:jc w:val="center"/>
              <w:rPr>
                <w:b/>
                <w:lang w:val="sv-SE" w:eastAsia="ko-KR"/>
              </w:rPr>
            </w:pPr>
            <w:r w:rsidRPr="00EF06EC">
              <w:rPr>
                <w:b/>
                <w:lang w:val="sv-SE" w:eastAsia="ko-KR"/>
              </w:rPr>
              <w:t>MDA</w:t>
            </w:r>
          </w:p>
        </w:tc>
        <w:tc>
          <w:tcPr>
            <w:tcW w:w="2126" w:type="dxa"/>
            <w:tcBorders>
              <w:top w:val="nil"/>
              <w:left w:val="single" w:sz="8" w:space="0" w:color="auto"/>
              <w:bottom w:val="single" w:sz="8" w:space="0" w:color="auto"/>
              <w:right w:val="single" w:sz="8" w:space="0" w:color="auto"/>
            </w:tcBorders>
            <w:shd w:val="clear" w:color="auto" w:fill="auto"/>
            <w:noWrap/>
            <w:vAlign w:val="center"/>
          </w:tcPr>
          <w:p w:rsidR="007F107E" w:rsidRPr="002405FA" w:rsidRDefault="007F107E" w:rsidP="009366CE">
            <w:pPr>
              <w:pStyle w:val="Tabletext"/>
              <w:spacing w:before="0" w:after="0"/>
              <w:jc w:val="center"/>
              <w:rPr>
                <w:lang w:val="sv-SE" w:eastAsia="ko-KR"/>
              </w:rPr>
            </w:pPr>
          </w:p>
        </w:tc>
        <w:tc>
          <w:tcPr>
            <w:tcW w:w="1276" w:type="dxa"/>
            <w:tcBorders>
              <w:top w:val="nil"/>
              <w:left w:val="single" w:sz="8" w:space="0" w:color="auto"/>
              <w:bottom w:val="single" w:sz="8" w:space="0" w:color="auto"/>
              <w:right w:val="single" w:sz="8" w:space="0" w:color="auto"/>
            </w:tcBorders>
          </w:tcPr>
          <w:p w:rsidR="007F107E" w:rsidRPr="002405FA" w:rsidRDefault="007F107E" w:rsidP="009366CE">
            <w:pPr>
              <w:pStyle w:val="Tabletext"/>
              <w:spacing w:before="0" w:after="0"/>
              <w:rPr>
                <w:lang w:val="sv-SE" w:eastAsia="ko-KR"/>
              </w:rPr>
            </w:pPr>
          </w:p>
        </w:tc>
      </w:tr>
      <w:tr w:rsidR="007F107E" w:rsidRPr="00472E66" w:rsidTr="009366CE">
        <w:trPr>
          <w:trHeight w:val="199"/>
        </w:trPr>
        <w:tc>
          <w:tcPr>
            <w:tcW w:w="1858" w:type="dxa"/>
            <w:tcBorders>
              <w:top w:val="nil"/>
              <w:left w:val="single" w:sz="8" w:space="0" w:color="auto"/>
              <w:bottom w:val="single" w:sz="8" w:space="0" w:color="auto"/>
              <w:right w:val="nil"/>
            </w:tcBorders>
            <w:shd w:val="clear" w:color="auto" w:fill="auto"/>
            <w:vAlign w:val="center"/>
          </w:tcPr>
          <w:p w:rsidR="007F107E" w:rsidRPr="00EF06EC" w:rsidRDefault="007F107E" w:rsidP="009366CE">
            <w:pPr>
              <w:pStyle w:val="Tabletext"/>
              <w:spacing w:before="0" w:after="0"/>
              <w:jc w:val="center"/>
              <w:rPr>
                <w:b/>
                <w:lang w:val="sv-SE" w:eastAsia="ko-KR"/>
              </w:rPr>
            </w:pPr>
            <w:r w:rsidRPr="00EF06EC">
              <w:rPr>
                <w:b/>
                <w:lang w:val="sv-SE" w:eastAsia="ko-KR"/>
              </w:rPr>
              <w:t>MKD</w:t>
            </w:r>
          </w:p>
        </w:tc>
        <w:tc>
          <w:tcPr>
            <w:tcW w:w="2126" w:type="dxa"/>
            <w:tcBorders>
              <w:top w:val="nil"/>
              <w:left w:val="single" w:sz="8" w:space="0" w:color="auto"/>
              <w:bottom w:val="single" w:sz="8" w:space="0" w:color="auto"/>
              <w:right w:val="single" w:sz="8" w:space="0" w:color="auto"/>
            </w:tcBorders>
            <w:shd w:val="clear" w:color="auto" w:fill="auto"/>
            <w:noWrap/>
            <w:vAlign w:val="center"/>
          </w:tcPr>
          <w:p w:rsidR="007F107E" w:rsidRPr="002405FA" w:rsidRDefault="007F107E" w:rsidP="009366CE">
            <w:pPr>
              <w:pStyle w:val="Tabletext"/>
              <w:spacing w:before="0" w:after="0"/>
              <w:jc w:val="center"/>
              <w:rPr>
                <w:lang w:val="sv-SE" w:eastAsia="ko-KR"/>
              </w:rPr>
            </w:pPr>
          </w:p>
        </w:tc>
        <w:tc>
          <w:tcPr>
            <w:tcW w:w="1276" w:type="dxa"/>
            <w:tcBorders>
              <w:top w:val="nil"/>
              <w:left w:val="single" w:sz="8" w:space="0" w:color="auto"/>
              <w:bottom w:val="single" w:sz="8" w:space="0" w:color="auto"/>
              <w:right w:val="single" w:sz="8" w:space="0" w:color="auto"/>
            </w:tcBorders>
          </w:tcPr>
          <w:p w:rsidR="007F107E" w:rsidRPr="002405FA" w:rsidRDefault="007F107E" w:rsidP="009366CE">
            <w:pPr>
              <w:pStyle w:val="Tabletext"/>
              <w:spacing w:before="0" w:after="0"/>
              <w:rPr>
                <w:lang w:val="sv-SE" w:eastAsia="ko-KR"/>
              </w:rPr>
            </w:pPr>
          </w:p>
        </w:tc>
      </w:tr>
      <w:tr w:rsidR="007F107E" w:rsidRPr="00472E66" w:rsidTr="009366CE">
        <w:trPr>
          <w:trHeight w:val="199"/>
        </w:trPr>
        <w:tc>
          <w:tcPr>
            <w:tcW w:w="1858" w:type="dxa"/>
            <w:tcBorders>
              <w:top w:val="nil"/>
              <w:left w:val="single" w:sz="8" w:space="0" w:color="auto"/>
              <w:bottom w:val="single" w:sz="8" w:space="0" w:color="auto"/>
              <w:right w:val="nil"/>
            </w:tcBorders>
            <w:shd w:val="clear" w:color="auto" w:fill="auto"/>
            <w:vAlign w:val="center"/>
          </w:tcPr>
          <w:p w:rsidR="007F107E" w:rsidRPr="00EF06EC" w:rsidRDefault="007F107E" w:rsidP="009366CE">
            <w:pPr>
              <w:pStyle w:val="Tabletext"/>
              <w:spacing w:before="0" w:after="0"/>
              <w:jc w:val="center"/>
              <w:rPr>
                <w:b/>
                <w:lang w:val="sv-SE" w:eastAsia="ko-KR"/>
              </w:rPr>
            </w:pPr>
            <w:r w:rsidRPr="00EF06EC">
              <w:rPr>
                <w:b/>
                <w:lang w:val="sv-SE" w:eastAsia="ko-KR"/>
              </w:rPr>
              <w:t>MLT</w:t>
            </w:r>
          </w:p>
        </w:tc>
        <w:tc>
          <w:tcPr>
            <w:tcW w:w="2126" w:type="dxa"/>
            <w:tcBorders>
              <w:top w:val="nil"/>
              <w:left w:val="single" w:sz="8" w:space="0" w:color="auto"/>
              <w:bottom w:val="single" w:sz="8" w:space="0" w:color="auto"/>
              <w:right w:val="single" w:sz="8" w:space="0" w:color="auto"/>
            </w:tcBorders>
            <w:shd w:val="clear" w:color="auto" w:fill="auto"/>
            <w:noWrap/>
            <w:vAlign w:val="center"/>
          </w:tcPr>
          <w:p w:rsidR="007F107E" w:rsidRPr="002405FA" w:rsidRDefault="007F107E" w:rsidP="009366CE">
            <w:pPr>
              <w:pStyle w:val="Tabletext"/>
              <w:spacing w:before="0" w:after="0"/>
              <w:jc w:val="center"/>
              <w:rPr>
                <w:lang w:val="sv-SE" w:eastAsia="ko-KR"/>
              </w:rPr>
            </w:pPr>
          </w:p>
        </w:tc>
        <w:tc>
          <w:tcPr>
            <w:tcW w:w="1276" w:type="dxa"/>
            <w:tcBorders>
              <w:top w:val="nil"/>
              <w:left w:val="single" w:sz="8" w:space="0" w:color="auto"/>
              <w:bottom w:val="single" w:sz="8" w:space="0" w:color="auto"/>
              <w:right w:val="single" w:sz="8" w:space="0" w:color="auto"/>
            </w:tcBorders>
          </w:tcPr>
          <w:p w:rsidR="007F107E" w:rsidRPr="002405FA" w:rsidRDefault="007F107E" w:rsidP="009366CE">
            <w:pPr>
              <w:pStyle w:val="Tabletext"/>
              <w:spacing w:before="0" w:after="0"/>
              <w:rPr>
                <w:lang w:val="sv-SE" w:eastAsia="ko-KR"/>
              </w:rPr>
            </w:pPr>
          </w:p>
        </w:tc>
      </w:tr>
      <w:tr w:rsidR="007F107E" w:rsidRPr="00472E66" w:rsidTr="009366CE">
        <w:trPr>
          <w:trHeight w:val="199"/>
        </w:trPr>
        <w:tc>
          <w:tcPr>
            <w:tcW w:w="1858" w:type="dxa"/>
            <w:tcBorders>
              <w:top w:val="nil"/>
              <w:left w:val="single" w:sz="8" w:space="0" w:color="auto"/>
              <w:bottom w:val="single" w:sz="8" w:space="0" w:color="auto"/>
              <w:right w:val="nil"/>
            </w:tcBorders>
            <w:shd w:val="clear" w:color="auto" w:fill="auto"/>
            <w:vAlign w:val="center"/>
          </w:tcPr>
          <w:p w:rsidR="007F107E" w:rsidRPr="00EF06EC" w:rsidRDefault="007F107E" w:rsidP="009366CE">
            <w:pPr>
              <w:pStyle w:val="Tabletext"/>
              <w:spacing w:before="0" w:after="0"/>
              <w:jc w:val="center"/>
              <w:rPr>
                <w:b/>
                <w:lang w:val="sv-SE" w:eastAsia="ko-KR"/>
              </w:rPr>
            </w:pPr>
            <w:r w:rsidRPr="00EF06EC">
              <w:rPr>
                <w:b/>
                <w:lang w:val="sv-SE" w:eastAsia="ko-KR"/>
              </w:rPr>
              <w:t>MNE</w:t>
            </w:r>
          </w:p>
        </w:tc>
        <w:tc>
          <w:tcPr>
            <w:tcW w:w="2126" w:type="dxa"/>
            <w:tcBorders>
              <w:top w:val="nil"/>
              <w:left w:val="single" w:sz="8" w:space="0" w:color="auto"/>
              <w:bottom w:val="single" w:sz="8" w:space="0" w:color="auto"/>
              <w:right w:val="single" w:sz="8" w:space="0" w:color="auto"/>
            </w:tcBorders>
            <w:shd w:val="clear" w:color="auto" w:fill="auto"/>
            <w:noWrap/>
            <w:vAlign w:val="center"/>
          </w:tcPr>
          <w:p w:rsidR="007F107E" w:rsidRPr="002405FA" w:rsidRDefault="007F107E" w:rsidP="009366CE">
            <w:pPr>
              <w:pStyle w:val="Tabletext"/>
              <w:spacing w:before="0" w:after="0"/>
              <w:jc w:val="center"/>
              <w:rPr>
                <w:lang w:val="sv-SE" w:eastAsia="ko-KR"/>
              </w:rPr>
            </w:pPr>
          </w:p>
        </w:tc>
        <w:tc>
          <w:tcPr>
            <w:tcW w:w="1276" w:type="dxa"/>
            <w:tcBorders>
              <w:top w:val="nil"/>
              <w:left w:val="single" w:sz="8" w:space="0" w:color="auto"/>
              <w:bottom w:val="single" w:sz="8" w:space="0" w:color="auto"/>
              <w:right w:val="single" w:sz="8" w:space="0" w:color="auto"/>
            </w:tcBorders>
          </w:tcPr>
          <w:p w:rsidR="007F107E" w:rsidRPr="002405FA" w:rsidRDefault="007F107E" w:rsidP="009366CE">
            <w:pPr>
              <w:pStyle w:val="Tabletext"/>
              <w:spacing w:before="0" w:after="0"/>
              <w:rPr>
                <w:lang w:val="sv-SE" w:eastAsia="ko-KR"/>
              </w:rPr>
            </w:pPr>
          </w:p>
        </w:tc>
      </w:tr>
      <w:tr w:rsidR="007F107E" w:rsidRPr="00472E66" w:rsidTr="009366CE">
        <w:trPr>
          <w:trHeight w:val="199"/>
        </w:trPr>
        <w:tc>
          <w:tcPr>
            <w:tcW w:w="1858" w:type="dxa"/>
            <w:tcBorders>
              <w:top w:val="nil"/>
              <w:left w:val="single" w:sz="8" w:space="0" w:color="auto"/>
              <w:bottom w:val="single" w:sz="8" w:space="0" w:color="auto"/>
              <w:right w:val="nil"/>
            </w:tcBorders>
            <w:shd w:val="clear" w:color="auto" w:fill="auto"/>
            <w:vAlign w:val="center"/>
          </w:tcPr>
          <w:p w:rsidR="007F107E" w:rsidRPr="00EF06EC" w:rsidRDefault="007F107E" w:rsidP="009366CE">
            <w:pPr>
              <w:pStyle w:val="Tabletext"/>
              <w:spacing w:before="0" w:after="0"/>
              <w:jc w:val="center"/>
              <w:rPr>
                <w:b/>
                <w:lang w:val="sv-SE" w:eastAsia="ko-KR"/>
              </w:rPr>
            </w:pPr>
            <w:r w:rsidRPr="00EF06EC">
              <w:rPr>
                <w:b/>
                <w:lang w:val="sv-SE" w:eastAsia="ko-KR"/>
              </w:rPr>
              <w:t>NOR</w:t>
            </w:r>
          </w:p>
        </w:tc>
        <w:tc>
          <w:tcPr>
            <w:tcW w:w="2126" w:type="dxa"/>
            <w:tcBorders>
              <w:top w:val="nil"/>
              <w:left w:val="single" w:sz="8" w:space="0" w:color="auto"/>
              <w:bottom w:val="single" w:sz="8" w:space="0" w:color="auto"/>
              <w:right w:val="single" w:sz="8" w:space="0" w:color="auto"/>
            </w:tcBorders>
            <w:shd w:val="clear" w:color="auto" w:fill="auto"/>
            <w:noWrap/>
            <w:vAlign w:val="center"/>
          </w:tcPr>
          <w:p w:rsidR="007F107E" w:rsidRPr="002405FA" w:rsidRDefault="00EF06EC" w:rsidP="009366CE">
            <w:pPr>
              <w:pStyle w:val="Tabletext"/>
              <w:spacing w:before="0" w:after="0"/>
              <w:jc w:val="center"/>
              <w:rPr>
                <w:lang w:val="sv-SE" w:eastAsia="ko-KR"/>
              </w:rPr>
            </w:pPr>
            <w:r>
              <w:rPr>
                <w:lang w:val="sv-SE" w:eastAsia="ko-KR"/>
              </w:rPr>
              <w:t>是</w:t>
            </w:r>
          </w:p>
        </w:tc>
        <w:tc>
          <w:tcPr>
            <w:tcW w:w="1276" w:type="dxa"/>
            <w:tcBorders>
              <w:top w:val="nil"/>
              <w:left w:val="single" w:sz="8" w:space="0" w:color="auto"/>
              <w:bottom w:val="single" w:sz="8" w:space="0" w:color="auto"/>
              <w:right w:val="single" w:sz="8" w:space="0" w:color="auto"/>
            </w:tcBorders>
          </w:tcPr>
          <w:p w:rsidR="007F107E" w:rsidRPr="002405FA" w:rsidRDefault="007F107E" w:rsidP="009366CE">
            <w:pPr>
              <w:pStyle w:val="Tabletext"/>
              <w:spacing w:before="0" w:after="0"/>
              <w:rPr>
                <w:lang w:val="sv-SE" w:eastAsia="ko-KR"/>
              </w:rPr>
            </w:pPr>
          </w:p>
        </w:tc>
      </w:tr>
      <w:tr w:rsidR="007F107E" w:rsidRPr="00472E66" w:rsidTr="009366CE">
        <w:trPr>
          <w:trHeight w:val="199"/>
        </w:trPr>
        <w:tc>
          <w:tcPr>
            <w:tcW w:w="1858" w:type="dxa"/>
            <w:tcBorders>
              <w:top w:val="nil"/>
              <w:left w:val="single" w:sz="8" w:space="0" w:color="auto"/>
              <w:bottom w:val="single" w:sz="8" w:space="0" w:color="auto"/>
              <w:right w:val="nil"/>
            </w:tcBorders>
            <w:shd w:val="clear" w:color="auto" w:fill="auto"/>
            <w:vAlign w:val="center"/>
          </w:tcPr>
          <w:p w:rsidR="007F107E" w:rsidRPr="00EF06EC" w:rsidRDefault="007F107E" w:rsidP="009366CE">
            <w:pPr>
              <w:pStyle w:val="Tabletext"/>
              <w:spacing w:before="0" w:after="0"/>
              <w:jc w:val="center"/>
              <w:rPr>
                <w:b/>
                <w:lang w:val="sv-SE" w:eastAsia="ko-KR"/>
              </w:rPr>
            </w:pPr>
            <w:r w:rsidRPr="00EF06EC">
              <w:rPr>
                <w:b/>
                <w:lang w:val="sv-SE" w:eastAsia="ko-KR"/>
              </w:rPr>
              <w:t>POL</w:t>
            </w:r>
          </w:p>
        </w:tc>
        <w:tc>
          <w:tcPr>
            <w:tcW w:w="2126" w:type="dxa"/>
            <w:tcBorders>
              <w:top w:val="nil"/>
              <w:left w:val="single" w:sz="8" w:space="0" w:color="auto"/>
              <w:bottom w:val="single" w:sz="8" w:space="0" w:color="auto"/>
              <w:right w:val="single" w:sz="8" w:space="0" w:color="auto"/>
            </w:tcBorders>
            <w:shd w:val="clear" w:color="auto" w:fill="auto"/>
            <w:noWrap/>
            <w:vAlign w:val="center"/>
          </w:tcPr>
          <w:p w:rsidR="007F107E" w:rsidRPr="002405FA" w:rsidRDefault="007F107E" w:rsidP="009366CE">
            <w:pPr>
              <w:pStyle w:val="Tabletext"/>
              <w:spacing w:before="0" w:after="0"/>
              <w:jc w:val="center"/>
              <w:rPr>
                <w:lang w:val="sv-SE" w:eastAsia="ko-KR"/>
              </w:rPr>
            </w:pPr>
          </w:p>
        </w:tc>
        <w:tc>
          <w:tcPr>
            <w:tcW w:w="1276" w:type="dxa"/>
            <w:tcBorders>
              <w:top w:val="nil"/>
              <w:left w:val="single" w:sz="8" w:space="0" w:color="auto"/>
              <w:bottom w:val="single" w:sz="8" w:space="0" w:color="auto"/>
              <w:right w:val="single" w:sz="8" w:space="0" w:color="auto"/>
            </w:tcBorders>
          </w:tcPr>
          <w:p w:rsidR="007F107E" w:rsidRPr="002405FA" w:rsidRDefault="007F107E" w:rsidP="009366CE">
            <w:pPr>
              <w:pStyle w:val="Tabletext"/>
              <w:spacing w:before="0" w:after="0"/>
              <w:rPr>
                <w:lang w:val="sv-SE" w:eastAsia="ko-KR"/>
              </w:rPr>
            </w:pPr>
          </w:p>
        </w:tc>
      </w:tr>
      <w:tr w:rsidR="007F107E" w:rsidRPr="00472E66" w:rsidTr="009366CE">
        <w:trPr>
          <w:trHeight w:val="199"/>
        </w:trPr>
        <w:tc>
          <w:tcPr>
            <w:tcW w:w="1858" w:type="dxa"/>
            <w:tcBorders>
              <w:top w:val="nil"/>
              <w:left w:val="single" w:sz="8" w:space="0" w:color="auto"/>
              <w:bottom w:val="single" w:sz="8" w:space="0" w:color="auto"/>
              <w:right w:val="nil"/>
            </w:tcBorders>
            <w:shd w:val="clear" w:color="auto" w:fill="auto"/>
            <w:vAlign w:val="center"/>
          </w:tcPr>
          <w:p w:rsidR="007F107E" w:rsidRPr="00EF06EC" w:rsidRDefault="007F107E" w:rsidP="009366CE">
            <w:pPr>
              <w:pStyle w:val="Tabletext"/>
              <w:spacing w:before="0" w:after="0"/>
              <w:jc w:val="center"/>
              <w:rPr>
                <w:b/>
                <w:lang w:val="sv-SE" w:eastAsia="ko-KR"/>
              </w:rPr>
            </w:pPr>
            <w:r w:rsidRPr="00EF06EC">
              <w:rPr>
                <w:b/>
                <w:lang w:val="sv-SE" w:eastAsia="ko-KR"/>
              </w:rPr>
              <w:t>POR</w:t>
            </w:r>
          </w:p>
        </w:tc>
        <w:tc>
          <w:tcPr>
            <w:tcW w:w="2126" w:type="dxa"/>
            <w:tcBorders>
              <w:top w:val="nil"/>
              <w:left w:val="single" w:sz="8" w:space="0" w:color="auto"/>
              <w:bottom w:val="single" w:sz="8" w:space="0" w:color="auto"/>
              <w:right w:val="single" w:sz="8" w:space="0" w:color="auto"/>
            </w:tcBorders>
            <w:shd w:val="clear" w:color="auto" w:fill="auto"/>
            <w:noWrap/>
            <w:vAlign w:val="center"/>
          </w:tcPr>
          <w:p w:rsidR="007F107E" w:rsidRPr="002405FA" w:rsidRDefault="00EF06EC" w:rsidP="009366CE">
            <w:pPr>
              <w:pStyle w:val="Tabletext"/>
              <w:spacing w:before="0" w:after="0"/>
              <w:jc w:val="center"/>
              <w:rPr>
                <w:lang w:val="sv-SE" w:eastAsia="ko-KR"/>
              </w:rPr>
            </w:pPr>
            <w:r>
              <w:rPr>
                <w:lang w:val="sv-SE" w:eastAsia="ko-KR"/>
              </w:rPr>
              <w:t>是</w:t>
            </w:r>
          </w:p>
        </w:tc>
        <w:tc>
          <w:tcPr>
            <w:tcW w:w="1276" w:type="dxa"/>
            <w:tcBorders>
              <w:top w:val="nil"/>
              <w:left w:val="single" w:sz="8" w:space="0" w:color="auto"/>
              <w:bottom w:val="single" w:sz="8" w:space="0" w:color="auto"/>
              <w:right w:val="single" w:sz="8" w:space="0" w:color="auto"/>
            </w:tcBorders>
          </w:tcPr>
          <w:p w:rsidR="007F107E" w:rsidRPr="002405FA" w:rsidRDefault="007F107E" w:rsidP="009366CE">
            <w:pPr>
              <w:pStyle w:val="Tabletext"/>
              <w:spacing w:before="0" w:after="0"/>
              <w:rPr>
                <w:lang w:val="sv-SE" w:eastAsia="ko-KR"/>
              </w:rPr>
            </w:pPr>
          </w:p>
        </w:tc>
      </w:tr>
      <w:tr w:rsidR="007F107E" w:rsidRPr="00472E66" w:rsidTr="009366CE">
        <w:trPr>
          <w:trHeight w:val="199"/>
        </w:trPr>
        <w:tc>
          <w:tcPr>
            <w:tcW w:w="1858" w:type="dxa"/>
            <w:tcBorders>
              <w:top w:val="nil"/>
              <w:left w:val="single" w:sz="8" w:space="0" w:color="auto"/>
              <w:bottom w:val="single" w:sz="8" w:space="0" w:color="auto"/>
              <w:right w:val="nil"/>
            </w:tcBorders>
            <w:shd w:val="clear" w:color="auto" w:fill="auto"/>
            <w:vAlign w:val="center"/>
          </w:tcPr>
          <w:p w:rsidR="007F107E" w:rsidRPr="00EF06EC" w:rsidRDefault="007F107E" w:rsidP="009366CE">
            <w:pPr>
              <w:pStyle w:val="Tabletext"/>
              <w:spacing w:before="0" w:after="0"/>
              <w:jc w:val="center"/>
              <w:rPr>
                <w:b/>
                <w:lang w:val="sv-SE" w:eastAsia="ko-KR"/>
              </w:rPr>
            </w:pPr>
            <w:r w:rsidRPr="00EF06EC">
              <w:rPr>
                <w:b/>
                <w:lang w:val="sv-SE" w:eastAsia="ko-KR"/>
              </w:rPr>
              <w:t>ROU</w:t>
            </w:r>
          </w:p>
        </w:tc>
        <w:tc>
          <w:tcPr>
            <w:tcW w:w="2126" w:type="dxa"/>
            <w:tcBorders>
              <w:top w:val="nil"/>
              <w:left w:val="single" w:sz="8" w:space="0" w:color="auto"/>
              <w:bottom w:val="single" w:sz="8" w:space="0" w:color="auto"/>
              <w:right w:val="single" w:sz="8" w:space="0" w:color="auto"/>
            </w:tcBorders>
            <w:shd w:val="clear" w:color="auto" w:fill="auto"/>
            <w:noWrap/>
            <w:vAlign w:val="center"/>
          </w:tcPr>
          <w:p w:rsidR="007F107E" w:rsidRPr="002405FA" w:rsidRDefault="00EF06EC" w:rsidP="009366CE">
            <w:pPr>
              <w:pStyle w:val="Tabletext"/>
              <w:spacing w:before="0" w:after="0"/>
              <w:jc w:val="center"/>
              <w:rPr>
                <w:lang w:val="sv-SE" w:eastAsia="ko-KR"/>
              </w:rPr>
            </w:pPr>
            <w:r>
              <w:rPr>
                <w:lang w:val="sv-SE" w:eastAsia="ko-KR"/>
              </w:rPr>
              <w:t>是</w:t>
            </w:r>
          </w:p>
        </w:tc>
        <w:tc>
          <w:tcPr>
            <w:tcW w:w="1276" w:type="dxa"/>
            <w:tcBorders>
              <w:top w:val="nil"/>
              <w:left w:val="single" w:sz="8" w:space="0" w:color="auto"/>
              <w:bottom w:val="single" w:sz="8" w:space="0" w:color="auto"/>
              <w:right w:val="single" w:sz="8" w:space="0" w:color="auto"/>
            </w:tcBorders>
          </w:tcPr>
          <w:p w:rsidR="007F107E" w:rsidRPr="002405FA" w:rsidRDefault="007F107E" w:rsidP="009366CE">
            <w:pPr>
              <w:pStyle w:val="Tabletext"/>
              <w:spacing w:before="0" w:after="0"/>
              <w:rPr>
                <w:lang w:val="sv-SE" w:eastAsia="ko-KR"/>
              </w:rPr>
            </w:pPr>
          </w:p>
        </w:tc>
      </w:tr>
      <w:tr w:rsidR="007F107E" w:rsidRPr="00472E66" w:rsidTr="009366CE">
        <w:trPr>
          <w:trHeight w:val="199"/>
        </w:trPr>
        <w:tc>
          <w:tcPr>
            <w:tcW w:w="1858" w:type="dxa"/>
            <w:tcBorders>
              <w:top w:val="nil"/>
              <w:left w:val="single" w:sz="8" w:space="0" w:color="auto"/>
              <w:bottom w:val="single" w:sz="8" w:space="0" w:color="auto"/>
              <w:right w:val="nil"/>
            </w:tcBorders>
            <w:shd w:val="clear" w:color="auto" w:fill="auto"/>
            <w:vAlign w:val="center"/>
          </w:tcPr>
          <w:p w:rsidR="007F107E" w:rsidRPr="00EF06EC" w:rsidRDefault="007F107E" w:rsidP="009366CE">
            <w:pPr>
              <w:pStyle w:val="Tabletext"/>
              <w:spacing w:before="0" w:after="0"/>
              <w:jc w:val="center"/>
              <w:rPr>
                <w:b/>
                <w:lang w:val="sv-SE" w:eastAsia="ko-KR"/>
              </w:rPr>
            </w:pPr>
            <w:r w:rsidRPr="00EF06EC">
              <w:rPr>
                <w:b/>
                <w:lang w:val="sv-SE" w:eastAsia="ko-KR"/>
              </w:rPr>
              <w:t>RUS</w:t>
            </w:r>
          </w:p>
        </w:tc>
        <w:tc>
          <w:tcPr>
            <w:tcW w:w="2126" w:type="dxa"/>
            <w:tcBorders>
              <w:top w:val="nil"/>
              <w:left w:val="single" w:sz="8" w:space="0" w:color="auto"/>
              <w:bottom w:val="single" w:sz="8" w:space="0" w:color="auto"/>
              <w:right w:val="single" w:sz="8" w:space="0" w:color="auto"/>
            </w:tcBorders>
            <w:shd w:val="clear" w:color="auto" w:fill="auto"/>
            <w:noWrap/>
            <w:vAlign w:val="center"/>
          </w:tcPr>
          <w:p w:rsidR="007F107E" w:rsidRPr="002405FA" w:rsidRDefault="007F107E" w:rsidP="009366CE">
            <w:pPr>
              <w:pStyle w:val="Tabletext"/>
              <w:spacing w:before="0" w:after="0"/>
              <w:jc w:val="center"/>
              <w:rPr>
                <w:lang w:val="sv-SE" w:eastAsia="ko-KR"/>
              </w:rPr>
            </w:pPr>
          </w:p>
        </w:tc>
        <w:tc>
          <w:tcPr>
            <w:tcW w:w="1276" w:type="dxa"/>
            <w:tcBorders>
              <w:top w:val="nil"/>
              <w:left w:val="single" w:sz="8" w:space="0" w:color="auto"/>
              <w:bottom w:val="single" w:sz="8" w:space="0" w:color="auto"/>
              <w:right w:val="single" w:sz="8" w:space="0" w:color="auto"/>
            </w:tcBorders>
          </w:tcPr>
          <w:p w:rsidR="007F107E" w:rsidRPr="002405FA" w:rsidRDefault="007F107E" w:rsidP="009366CE">
            <w:pPr>
              <w:pStyle w:val="Tabletext"/>
              <w:spacing w:before="0" w:after="0"/>
              <w:rPr>
                <w:lang w:val="sv-SE" w:eastAsia="ko-KR"/>
              </w:rPr>
            </w:pPr>
          </w:p>
        </w:tc>
      </w:tr>
      <w:tr w:rsidR="007F107E" w:rsidRPr="00472E66" w:rsidTr="009366CE">
        <w:trPr>
          <w:trHeight w:val="199"/>
        </w:trPr>
        <w:tc>
          <w:tcPr>
            <w:tcW w:w="1858" w:type="dxa"/>
            <w:tcBorders>
              <w:top w:val="nil"/>
              <w:left w:val="single" w:sz="8" w:space="0" w:color="auto"/>
              <w:bottom w:val="single" w:sz="8" w:space="0" w:color="auto"/>
              <w:right w:val="nil"/>
            </w:tcBorders>
            <w:shd w:val="clear" w:color="auto" w:fill="auto"/>
            <w:vAlign w:val="center"/>
          </w:tcPr>
          <w:p w:rsidR="007F107E" w:rsidRPr="00EF06EC" w:rsidRDefault="007F107E" w:rsidP="009366CE">
            <w:pPr>
              <w:pStyle w:val="Tabletext"/>
              <w:spacing w:before="0" w:after="0"/>
              <w:jc w:val="center"/>
              <w:rPr>
                <w:b/>
                <w:lang w:val="sv-SE" w:eastAsia="ko-KR"/>
              </w:rPr>
            </w:pPr>
            <w:r w:rsidRPr="00EF06EC">
              <w:rPr>
                <w:b/>
                <w:lang w:val="sv-SE" w:eastAsia="ko-KR"/>
              </w:rPr>
              <w:t>S</w:t>
            </w:r>
          </w:p>
        </w:tc>
        <w:tc>
          <w:tcPr>
            <w:tcW w:w="2126" w:type="dxa"/>
            <w:tcBorders>
              <w:top w:val="nil"/>
              <w:left w:val="single" w:sz="8" w:space="0" w:color="auto"/>
              <w:bottom w:val="single" w:sz="8" w:space="0" w:color="auto"/>
              <w:right w:val="single" w:sz="8" w:space="0" w:color="auto"/>
            </w:tcBorders>
            <w:shd w:val="clear" w:color="auto" w:fill="auto"/>
            <w:noWrap/>
            <w:vAlign w:val="center"/>
          </w:tcPr>
          <w:p w:rsidR="007F107E" w:rsidRPr="002405FA" w:rsidRDefault="007F107E" w:rsidP="009366CE">
            <w:pPr>
              <w:pStyle w:val="Tabletext"/>
              <w:spacing w:before="0" w:after="0"/>
              <w:jc w:val="center"/>
              <w:rPr>
                <w:lang w:val="sv-SE" w:eastAsia="ko-KR"/>
              </w:rPr>
            </w:pPr>
          </w:p>
        </w:tc>
        <w:tc>
          <w:tcPr>
            <w:tcW w:w="1276" w:type="dxa"/>
            <w:tcBorders>
              <w:top w:val="nil"/>
              <w:left w:val="single" w:sz="8" w:space="0" w:color="auto"/>
              <w:bottom w:val="single" w:sz="8" w:space="0" w:color="auto"/>
              <w:right w:val="single" w:sz="8" w:space="0" w:color="auto"/>
            </w:tcBorders>
          </w:tcPr>
          <w:p w:rsidR="007F107E" w:rsidRPr="002405FA" w:rsidRDefault="007F107E" w:rsidP="009366CE">
            <w:pPr>
              <w:pStyle w:val="Tabletext"/>
              <w:spacing w:before="0" w:after="0"/>
              <w:rPr>
                <w:lang w:val="sv-SE" w:eastAsia="ko-KR"/>
              </w:rPr>
            </w:pPr>
          </w:p>
        </w:tc>
      </w:tr>
      <w:tr w:rsidR="007F107E" w:rsidRPr="00472E66" w:rsidTr="009366CE">
        <w:trPr>
          <w:trHeight w:val="199"/>
        </w:trPr>
        <w:tc>
          <w:tcPr>
            <w:tcW w:w="1858" w:type="dxa"/>
            <w:tcBorders>
              <w:top w:val="nil"/>
              <w:left w:val="single" w:sz="8" w:space="0" w:color="auto"/>
              <w:bottom w:val="single" w:sz="8" w:space="0" w:color="auto"/>
              <w:right w:val="nil"/>
            </w:tcBorders>
            <w:shd w:val="clear" w:color="auto" w:fill="auto"/>
            <w:vAlign w:val="center"/>
          </w:tcPr>
          <w:p w:rsidR="007F107E" w:rsidRPr="00EF06EC" w:rsidRDefault="007F107E" w:rsidP="009366CE">
            <w:pPr>
              <w:pStyle w:val="Tabletext"/>
              <w:spacing w:before="0" w:after="0"/>
              <w:jc w:val="center"/>
              <w:rPr>
                <w:b/>
                <w:lang w:val="sv-SE" w:eastAsia="ko-KR"/>
              </w:rPr>
            </w:pPr>
            <w:r w:rsidRPr="00EF06EC">
              <w:rPr>
                <w:b/>
                <w:lang w:val="sv-SE" w:eastAsia="ko-KR"/>
              </w:rPr>
              <w:t>SMR</w:t>
            </w:r>
          </w:p>
        </w:tc>
        <w:tc>
          <w:tcPr>
            <w:tcW w:w="2126" w:type="dxa"/>
            <w:tcBorders>
              <w:top w:val="nil"/>
              <w:left w:val="single" w:sz="8" w:space="0" w:color="auto"/>
              <w:bottom w:val="single" w:sz="8" w:space="0" w:color="auto"/>
              <w:right w:val="single" w:sz="8" w:space="0" w:color="auto"/>
            </w:tcBorders>
            <w:shd w:val="clear" w:color="auto" w:fill="auto"/>
            <w:noWrap/>
            <w:vAlign w:val="center"/>
          </w:tcPr>
          <w:p w:rsidR="007F107E" w:rsidRPr="002405FA" w:rsidRDefault="007F107E" w:rsidP="009366CE">
            <w:pPr>
              <w:pStyle w:val="Tabletext"/>
              <w:spacing w:before="0" w:after="0"/>
              <w:jc w:val="center"/>
              <w:rPr>
                <w:lang w:val="sv-SE" w:eastAsia="ko-KR"/>
              </w:rPr>
            </w:pPr>
          </w:p>
        </w:tc>
        <w:tc>
          <w:tcPr>
            <w:tcW w:w="1276" w:type="dxa"/>
            <w:tcBorders>
              <w:top w:val="nil"/>
              <w:left w:val="single" w:sz="8" w:space="0" w:color="auto"/>
              <w:bottom w:val="single" w:sz="8" w:space="0" w:color="auto"/>
              <w:right w:val="single" w:sz="8" w:space="0" w:color="auto"/>
            </w:tcBorders>
          </w:tcPr>
          <w:p w:rsidR="007F107E" w:rsidRPr="002405FA" w:rsidRDefault="007F107E" w:rsidP="009366CE">
            <w:pPr>
              <w:pStyle w:val="Tabletext"/>
              <w:spacing w:before="0" w:after="0"/>
              <w:rPr>
                <w:lang w:val="sv-SE" w:eastAsia="ko-KR"/>
              </w:rPr>
            </w:pPr>
          </w:p>
        </w:tc>
      </w:tr>
      <w:tr w:rsidR="007F107E" w:rsidRPr="00472E66" w:rsidTr="009366CE">
        <w:trPr>
          <w:trHeight w:val="199"/>
        </w:trPr>
        <w:tc>
          <w:tcPr>
            <w:tcW w:w="1858" w:type="dxa"/>
            <w:tcBorders>
              <w:top w:val="nil"/>
              <w:left w:val="single" w:sz="8" w:space="0" w:color="auto"/>
              <w:bottom w:val="single" w:sz="8" w:space="0" w:color="auto"/>
              <w:right w:val="nil"/>
            </w:tcBorders>
            <w:shd w:val="clear" w:color="auto" w:fill="auto"/>
            <w:vAlign w:val="center"/>
          </w:tcPr>
          <w:p w:rsidR="007F107E" w:rsidRPr="00EF06EC" w:rsidRDefault="007F107E" w:rsidP="009366CE">
            <w:pPr>
              <w:pStyle w:val="Tabletext"/>
              <w:spacing w:before="0" w:after="0"/>
              <w:jc w:val="center"/>
              <w:rPr>
                <w:b/>
                <w:lang w:val="sv-SE" w:eastAsia="ko-KR"/>
              </w:rPr>
            </w:pPr>
            <w:r w:rsidRPr="00EF06EC">
              <w:rPr>
                <w:b/>
                <w:lang w:val="sv-SE" w:eastAsia="ko-KR"/>
              </w:rPr>
              <w:t>SRB</w:t>
            </w:r>
          </w:p>
        </w:tc>
        <w:tc>
          <w:tcPr>
            <w:tcW w:w="2126" w:type="dxa"/>
            <w:tcBorders>
              <w:top w:val="nil"/>
              <w:left w:val="single" w:sz="8" w:space="0" w:color="auto"/>
              <w:bottom w:val="single" w:sz="8" w:space="0" w:color="auto"/>
              <w:right w:val="single" w:sz="8" w:space="0" w:color="auto"/>
            </w:tcBorders>
            <w:shd w:val="clear" w:color="auto" w:fill="auto"/>
            <w:noWrap/>
            <w:vAlign w:val="center"/>
          </w:tcPr>
          <w:p w:rsidR="007F107E" w:rsidRPr="002405FA" w:rsidRDefault="007F107E" w:rsidP="009366CE">
            <w:pPr>
              <w:pStyle w:val="Tabletext"/>
              <w:spacing w:before="0" w:after="0"/>
              <w:jc w:val="center"/>
              <w:rPr>
                <w:lang w:val="sv-SE" w:eastAsia="ko-KR"/>
              </w:rPr>
            </w:pPr>
          </w:p>
        </w:tc>
        <w:tc>
          <w:tcPr>
            <w:tcW w:w="1276" w:type="dxa"/>
            <w:tcBorders>
              <w:top w:val="nil"/>
              <w:left w:val="single" w:sz="8" w:space="0" w:color="auto"/>
              <w:bottom w:val="single" w:sz="8" w:space="0" w:color="auto"/>
              <w:right w:val="single" w:sz="8" w:space="0" w:color="auto"/>
            </w:tcBorders>
          </w:tcPr>
          <w:p w:rsidR="007F107E" w:rsidRPr="002405FA" w:rsidRDefault="007F107E" w:rsidP="009366CE">
            <w:pPr>
              <w:pStyle w:val="Tabletext"/>
              <w:spacing w:before="0" w:after="0"/>
              <w:rPr>
                <w:lang w:val="sv-SE" w:eastAsia="ko-KR"/>
              </w:rPr>
            </w:pPr>
          </w:p>
        </w:tc>
      </w:tr>
      <w:tr w:rsidR="007F107E" w:rsidRPr="00472E66" w:rsidTr="009366CE">
        <w:trPr>
          <w:trHeight w:val="199"/>
        </w:trPr>
        <w:tc>
          <w:tcPr>
            <w:tcW w:w="1858" w:type="dxa"/>
            <w:tcBorders>
              <w:top w:val="nil"/>
              <w:left w:val="single" w:sz="8" w:space="0" w:color="auto"/>
              <w:bottom w:val="single" w:sz="8" w:space="0" w:color="auto"/>
              <w:right w:val="nil"/>
            </w:tcBorders>
            <w:shd w:val="clear" w:color="auto" w:fill="auto"/>
            <w:vAlign w:val="center"/>
          </w:tcPr>
          <w:p w:rsidR="007F107E" w:rsidRPr="00EF06EC" w:rsidRDefault="007F107E" w:rsidP="009366CE">
            <w:pPr>
              <w:pStyle w:val="Tabletext"/>
              <w:spacing w:before="0" w:after="0"/>
              <w:jc w:val="center"/>
              <w:rPr>
                <w:b/>
                <w:lang w:val="sv-SE" w:eastAsia="ko-KR"/>
              </w:rPr>
            </w:pPr>
            <w:r w:rsidRPr="00EF06EC">
              <w:rPr>
                <w:b/>
                <w:lang w:val="sv-SE" w:eastAsia="ko-KR"/>
              </w:rPr>
              <w:t>SUI</w:t>
            </w:r>
          </w:p>
        </w:tc>
        <w:tc>
          <w:tcPr>
            <w:tcW w:w="2126" w:type="dxa"/>
            <w:tcBorders>
              <w:top w:val="nil"/>
              <w:left w:val="single" w:sz="8" w:space="0" w:color="auto"/>
              <w:bottom w:val="single" w:sz="8" w:space="0" w:color="auto"/>
              <w:right w:val="single" w:sz="8" w:space="0" w:color="auto"/>
            </w:tcBorders>
            <w:shd w:val="clear" w:color="auto" w:fill="auto"/>
            <w:noWrap/>
            <w:vAlign w:val="center"/>
          </w:tcPr>
          <w:p w:rsidR="007F107E" w:rsidRPr="002405FA" w:rsidRDefault="00EF06EC" w:rsidP="009366CE">
            <w:pPr>
              <w:pStyle w:val="Tabletext"/>
              <w:spacing w:before="0" w:after="0"/>
              <w:jc w:val="center"/>
              <w:rPr>
                <w:lang w:val="sv-SE" w:eastAsia="ko-KR"/>
              </w:rPr>
            </w:pPr>
            <w:r>
              <w:rPr>
                <w:lang w:val="sv-SE" w:eastAsia="ko-KR"/>
              </w:rPr>
              <w:t>是</w:t>
            </w:r>
          </w:p>
        </w:tc>
        <w:tc>
          <w:tcPr>
            <w:tcW w:w="1276" w:type="dxa"/>
            <w:tcBorders>
              <w:top w:val="nil"/>
              <w:left w:val="single" w:sz="8" w:space="0" w:color="auto"/>
              <w:bottom w:val="single" w:sz="8" w:space="0" w:color="auto"/>
              <w:right w:val="single" w:sz="8" w:space="0" w:color="auto"/>
            </w:tcBorders>
          </w:tcPr>
          <w:p w:rsidR="007F107E" w:rsidRPr="002405FA" w:rsidRDefault="007F107E" w:rsidP="009366CE">
            <w:pPr>
              <w:pStyle w:val="Tabletext"/>
              <w:spacing w:before="0" w:after="0"/>
              <w:rPr>
                <w:lang w:val="sv-SE" w:eastAsia="ko-KR"/>
              </w:rPr>
            </w:pPr>
          </w:p>
        </w:tc>
      </w:tr>
      <w:tr w:rsidR="007F107E" w:rsidRPr="00472E66" w:rsidTr="009366CE">
        <w:trPr>
          <w:trHeight w:val="199"/>
        </w:trPr>
        <w:tc>
          <w:tcPr>
            <w:tcW w:w="1858" w:type="dxa"/>
            <w:tcBorders>
              <w:top w:val="nil"/>
              <w:left w:val="single" w:sz="8" w:space="0" w:color="auto"/>
              <w:bottom w:val="single" w:sz="8" w:space="0" w:color="auto"/>
              <w:right w:val="nil"/>
            </w:tcBorders>
            <w:shd w:val="clear" w:color="auto" w:fill="auto"/>
            <w:vAlign w:val="center"/>
          </w:tcPr>
          <w:p w:rsidR="007F107E" w:rsidRPr="00EF06EC" w:rsidRDefault="007F107E" w:rsidP="009366CE">
            <w:pPr>
              <w:pStyle w:val="Tabletext"/>
              <w:spacing w:before="0" w:after="0"/>
              <w:jc w:val="center"/>
              <w:rPr>
                <w:b/>
                <w:lang w:val="sv-SE" w:eastAsia="ko-KR"/>
              </w:rPr>
            </w:pPr>
            <w:r w:rsidRPr="00EF06EC">
              <w:rPr>
                <w:b/>
                <w:lang w:val="sv-SE" w:eastAsia="ko-KR"/>
              </w:rPr>
              <w:t>SVK</w:t>
            </w:r>
          </w:p>
        </w:tc>
        <w:tc>
          <w:tcPr>
            <w:tcW w:w="2126" w:type="dxa"/>
            <w:tcBorders>
              <w:top w:val="nil"/>
              <w:left w:val="single" w:sz="8" w:space="0" w:color="auto"/>
              <w:bottom w:val="single" w:sz="8" w:space="0" w:color="auto"/>
              <w:right w:val="single" w:sz="8" w:space="0" w:color="auto"/>
            </w:tcBorders>
            <w:shd w:val="clear" w:color="auto" w:fill="auto"/>
            <w:noWrap/>
            <w:vAlign w:val="center"/>
          </w:tcPr>
          <w:p w:rsidR="007F107E" w:rsidRPr="002405FA" w:rsidRDefault="00EF06EC" w:rsidP="009366CE">
            <w:pPr>
              <w:pStyle w:val="Tabletext"/>
              <w:spacing w:before="0" w:after="0"/>
              <w:jc w:val="center"/>
              <w:rPr>
                <w:lang w:val="sv-SE" w:eastAsia="ko-KR"/>
              </w:rPr>
            </w:pPr>
            <w:r>
              <w:rPr>
                <w:lang w:val="sv-SE" w:eastAsia="ko-KR"/>
              </w:rPr>
              <w:t>是</w:t>
            </w:r>
          </w:p>
        </w:tc>
        <w:tc>
          <w:tcPr>
            <w:tcW w:w="1276" w:type="dxa"/>
            <w:tcBorders>
              <w:top w:val="nil"/>
              <w:left w:val="single" w:sz="8" w:space="0" w:color="auto"/>
              <w:bottom w:val="single" w:sz="8" w:space="0" w:color="auto"/>
              <w:right w:val="single" w:sz="8" w:space="0" w:color="auto"/>
            </w:tcBorders>
          </w:tcPr>
          <w:p w:rsidR="007F107E" w:rsidRPr="002405FA" w:rsidRDefault="007F107E" w:rsidP="009366CE">
            <w:pPr>
              <w:pStyle w:val="Tabletext"/>
              <w:spacing w:before="0" w:after="0"/>
              <w:rPr>
                <w:lang w:val="sv-SE" w:eastAsia="ko-KR"/>
              </w:rPr>
            </w:pPr>
          </w:p>
        </w:tc>
      </w:tr>
      <w:tr w:rsidR="007F107E" w:rsidRPr="00472E66" w:rsidTr="009366CE">
        <w:trPr>
          <w:trHeight w:val="199"/>
        </w:trPr>
        <w:tc>
          <w:tcPr>
            <w:tcW w:w="1858" w:type="dxa"/>
            <w:tcBorders>
              <w:top w:val="nil"/>
              <w:left w:val="single" w:sz="8" w:space="0" w:color="auto"/>
              <w:bottom w:val="single" w:sz="8" w:space="0" w:color="auto"/>
              <w:right w:val="nil"/>
            </w:tcBorders>
            <w:shd w:val="clear" w:color="auto" w:fill="auto"/>
            <w:vAlign w:val="center"/>
          </w:tcPr>
          <w:p w:rsidR="007F107E" w:rsidRPr="00EF06EC" w:rsidRDefault="007F107E" w:rsidP="009366CE">
            <w:pPr>
              <w:pStyle w:val="Tabletext"/>
              <w:spacing w:before="0" w:after="0"/>
              <w:jc w:val="center"/>
              <w:rPr>
                <w:b/>
                <w:lang w:val="sv-SE" w:eastAsia="ko-KR"/>
              </w:rPr>
            </w:pPr>
            <w:r w:rsidRPr="00EF06EC">
              <w:rPr>
                <w:b/>
                <w:lang w:val="sv-SE" w:eastAsia="ko-KR"/>
              </w:rPr>
              <w:t>SVN</w:t>
            </w:r>
          </w:p>
        </w:tc>
        <w:tc>
          <w:tcPr>
            <w:tcW w:w="2126" w:type="dxa"/>
            <w:tcBorders>
              <w:top w:val="nil"/>
              <w:left w:val="single" w:sz="8" w:space="0" w:color="auto"/>
              <w:bottom w:val="single" w:sz="8" w:space="0" w:color="auto"/>
              <w:right w:val="single" w:sz="8" w:space="0" w:color="auto"/>
            </w:tcBorders>
            <w:shd w:val="clear" w:color="auto" w:fill="auto"/>
            <w:noWrap/>
            <w:vAlign w:val="center"/>
          </w:tcPr>
          <w:p w:rsidR="007F107E" w:rsidRPr="002405FA" w:rsidRDefault="007F107E" w:rsidP="009366CE">
            <w:pPr>
              <w:pStyle w:val="Tabletext"/>
              <w:spacing w:before="0" w:after="0"/>
              <w:jc w:val="center"/>
              <w:rPr>
                <w:lang w:val="sv-SE" w:eastAsia="ko-KR"/>
              </w:rPr>
            </w:pPr>
          </w:p>
        </w:tc>
        <w:tc>
          <w:tcPr>
            <w:tcW w:w="1276" w:type="dxa"/>
            <w:tcBorders>
              <w:top w:val="nil"/>
              <w:left w:val="single" w:sz="8" w:space="0" w:color="auto"/>
              <w:bottom w:val="single" w:sz="8" w:space="0" w:color="auto"/>
              <w:right w:val="single" w:sz="8" w:space="0" w:color="auto"/>
            </w:tcBorders>
          </w:tcPr>
          <w:p w:rsidR="007F107E" w:rsidRPr="002405FA" w:rsidRDefault="007F107E" w:rsidP="009366CE">
            <w:pPr>
              <w:pStyle w:val="Tabletext"/>
              <w:spacing w:before="0" w:after="0"/>
              <w:rPr>
                <w:lang w:val="sv-SE" w:eastAsia="ko-KR"/>
              </w:rPr>
            </w:pPr>
          </w:p>
        </w:tc>
      </w:tr>
      <w:tr w:rsidR="007F107E" w:rsidRPr="00472E66" w:rsidTr="009366CE">
        <w:trPr>
          <w:trHeight w:val="199"/>
        </w:trPr>
        <w:tc>
          <w:tcPr>
            <w:tcW w:w="1858" w:type="dxa"/>
            <w:tcBorders>
              <w:top w:val="nil"/>
              <w:left w:val="single" w:sz="8" w:space="0" w:color="auto"/>
              <w:bottom w:val="single" w:sz="8" w:space="0" w:color="auto"/>
              <w:right w:val="nil"/>
            </w:tcBorders>
            <w:shd w:val="clear" w:color="auto" w:fill="auto"/>
            <w:vAlign w:val="center"/>
          </w:tcPr>
          <w:p w:rsidR="007F107E" w:rsidRPr="00EF06EC" w:rsidRDefault="007F107E" w:rsidP="009366CE">
            <w:pPr>
              <w:pStyle w:val="Tabletext"/>
              <w:spacing w:before="0" w:after="0"/>
              <w:jc w:val="center"/>
              <w:rPr>
                <w:b/>
                <w:lang w:val="sv-SE" w:eastAsia="ko-KR"/>
              </w:rPr>
            </w:pPr>
            <w:r w:rsidRPr="00EF06EC">
              <w:rPr>
                <w:b/>
                <w:lang w:val="sv-SE" w:eastAsia="ko-KR"/>
              </w:rPr>
              <w:lastRenderedPageBreak/>
              <w:t>TUR</w:t>
            </w:r>
          </w:p>
        </w:tc>
        <w:tc>
          <w:tcPr>
            <w:tcW w:w="2126" w:type="dxa"/>
            <w:tcBorders>
              <w:top w:val="nil"/>
              <w:left w:val="single" w:sz="8" w:space="0" w:color="auto"/>
              <w:bottom w:val="single" w:sz="8" w:space="0" w:color="auto"/>
              <w:right w:val="single" w:sz="8" w:space="0" w:color="auto"/>
            </w:tcBorders>
            <w:shd w:val="clear" w:color="auto" w:fill="auto"/>
            <w:noWrap/>
            <w:vAlign w:val="center"/>
          </w:tcPr>
          <w:p w:rsidR="007F107E" w:rsidRPr="002405FA" w:rsidRDefault="007F107E" w:rsidP="009366CE">
            <w:pPr>
              <w:pStyle w:val="Tabletext"/>
              <w:spacing w:before="0" w:after="0"/>
              <w:jc w:val="center"/>
              <w:rPr>
                <w:lang w:val="sv-SE" w:eastAsia="ko-KR"/>
              </w:rPr>
            </w:pPr>
          </w:p>
        </w:tc>
        <w:tc>
          <w:tcPr>
            <w:tcW w:w="1276" w:type="dxa"/>
            <w:tcBorders>
              <w:top w:val="nil"/>
              <w:left w:val="single" w:sz="8" w:space="0" w:color="auto"/>
              <w:bottom w:val="single" w:sz="8" w:space="0" w:color="auto"/>
              <w:right w:val="single" w:sz="8" w:space="0" w:color="auto"/>
            </w:tcBorders>
          </w:tcPr>
          <w:p w:rsidR="007F107E" w:rsidRPr="002405FA" w:rsidRDefault="007F107E" w:rsidP="009366CE">
            <w:pPr>
              <w:pStyle w:val="Tabletext"/>
              <w:spacing w:before="0" w:after="0"/>
              <w:rPr>
                <w:lang w:val="sv-SE" w:eastAsia="ko-KR"/>
              </w:rPr>
            </w:pPr>
          </w:p>
        </w:tc>
      </w:tr>
      <w:tr w:rsidR="007F107E" w:rsidRPr="00472E66" w:rsidTr="009366CE">
        <w:trPr>
          <w:trHeight w:val="199"/>
        </w:trPr>
        <w:tc>
          <w:tcPr>
            <w:tcW w:w="1858" w:type="dxa"/>
            <w:tcBorders>
              <w:top w:val="nil"/>
              <w:left w:val="single" w:sz="8" w:space="0" w:color="auto"/>
              <w:bottom w:val="single" w:sz="8" w:space="0" w:color="auto"/>
              <w:right w:val="nil"/>
            </w:tcBorders>
            <w:shd w:val="clear" w:color="auto" w:fill="auto"/>
            <w:vAlign w:val="center"/>
          </w:tcPr>
          <w:p w:rsidR="007F107E" w:rsidRPr="00EF06EC" w:rsidRDefault="007F107E" w:rsidP="009366CE">
            <w:pPr>
              <w:pStyle w:val="Tabletext"/>
              <w:spacing w:before="0" w:after="0"/>
              <w:jc w:val="center"/>
              <w:rPr>
                <w:b/>
                <w:lang w:val="sv-SE" w:eastAsia="ko-KR"/>
              </w:rPr>
            </w:pPr>
            <w:r w:rsidRPr="00EF06EC">
              <w:rPr>
                <w:b/>
                <w:lang w:val="sv-SE" w:eastAsia="ko-KR"/>
              </w:rPr>
              <w:t>UKR</w:t>
            </w:r>
          </w:p>
        </w:tc>
        <w:tc>
          <w:tcPr>
            <w:tcW w:w="2126" w:type="dxa"/>
            <w:tcBorders>
              <w:top w:val="nil"/>
              <w:left w:val="single" w:sz="8" w:space="0" w:color="auto"/>
              <w:bottom w:val="single" w:sz="8" w:space="0" w:color="auto"/>
              <w:right w:val="single" w:sz="8" w:space="0" w:color="auto"/>
            </w:tcBorders>
            <w:shd w:val="clear" w:color="auto" w:fill="auto"/>
            <w:noWrap/>
            <w:vAlign w:val="center"/>
          </w:tcPr>
          <w:p w:rsidR="007F107E" w:rsidRPr="002405FA" w:rsidRDefault="007F107E" w:rsidP="009366CE">
            <w:pPr>
              <w:pStyle w:val="Tabletext"/>
              <w:spacing w:before="0" w:after="0"/>
              <w:jc w:val="center"/>
              <w:rPr>
                <w:lang w:val="sv-SE" w:eastAsia="ko-KR"/>
              </w:rPr>
            </w:pPr>
          </w:p>
        </w:tc>
        <w:tc>
          <w:tcPr>
            <w:tcW w:w="1276" w:type="dxa"/>
            <w:tcBorders>
              <w:top w:val="nil"/>
              <w:left w:val="single" w:sz="8" w:space="0" w:color="auto"/>
              <w:bottom w:val="single" w:sz="8" w:space="0" w:color="auto"/>
              <w:right w:val="single" w:sz="8" w:space="0" w:color="auto"/>
            </w:tcBorders>
          </w:tcPr>
          <w:p w:rsidR="007F107E" w:rsidRPr="002405FA" w:rsidRDefault="007F107E" w:rsidP="009366CE">
            <w:pPr>
              <w:pStyle w:val="Tabletext"/>
              <w:spacing w:before="0" w:after="0"/>
              <w:rPr>
                <w:lang w:val="sv-SE" w:eastAsia="ko-KR"/>
              </w:rPr>
            </w:pPr>
          </w:p>
        </w:tc>
      </w:tr>
      <w:tr w:rsidR="007F107E" w:rsidRPr="00472E66" w:rsidTr="009366CE">
        <w:tc>
          <w:tcPr>
            <w:tcW w:w="1858" w:type="dxa"/>
            <w:tcBorders>
              <w:top w:val="nil"/>
              <w:left w:val="nil"/>
              <w:bottom w:val="single" w:sz="8" w:space="0" w:color="auto"/>
              <w:right w:val="nil"/>
            </w:tcBorders>
            <w:shd w:val="clear" w:color="auto" w:fill="auto"/>
            <w:noWrap/>
            <w:vAlign w:val="center"/>
          </w:tcPr>
          <w:p w:rsidR="007F107E" w:rsidRPr="00EF06EC" w:rsidRDefault="007F107E" w:rsidP="009366CE">
            <w:pPr>
              <w:pStyle w:val="Tabletext"/>
              <w:spacing w:before="0" w:after="0"/>
              <w:jc w:val="center"/>
              <w:rPr>
                <w:b/>
                <w:lang w:val="sv-SE" w:eastAsia="ko-KR"/>
              </w:rPr>
            </w:pPr>
          </w:p>
        </w:tc>
        <w:tc>
          <w:tcPr>
            <w:tcW w:w="2126" w:type="dxa"/>
            <w:tcBorders>
              <w:top w:val="nil"/>
              <w:left w:val="nil"/>
              <w:bottom w:val="single" w:sz="8" w:space="0" w:color="auto"/>
              <w:right w:val="nil"/>
            </w:tcBorders>
            <w:shd w:val="clear" w:color="auto" w:fill="auto"/>
            <w:noWrap/>
            <w:vAlign w:val="center"/>
          </w:tcPr>
          <w:p w:rsidR="007F107E" w:rsidRPr="002405FA" w:rsidRDefault="007F107E" w:rsidP="009366CE">
            <w:pPr>
              <w:pStyle w:val="Tabletext"/>
              <w:spacing w:before="0" w:after="0"/>
              <w:jc w:val="center"/>
              <w:rPr>
                <w:lang w:val="sv-SE" w:eastAsia="ko-KR"/>
              </w:rPr>
            </w:pPr>
          </w:p>
        </w:tc>
        <w:tc>
          <w:tcPr>
            <w:tcW w:w="1276" w:type="dxa"/>
            <w:tcBorders>
              <w:top w:val="nil"/>
              <w:left w:val="nil"/>
              <w:bottom w:val="single" w:sz="8" w:space="0" w:color="auto"/>
              <w:right w:val="nil"/>
            </w:tcBorders>
          </w:tcPr>
          <w:p w:rsidR="007F107E" w:rsidRPr="002405FA" w:rsidRDefault="007F107E" w:rsidP="009366CE">
            <w:pPr>
              <w:pStyle w:val="Tabletext"/>
              <w:spacing w:before="0" w:after="0"/>
              <w:rPr>
                <w:lang w:val="sv-SE" w:eastAsia="ko-KR"/>
              </w:rPr>
            </w:pPr>
          </w:p>
        </w:tc>
      </w:tr>
      <w:tr w:rsidR="007F107E" w:rsidRPr="00472E66" w:rsidTr="009366CE">
        <w:trPr>
          <w:trHeight w:val="240"/>
        </w:trPr>
        <w:tc>
          <w:tcPr>
            <w:tcW w:w="1858" w:type="dxa"/>
            <w:tcBorders>
              <w:top w:val="single" w:sz="8" w:space="0" w:color="auto"/>
              <w:left w:val="single" w:sz="8" w:space="0" w:color="auto"/>
              <w:bottom w:val="single" w:sz="8" w:space="0" w:color="auto"/>
              <w:right w:val="single" w:sz="8" w:space="0" w:color="auto"/>
            </w:tcBorders>
            <w:shd w:val="clear" w:color="auto" w:fill="auto"/>
            <w:noWrap/>
            <w:vAlign w:val="center"/>
          </w:tcPr>
          <w:p w:rsidR="007F107E" w:rsidRPr="00EF06EC" w:rsidRDefault="00EF06EC" w:rsidP="009366CE">
            <w:pPr>
              <w:pStyle w:val="Tabletext"/>
              <w:spacing w:before="0" w:after="0"/>
              <w:jc w:val="center"/>
              <w:rPr>
                <w:b/>
                <w:lang w:val="sv-SE" w:eastAsia="ko-KR"/>
              </w:rPr>
            </w:pPr>
            <w:r>
              <w:rPr>
                <w:rFonts w:hint="eastAsia"/>
                <w:b/>
                <w:lang w:val="sv-SE" w:eastAsia="zh-CN"/>
              </w:rPr>
              <w:t>总计</w:t>
            </w:r>
          </w:p>
        </w:tc>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tcPr>
          <w:p w:rsidR="007F107E" w:rsidRPr="002405FA" w:rsidRDefault="007F107E" w:rsidP="009366CE">
            <w:pPr>
              <w:pStyle w:val="Tabletext"/>
              <w:spacing w:before="0" w:after="0"/>
              <w:jc w:val="center"/>
              <w:rPr>
                <w:lang w:val="sv-SE" w:eastAsia="ko-KR"/>
              </w:rPr>
            </w:pPr>
            <w:r w:rsidRPr="002405FA">
              <w:rPr>
                <w:lang w:val="sv-SE" w:eastAsia="ko-KR"/>
              </w:rPr>
              <w:t>16</w:t>
            </w:r>
          </w:p>
        </w:tc>
        <w:tc>
          <w:tcPr>
            <w:tcW w:w="1276" w:type="dxa"/>
            <w:tcBorders>
              <w:top w:val="single" w:sz="8" w:space="0" w:color="auto"/>
              <w:left w:val="single" w:sz="8" w:space="0" w:color="auto"/>
              <w:bottom w:val="single" w:sz="8" w:space="0" w:color="auto"/>
              <w:right w:val="single" w:sz="8" w:space="0" w:color="auto"/>
            </w:tcBorders>
          </w:tcPr>
          <w:p w:rsidR="007F107E" w:rsidRPr="002405FA" w:rsidRDefault="007F107E" w:rsidP="009366CE">
            <w:pPr>
              <w:pStyle w:val="Tabletext"/>
              <w:spacing w:before="0" w:after="0"/>
              <w:rPr>
                <w:lang w:val="sv-SE" w:eastAsia="ko-KR"/>
              </w:rPr>
            </w:pPr>
          </w:p>
        </w:tc>
      </w:tr>
    </w:tbl>
    <w:p w:rsidR="00F74028" w:rsidRDefault="00F74028" w:rsidP="00F74028">
      <w:pPr>
        <w:pStyle w:val="Reasons"/>
        <w:rPr>
          <w:lang w:eastAsia="zh-CN"/>
        </w:rPr>
      </w:pPr>
    </w:p>
    <w:p w:rsidR="00F74028" w:rsidRDefault="00F74028">
      <w:pPr>
        <w:jc w:val="center"/>
      </w:pPr>
      <w:r>
        <w:t>______________</w:t>
      </w:r>
    </w:p>
    <w:p w:rsidR="00F74028" w:rsidRPr="00027463" w:rsidRDefault="00F74028" w:rsidP="00015C7F">
      <w:pPr>
        <w:rPr>
          <w:sz w:val="2"/>
          <w:szCs w:val="2"/>
          <w:lang w:eastAsia="zh-CN"/>
        </w:rPr>
      </w:pPr>
      <w:bookmarkStart w:id="7" w:name="_GoBack"/>
      <w:bookmarkEnd w:id="7"/>
    </w:p>
    <w:sectPr w:rsidR="00F74028" w:rsidRPr="00027463">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B6F" w:rsidRDefault="00BF3B6F">
      <w:r>
        <w:separator/>
      </w:r>
    </w:p>
  </w:endnote>
  <w:endnote w:type="continuationSeparator" w:id="0">
    <w:p w:rsidR="00BF3B6F" w:rsidRDefault="00BF3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TKaiti">
    <w:altName w:val="Arial Unicode MS"/>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B6F" w:rsidRPr="00DA0469" w:rsidRDefault="00BA4B87">
    <w:pPr>
      <w:pStyle w:val="Footer"/>
      <w:rPr>
        <w:lang w:val="en-US"/>
      </w:rPr>
    </w:pPr>
    <w:r>
      <w:fldChar w:fldCharType="begin"/>
    </w:r>
    <w:r>
      <w:instrText xml:space="preserve"> FILENAME \p  \* MERGEFORMAT </w:instrText>
    </w:r>
    <w:r>
      <w:fldChar w:fldCharType="separate"/>
    </w:r>
    <w:r w:rsidR="00992460">
      <w:t>P:\CHI\SG\CONF-SG\WCIT12\000\016C.docx</w:t>
    </w:r>
    <w:r>
      <w:fldChar w:fldCharType="end"/>
    </w:r>
    <w:r w:rsidR="00BF3B6F">
      <w:rPr>
        <w:rFonts w:hint="eastAsia"/>
        <w:lang w:eastAsia="zh-CN"/>
      </w:rPr>
      <w:t xml:space="preserve"> (333922)</w:t>
    </w:r>
    <w:r w:rsidR="00BF3B6F">
      <w:tab/>
    </w:r>
    <w:r w:rsidR="00BF3B6F">
      <w:fldChar w:fldCharType="begin"/>
    </w:r>
    <w:r w:rsidR="00BF3B6F">
      <w:instrText xml:space="preserve"> SAVEDATE \@ DD.MM.YY </w:instrText>
    </w:r>
    <w:r w:rsidR="00BF3B6F">
      <w:fldChar w:fldCharType="separate"/>
    </w:r>
    <w:r>
      <w:t>24.10.12</w:t>
    </w:r>
    <w:r w:rsidR="00BF3B6F">
      <w:fldChar w:fldCharType="end"/>
    </w:r>
    <w:r w:rsidR="00BF3B6F">
      <w:tab/>
    </w:r>
    <w:r w:rsidR="00BF3B6F">
      <w:fldChar w:fldCharType="begin"/>
    </w:r>
    <w:r w:rsidR="00BF3B6F">
      <w:instrText xml:space="preserve"> PRINTDATE \@ DD.MM.YY </w:instrText>
    </w:r>
    <w:r w:rsidR="00BF3B6F">
      <w:fldChar w:fldCharType="separate"/>
    </w:r>
    <w:r w:rsidR="00992460">
      <w:t>24.10.12</w:t>
    </w:r>
    <w:r w:rsidR="00BF3B6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B6F" w:rsidRPr="003D4280" w:rsidRDefault="00BA4B87" w:rsidP="003D4280">
    <w:pPr>
      <w:pStyle w:val="Footer"/>
      <w:rPr>
        <w:lang w:eastAsia="zh-CN"/>
      </w:rPr>
    </w:pPr>
    <w:r>
      <w:fldChar w:fldCharType="begin"/>
    </w:r>
    <w:r>
      <w:instrText xml:space="preserve"> FILENAME \p  \* MERGEFORMAT </w:instrText>
    </w:r>
    <w:r>
      <w:fldChar w:fldCharType="separate"/>
    </w:r>
    <w:r w:rsidR="00992460">
      <w:t>P:\CHI\SG\CONF-SG\WCIT12\000\016C.docx</w:t>
    </w:r>
    <w:r>
      <w:fldChar w:fldCharType="end"/>
    </w:r>
    <w:r w:rsidR="00BF3B6F">
      <w:rPr>
        <w:rFonts w:hint="eastAsia"/>
        <w:lang w:eastAsia="zh-CN"/>
      </w:rPr>
      <w:t xml:space="preserve"> (333922)</w:t>
    </w:r>
    <w:r w:rsidR="00BF3B6F">
      <w:tab/>
    </w:r>
    <w:r w:rsidR="00BF3B6F">
      <w:fldChar w:fldCharType="begin"/>
    </w:r>
    <w:r w:rsidR="00BF3B6F">
      <w:instrText xml:space="preserve"> SAVEDATE \@ DD.MM.YY </w:instrText>
    </w:r>
    <w:r w:rsidR="00BF3B6F">
      <w:fldChar w:fldCharType="separate"/>
    </w:r>
    <w:r>
      <w:t>24.10.12</w:t>
    </w:r>
    <w:r w:rsidR="00BF3B6F">
      <w:fldChar w:fldCharType="end"/>
    </w:r>
    <w:r w:rsidR="00BF3B6F">
      <w:tab/>
    </w:r>
    <w:r w:rsidR="00BF3B6F">
      <w:fldChar w:fldCharType="begin"/>
    </w:r>
    <w:r w:rsidR="00BF3B6F">
      <w:instrText xml:space="preserve"> PRINTDATE \@ DD.MM.YY </w:instrText>
    </w:r>
    <w:r w:rsidR="00BF3B6F">
      <w:fldChar w:fldCharType="separate"/>
    </w:r>
    <w:r w:rsidR="00992460">
      <w:t>24.10.12</w:t>
    </w:r>
    <w:r w:rsidR="00BF3B6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B6F" w:rsidRDefault="00BF3B6F">
      <w:r>
        <w:t>____________________</w:t>
      </w:r>
    </w:p>
  </w:footnote>
  <w:footnote w:type="continuationSeparator" w:id="0">
    <w:p w:rsidR="00BF3B6F" w:rsidRDefault="00BF3B6F">
      <w:r>
        <w:continuationSeparator/>
      </w:r>
    </w:p>
  </w:footnote>
  <w:footnote w:id="1">
    <w:p w:rsidR="00BF3B6F" w:rsidRDefault="00BF3B6F" w:rsidP="008573EC">
      <w:pPr>
        <w:pStyle w:val="FootnoteText"/>
        <w:rPr>
          <w:lang w:eastAsia="zh-CN"/>
        </w:rPr>
      </w:pPr>
      <w:r>
        <w:rPr>
          <w:rStyle w:val="FootnoteReference"/>
        </w:rPr>
        <w:footnoteRef/>
      </w:r>
      <w:r>
        <w:rPr>
          <w:lang w:eastAsia="zh-CN"/>
        </w:rPr>
        <w:tab/>
      </w:r>
      <w:r>
        <w:rPr>
          <w:sz w:val="20"/>
          <w:lang w:eastAsia="zh-CN"/>
        </w:rPr>
        <w:t>CEPT</w:t>
      </w:r>
      <w:r>
        <w:rPr>
          <w:rFonts w:hint="eastAsia"/>
          <w:sz w:val="20"/>
          <w:lang w:eastAsia="zh-CN"/>
        </w:rPr>
        <w:t>（</w:t>
      </w:r>
      <w:r>
        <w:rPr>
          <w:sz w:val="20"/>
          <w:lang w:eastAsia="zh-CN"/>
        </w:rPr>
        <w:t>欧洲</w:t>
      </w:r>
      <w:r>
        <w:rPr>
          <w:rFonts w:hint="eastAsia"/>
          <w:sz w:val="20"/>
          <w:lang w:eastAsia="zh-CN"/>
        </w:rPr>
        <w:t>）</w:t>
      </w:r>
      <w:r>
        <w:rPr>
          <w:sz w:val="20"/>
          <w:lang w:eastAsia="zh-CN"/>
        </w:rPr>
        <w:t>成员包括：阿尔巴尼亚（共和国）、安道尔（</w:t>
      </w:r>
      <w:r>
        <w:rPr>
          <w:rFonts w:hint="eastAsia"/>
          <w:sz w:val="20"/>
          <w:lang w:eastAsia="zh-CN"/>
        </w:rPr>
        <w:t>公国</w:t>
      </w:r>
      <w:r>
        <w:rPr>
          <w:sz w:val="20"/>
          <w:lang w:eastAsia="zh-CN"/>
        </w:rPr>
        <w:t>）、奥地利、阿塞拜疆共和国、白俄罗斯（共和国）、比利时、波斯尼亚和黑塞哥维那、保加利亚（共和国）、克罗地亚（共和国）、塞浦路斯（共和国）、捷克共和国、丹麦、爱沙尼亚（共和国）、芬兰、法国、格鲁吉亚、德意志（联邦共和国）、希腊、匈牙利（共和国）、冰岛、爱尔兰、意大利、拉脱维亚（共和国）、列支敦士登（</w:t>
      </w:r>
      <w:r>
        <w:rPr>
          <w:rFonts w:hint="eastAsia"/>
          <w:sz w:val="20"/>
          <w:lang w:eastAsia="zh-CN"/>
        </w:rPr>
        <w:t>公</w:t>
      </w:r>
      <w:r>
        <w:rPr>
          <w:sz w:val="20"/>
          <w:lang w:eastAsia="zh-CN"/>
        </w:rPr>
        <w:t>国）、立陶宛（共和国）、卢森堡、马耳他、摩尔多瓦（共和国）、摩纳哥（</w:t>
      </w:r>
      <w:r>
        <w:rPr>
          <w:rFonts w:hint="eastAsia"/>
          <w:sz w:val="20"/>
          <w:lang w:eastAsia="zh-CN"/>
        </w:rPr>
        <w:t>公</w:t>
      </w:r>
      <w:r>
        <w:rPr>
          <w:sz w:val="20"/>
          <w:lang w:eastAsia="zh-CN"/>
        </w:rPr>
        <w:t>国）、黑山（共和国）、荷兰（王国）、挪威、波兰（共和国）、葡萄牙、罗马尼亚、</w:t>
      </w:r>
      <w:r>
        <w:rPr>
          <w:rFonts w:hint="eastAsia"/>
          <w:sz w:val="20"/>
          <w:lang w:eastAsia="zh-CN"/>
        </w:rPr>
        <w:t>俄罗斯联邦</w:t>
      </w:r>
      <w:r>
        <w:rPr>
          <w:sz w:val="20"/>
          <w:lang w:eastAsia="zh-CN"/>
        </w:rPr>
        <w:t>、圣马力诺（共和国）、塞尔维亚（共和国）、斯洛伐克共和国、斯洛文尼亚（共和国）、西班牙、瑞典、瑞士（联邦）、前南斯拉夫马其顿共和国、土耳其、乌克兰、大不列颠和北爱尔兰联合王国、梵蒂冈城国。</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B6F" w:rsidRDefault="00BF3B6F">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A4B87">
      <w:rPr>
        <w:rStyle w:val="PageNumber"/>
        <w:noProof/>
      </w:rPr>
      <w:t>5</w:t>
    </w:r>
    <w:r>
      <w:rPr>
        <w:rStyle w:val="PageNumber"/>
      </w:rPr>
      <w:fldChar w:fldCharType="end"/>
    </w:r>
  </w:p>
  <w:p w:rsidR="00BF3B6F" w:rsidRDefault="00BF3B6F" w:rsidP="00B026CB">
    <w:pPr>
      <w:pStyle w:val="Header"/>
      <w:rPr>
        <w:lang w:val="en-US"/>
      </w:rPr>
    </w:pPr>
    <w:r>
      <w:rPr>
        <w:rStyle w:val="PageNumber"/>
      </w:rPr>
      <w:t>WCIT12/</w:t>
    </w:r>
    <w:r>
      <w:rPr>
        <w:rStyle w:val="PageNumber"/>
        <w:rFonts w:hint="eastAsia"/>
        <w:lang w:eastAsia="zh-CN"/>
      </w:rPr>
      <w:t>16</w:t>
    </w:r>
    <w:r>
      <w:rPr>
        <w:rStyle w:val="PageNumber"/>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A1861"/>
    <w:multiLevelType w:val="hybridMultilevel"/>
    <w:tmpl w:val="9306D186"/>
    <w:lvl w:ilvl="0" w:tplc="82C404CE">
      <w:numFmt w:val="bullet"/>
      <w:lvlText w:val="•"/>
      <w:lvlJc w:val="left"/>
      <w:pPr>
        <w:ind w:left="1140" w:hanging="78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AF2234"/>
    <w:multiLevelType w:val="hybridMultilevel"/>
    <w:tmpl w:val="DC5C78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A162F04"/>
    <w:multiLevelType w:val="hybridMultilevel"/>
    <w:tmpl w:val="332EDD06"/>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nsid w:val="7D173F5A"/>
    <w:multiLevelType w:val="hybridMultilevel"/>
    <w:tmpl w:val="9D5C675A"/>
    <w:lvl w:ilvl="0" w:tplc="17104146">
      <w:start w:val="1"/>
      <w:numFmt w:val="lowerRoman"/>
      <w:lvlText w:val="(%1)"/>
      <w:lvlJc w:val="left"/>
      <w:pPr>
        <w:ind w:left="1004" w:hanging="720"/>
      </w:pPr>
      <w:rPr>
        <w:rFonts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C7F"/>
    <w:rsid w:val="00015C7F"/>
    <w:rsid w:val="00022A90"/>
    <w:rsid w:val="000264C2"/>
    <w:rsid w:val="000273B7"/>
    <w:rsid w:val="00032DE7"/>
    <w:rsid w:val="00037C90"/>
    <w:rsid w:val="00040207"/>
    <w:rsid w:val="00040553"/>
    <w:rsid w:val="00052B09"/>
    <w:rsid w:val="00064476"/>
    <w:rsid w:val="00085C49"/>
    <w:rsid w:val="000B59D7"/>
    <w:rsid w:val="000C09BA"/>
    <w:rsid w:val="000C1F1E"/>
    <w:rsid w:val="000C6AA7"/>
    <w:rsid w:val="000E01B1"/>
    <w:rsid w:val="000E26F6"/>
    <w:rsid w:val="000F61D9"/>
    <w:rsid w:val="001440FA"/>
    <w:rsid w:val="00166859"/>
    <w:rsid w:val="001765EC"/>
    <w:rsid w:val="001853E8"/>
    <w:rsid w:val="001B6360"/>
    <w:rsid w:val="001F1099"/>
    <w:rsid w:val="001F4EA6"/>
    <w:rsid w:val="00214959"/>
    <w:rsid w:val="00216B52"/>
    <w:rsid w:val="002177B4"/>
    <w:rsid w:val="0025502F"/>
    <w:rsid w:val="00281AA6"/>
    <w:rsid w:val="002A4C9C"/>
    <w:rsid w:val="002B509B"/>
    <w:rsid w:val="002B658C"/>
    <w:rsid w:val="002C7BAA"/>
    <w:rsid w:val="002E2A59"/>
    <w:rsid w:val="002F0781"/>
    <w:rsid w:val="00305254"/>
    <w:rsid w:val="003169D2"/>
    <w:rsid w:val="00324F06"/>
    <w:rsid w:val="00384F34"/>
    <w:rsid w:val="003A694A"/>
    <w:rsid w:val="003B4BEF"/>
    <w:rsid w:val="003C6B45"/>
    <w:rsid w:val="003D4280"/>
    <w:rsid w:val="003D6243"/>
    <w:rsid w:val="003F2F71"/>
    <w:rsid w:val="0041282E"/>
    <w:rsid w:val="00413419"/>
    <w:rsid w:val="004146FD"/>
    <w:rsid w:val="0042189B"/>
    <w:rsid w:val="00431245"/>
    <w:rsid w:val="0043618D"/>
    <w:rsid w:val="00437869"/>
    <w:rsid w:val="004532F0"/>
    <w:rsid w:val="00456098"/>
    <w:rsid w:val="00494C6A"/>
    <w:rsid w:val="004968B4"/>
    <w:rsid w:val="004C4554"/>
    <w:rsid w:val="004C73BB"/>
    <w:rsid w:val="004D2C8D"/>
    <w:rsid w:val="004D2DEC"/>
    <w:rsid w:val="004E4C30"/>
    <w:rsid w:val="004F0B5D"/>
    <w:rsid w:val="004F2BE6"/>
    <w:rsid w:val="00515438"/>
    <w:rsid w:val="00527E8A"/>
    <w:rsid w:val="00542E85"/>
    <w:rsid w:val="00544DF5"/>
    <w:rsid w:val="00562479"/>
    <w:rsid w:val="00576849"/>
    <w:rsid w:val="005A0ACB"/>
    <w:rsid w:val="005E7FD8"/>
    <w:rsid w:val="006103D1"/>
    <w:rsid w:val="00622560"/>
    <w:rsid w:val="006427D1"/>
    <w:rsid w:val="00644391"/>
    <w:rsid w:val="00647712"/>
    <w:rsid w:val="00662E12"/>
    <w:rsid w:val="00691142"/>
    <w:rsid w:val="006B3DA0"/>
    <w:rsid w:val="006B4DCF"/>
    <w:rsid w:val="006B67CE"/>
    <w:rsid w:val="006C38ED"/>
    <w:rsid w:val="006E6182"/>
    <w:rsid w:val="006F3C60"/>
    <w:rsid w:val="00717A6B"/>
    <w:rsid w:val="00731D7C"/>
    <w:rsid w:val="00736415"/>
    <w:rsid w:val="00737498"/>
    <w:rsid w:val="00770D2A"/>
    <w:rsid w:val="007864F6"/>
    <w:rsid w:val="007A01DF"/>
    <w:rsid w:val="007C24FC"/>
    <w:rsid w:val="007C67D7"/>
    <w:rsid w:val="007C6CC2"/>
    <w:rsid w:val="007E1ED2"/>
    <w:rsid w:val="007F0374"/>
    <w:rsid w:val="007F0FC5"/>
    <w:rsid w:val="007F107E"/>
    <w:rsid w:val="007F5C36"/>
    <w:rsid w:val="008129A9"/>
    <w:rsid w:val="00824BD6"/>
    <w:rsid w:val="00826997"/>
    <w:rsid w:val="008301BA"/>
    <w:rsid w:val="00836225"/>
    <w:rsid w:val="0083672D"/>
    <w:rsid w:val="00844734"/>
    <w:rsid w:val="008573EC"/>
    <w:rsid w:val="00862AD7"/>
    <w:rsid w:val="00865DFB"/>
    <w:rsid w:val="00877FD5"/>
    <w:rsid w:val="0088782A"/>
    <w:rsid w:val="008917CF"/>
    <w:rsid w:val="008A7416"/>
    <w:rsid w:val="008B6852"/>
    <w:rsid w:val="008D1D14"/>
    <w:rsid w:val="008E057B"/>
    <w:rsid w:val="008E4366"/>
    <w:rsid w:val="008E7C8E"/>
    <w:rsid w:val="00903172"/>
    <w:rsid w:val="00912959"/>
    <w:rsid w:val="00926F4D"/>
    <w:rsid w:val="009366CE"/>
    <w:rsid w:val="009638A8"/>
    <w:rsid w:val="009655AC"/>
    <w:rsid w:val="0097653C"/>
    <w:rsid w:val="00992460"/>
    <w:rsid w:val="0099525B"/>
    <w:rsid w:val="009B0E19"/>
    <w:rsid w:val="009B2BC9"/>
    <w:rsid w:val="009B325D"/>
    <w:rsid w:val="009D0A89"/>
    <w:rsid w:val="009F021C"/>
    <w:rsid w:val="00A0052C"/>
    <w:rsid w:val="00A31B14"/>
    <w:rsid w:val="00A323DC"/>
    <w:rsid w:val="00A32782"/>
    <w:rsid w:val="00A42A5C"/>
    <w:rsid w:val="00A70814"/>
    <w:rsid w:val="00A815BE"/>
    <w:rsid w:val="00A842B0"/>
    <w:rsid w:val="00A94931"/>
    <w:rsid w:val="00AA5DA1"/>
    <w:rsid w:val="00AB108E"/>
    <w:rsid w:val="00AC780B"/>
    <w:rsid w:val="00AE369F"/>
    <w:rsid w:val="00B026CB"/>
    <w:rsid w:val="00B52A05"/>
    <w:rsid w:val="00B66563"/>
    <w:rsid w:val="00B76090"/>
    <w:rsid w:val="00B851D4"/>
    <w:rsid w:val="00B868FC"/>
    <w:rsid w:val="00B95072"/>
    <w:rsid w:val="00BA4B87"/>
    <w:rsid w:val="00BB26CD"/>
    <w:rsid w:val="00BE0EE3"/>
    <w:rsid w:val="00BF0984"/>
    <w:rsid w:val="00BF3B6F"/>
    <w:rsid w:val="00C07239"/>
    <w:rsid w:val="00C33E01"/>
    <w:rsid w:val="00C364B1"/>
    <w:rsid w:val="00C47D87"/>
    <w:rsid w:val="00C627F9"/>
    <w:rsid w:val="00C6584D"/>
    <w:rsid w:val="00C922E0"/>
    <w:rsid w:val="00CB2881"/>
    <w:rsid w:val="00CB4E5A"/>
    <w:rsid w:val="00CC73D7"/>
    <w:rsid w:val="00CF0AD7"/>
    <w:rsid w:val="00CF0BE1"/>
    <w:rsid w:val="00D52A14"/>
    <w:rsid w:val="00D653B1"/>
    <w:rsid w:val="00DA0469"/>
    <w:rsid w:val="00DA4507"/>
    <w:rsid w:val="00DD13B7"/>
    <w:rsid w:val="00DF00C5"/>
    <w:rsid w:val="00DF3B0C"/>
    <w:rsid w:val="00E14984"/>
    <w:rsid w:val="00E22A25"/>
    <w:rsid w:val="00E27393"/>
    <w:rsid w:val="00E2788D"/>
    <w:rsid w:val="00E42444"/>
    <w:rsid w:val="00E46647"/>
    <w:rsid w:val="00E560F1"/>
    <w:rsid w:val="00E92319"/>
    <w:rsid w:val="00EA6956"/>
    <w:rsid w:val="00EB1D36"/>
    <w:rsid w:val="00ED5216"/>
    <w:rsid w:val="00EF06EC"/>
    <w:rsid w:val="00EF2E60"/>
    <w:rsid w:val="00F04494"/>
    <w:rsid w:val="00F06099"/>
    <w:rsid w:val="00F433A6"/>
    <w:rsid w:val="00F579B6"/>
    <w:rsid w:val="00F74028"/>
    <w:rsid w:val="00F766F9"/>
    <w:rsid w:val="00FC59C4"/>
    <w:rsid w:val="00FE0E0D"/>
    <w:rsid w:val="00FE36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40FA"/>
    <w:pPr>
      <w:tabs>
        <w:tab w:val="left" w:pos="1134"/>
        <w:tab w:val="left" w:pos="1871"/>
        <w:tab w:val="left" w:pos="2268"/>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877FD5"/>
    <w:pPr>
      <w:spacing w:before="480"/>
      <w:jc w:val="center"/>
    </w:pPr>
    <w:rPr>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903172"/>
    <w:pPr>
      <w:keepNext/>
      <w:keepLines/>
      <w:spacing w:before="160"/>
      <w:ind w:left="1134"/>
    </w:pPr>
    <w:rPr>
      <w:rFonts w:ascii="STKaiti" w:eastAsia="STKaiti" w:hAnsi="STKaiti"/>
    </w:rPr>
  </w:style>
  <w:style w:type="paragraph" w:customStyle="1" w:styleId="ChapNo">
    <w:name w:val="Chap_No"/>
    <w:basedOn w:val="ArtNo"/>
    <w:next w:val="Chaptitle"/>
    <w:rsid w:val="00877FD5"/>
    <w:rPr>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uiPriority w:val="99"/>
    <w:rsid w:val="00903172"/>
    <w:pPr>
      <w:tabs>
        <w:tab w:val="clear" w:pos="2268"/>
        <w:tab w:val="left" w:pos="2608"/>
        <w:tab w:val="left" w:pos="3345"/>
      </w:tabs>
      <w:spacing w:before="80"/>
      <w:ind w:left="1134" w:hanging="1134"/>
    </w:pPr>
  </w:style>
  <w:style w:type="paragraph" w:customStyle="1" w:styleId="enumlev2">
    <w:name w:val="enumlev2"/>
    <w:basedOn w:val="enumlev1"/>
    <w:rsid w:val="00903172"/>
    <w:pPr>
      <w:ind w:left="1871" w:hanging="737"/>
    </w:pPr>
  </w:style>
  <w:style w:type="paragraph" w:customStyle="1" w:styleId="enumlev3">
    <w:name w:val="enumlev3"/>
    <w:basedOn w:val="enumlev2"/>
    <w:rsid w:val="00903172"/>
    <w:pPr>
      <w:ind w:left="2268" w:hanging="397"/>
    </w:pPr>
  </w:style>
  <w:style w:type="paragraph" w:customStyle="1" w:styleId="Equation">
    <w:name w:val="Equation"/>
    <w:basedOn w:val="Normal"/>
    <w:rsid w:val="00B026CB"/>
    <w:pPr>
      <w:tabs>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877FD5"/>
    <w:pPr>
      <w:spacing w:before="240"/>
    </w:pPr>
    <w:rPr>
      <w:b/>
      <w:caps w:val="0"/>
    </w:rPr>
  </w:style>
  <w:style w:type="paragraph" w:customStyle="1" w:styleId="Questiontitle">
    <w:name w:val="Question_title"/>
    <w:basedOn w:val="Rectitle"/>
    <w:next w:val="Questionref"/>
    <w:rsid w:val="00877FD5"/>
  </w:style>
  <w:style w:type="paragraph" w:customStyle="1" w:styleId="Questionref">
    <w:name w:val="Question_ref"/>
    <w:basedOn w:val="Recref"/>
    <w:next w:val="Questiondate"/>
    <w:rsid w:val="00877FD5"/>
  </w:style>
  <w:style w:type="paragraph" w:customStyle="1" w:styleId="Recref">
    <w:name w:val="Rec_ref"/>
    <w:basedOn w:val="Rectitle"/>
    <w:next w:val="Recdate"/>
    <w:rsid w:val="00877FD5"/>
    <w:pPr>
      <w:spacing w:before="120"/>
    </w:pPr>
    <w:rPr>
      <w:b w:val="0"/>
      <w:sz w:val="24"/>
    </w:rPr>
  </w:style>
  <w:style w:type="paragraph" w:customStyle="1" w:styleId="Recdate">
    <w:name w:val="Rec_date"/>
    <w:basedOn w:val="Recref"/>
    <w:next w:val="Normalaftertitle0"/>
    <w:rsid w:val="00877FD5"/>
    <w:pPr>
      <w:jc w:val="right"/>
    </w:pPr>
    <w:rPr>
      <w:sz w:val="22"/>
    </w:rPr>
  </w:style>
  <w:style w:type="paragraph" w:customStyle="1" w:styleId="Questiondate">
    <w:name w:val="Question_date"/>
    <w:basedOn w:val="Recdate"/>
    <w:next w:val="Normalaftertitle0"/>
    <w:rsid w:val="00877FD5"/>
  </w:style>
  <w:style w:type="paragraph" w:customStyle="1" w:styleId="Tabletext">
    <w:name w:val="Table_text"/>
    <w:basedOn w:val="Normal"/>
    <w:rsid w:val="00B026CB"/>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rsid w:val="002C7BAA"/>
    <w:rPr>
      <w:rFonts w:ascii="Calibri" w:hAnsi="Calibri"/>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n"/>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877FD5"/>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877FD5"/>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1134"/>
        <w:tab w:val="left" w:pos="2268"/>
      </w:tabs>
      <w:jc w:val="both"/>
    </w:pPr>
    <w:rPr>
      <w:caps w:val="0"/>
      <w:noProof w:val="0"/>
    </w:rPr>
  </w:style>
  <w:style w:type="paragraph" w:customStyle="1" w:styleId="Tablehead">
    <w:name w:val="Table_head"/>
    <w:basedOn w:val="Tabletext"/>
    <w:next w:val="Tabletext"/>
    <w:rsid w:val="00877FD5"/>
    <w:pPr>
      <w:keepNext/>
      <w:spacing w:before="80" w:after="80"/>
      <w:jc w:val="center"/>
    </w:pPr>
    <w:rPr>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877FD5"/>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2268"/>
        <w:tab w:val="right" w:pos="9781"/>
      </w:tabs>
    </w:pPr>
    <w:rPr>
      <w:b/>
    </w:rPr>
  </w:style>
  <w:style w:type="paragraph" w:styleId="TOC1">
    <w:name w:val="toc 1"/>
    <w:basedOn w:val="Normal"/>
    <w:rsid w:val="00B026CB"/>
    <w:pPr>
      <w:keepLines/>
      <w:tabs>
        <w:tab w:val="clear" w:pos="1134"/>
        <w:tab w:val="clear" w:pos="2268"/>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F0984"/>
    <w:rPr>
      <w:rFonts w:asciiTheme="minorHAnsi" w:hAnsiTheme="minorHAnsi"/>
      <w:b/>
    </w:rPr>
  </w:style>
  <w:style w:type="character" w:customStyle="1" w:styleId="Appref">
    <w:name w:val="App_ref"/>
    <w:basedOn w:val="DefaultParagraphFont"/>
    <w:rsid w:val="00877FD5"/>
    <w:rPr>
      <w:rFonts w:asciiTheme="minorHAnsi" w:hAnsiTheme="minorHAnsi"/>
    </w:rPr>
  </w:style>
  <w:style w:type="character" w:customStyle="1" w:styleId="Artdef">
    <w:name w:val="Art_def"/>
    <w:basedOn w:val="DefaultParagraphFont"/>
    <w:rsid w:val="002C7BAA"/>
    <w:rPr>
      <w:rFonts w:ascii="Calibri" w:hAnsi="Calibri"/>
      <w:b/>
    </w:rPr>
  </w:style>
  <w:style w:type="character" w:customStyle="1" w:styleId="Artref">
    <w:name w:val="Art_ref"/>
    <w:basedOn w:val="DefaultParagraphFont"/>
    <w:rsid w:val="002C7BAA"/>
    <w:rPr>
      <w:rFonts w:ascii="Calibri" w:hAnsi="Calibri"/>
    </w:rPr>
  </w:style>
  <w:style w:type="character" w:customStyle="1" w:styleId="Recdef">
    <w:name w:val="Rec_def"/>
    <w:basedOn w:val="DefaultParagraphFont"/>
    <w:rsid w:val="00877FD5"/>
    <w:rPr>
      <w:rFonts w:asciiTheme="minorHAnsi" w:hAnsiTheme="minorHAnsi"/>
      <w:b/>
    </w:rPr>
  </w:style>
  <w:style w:type="character" w:customStyle="1" w:styleId="Resdef">
    <w:name w:val="Res_def"/>
    <w:basedOn w:val="DefaultParagraphFont"/>
    <w:rsid w:val="00877FD5"/>
    <w:rPr>
      <w:rFonts w:asciiTheme="minorHAnsi" w:hAnsiTheme="minorHAnsi"/>
      <w:b/>
    </w:rPr>
  </w:style>
  <w:style w:type="character" w:customStyle="1" w:styleId="Tablefreq">
    <w:name w:val="Table_freq"/>
    <w:basedOn w:val="DefaultParagraphFont"/>
    <w:rsid w:val="00877FD5"/>
    <w:rPr>
      <w:rFonts w:asciiTheme="minorHAnsi" w:hAnsiTheme="minorHAnsi"/>
      <w:b/>
      <w:color w:val="auto"/>
      <w:sz w:val="20"/>
    </w:rPr>
  </w:style>
  <w:style w:type="paragraph" w:customStyle="1" w:styleId="Formal">
    <w:name w:val="Formal"/>
    <w:basedOn w:val="Normal"/>
    <w:rsid w:val="00877FD5"/>
    <w:pPr>
      <w:tabs>
        <w:tab w:val="left" w:pos="3402"/>
        <w:tab w:val="left" w:pos="3969"/>
        <w:tab w:val="left" w:pos="4536"/>
        <w:tab w:val="left" w:pos="5103"/>
        <w:tab w:val="left" w:pos="5670"/>
      </w:tabs>
      <w:spacing w:before="0"/>
    </w:pPr>
    <w:rPr>
      <w:noProof/>
      <w:sz w:val="20"/>
    </w:rPr>
  </w:style>
  <w:style w:type="paragraph" w:customStyle="1" w:styleId="Section1">
    <w:name w:val="Section_1"/>
    <w:basedOn w:val="Normal"/>
    <w:rsid w:val="00B026CB"/>
    <w:pPr>
      <w:tabs>
        <w:tab w:val="clear" w:pos="1134"/>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877FD5"/>
    <w:pPr>
      <w:keepNext/>
      <w:spacing w:before="160"/>
    </w:pPr>
    <w:rPr>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877FD5"/>
    <w:rPr>
      <w:rFonts w:asciiTheme="minorHAnsi" w:hAnsiTheme="minorHAnsi"/>
    </w:rPr>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877FD5"/>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F0984"/>
    <w:pPr>
      <w:keepNext/>
      <w:keepLines/>
      <w:spacing w:before="240" w:after="280"/>
      <w:jc w:val="center"/>
    </w:pPr>
    <w:rPr>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2268"/>
        <w:tab w:val="left" w:pos="1588"/>
        <w:tab w:val="left" w:pos="1985"/>
      </w:tabs>
    </w:pPr>
  </w:style>
  <w:style w:type="paragraph" w:customStyle="1" w:styleId="TableTextS5">
    <w:name w:val="Table_TextS5"/>
    <w:basedOn w:val="Normal"/>
    <w:rsid w:val="006F3C60"/>
    <w:pPr>
      <w:tabs>
        <w:tab w:val="clear" w:pos="1134"/>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C627F9"/>
    <w:pPr>
      <w:keepNext/>
      <w:spacing w:before="240"/>
    </w:pPr>
    <w:rPr>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985"/>
        <w:tab w:val="clear" w:pos="2268"/>
        <w:tab w:val="clear" w:pos="2552"/>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903172"/>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877FD5"/>
    <w:rPr>
      <w:rFonts w:asciiTheme="minorHAnsi" w:hAnsiTheme="minorHAnsi"/>
    </w:rPr>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Opiniontitle">
    <w:name w:val="Opinion_title"/>
    <w:basedOn w:val="Rectitle"/>
    <w:next w:val="Normalaftertitle0"/>
    <w:qFormat/>
    <w:rsid w:val="00877FD5"/>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ind w:firstLineChars="200" w:firstLine="200"/>
    </w:pPr>
    <w:rPr>
      <w:lang w:val="en-US"/>
    </w:rPr>
  </w:style>
  <w:style w:type="paragraph" w:customStyle="1" w:styleId="TableNote">
    <w:name w:val="TableNote"/>
    <w:basedOn w:val="Tabletext"/>
    <w:rsid w:val="00B026CB"/>
    <w:pPr>
      <w:tabs>
        <w:tab w:val="clear" w:pos="284"/>
        <w:tab w:val="clear" w:pos="851"/>
        <w:tab w:val="clear" w:pos="1134"/>
        <w:tab w:val="clear" w:pos="1418"/>
        <w:tab w:val="clear" w:pos="1985"/>
        <w:tab w:val="clear" w:pos="2268"/>
        <w:tab w:val="clear" w:pos="2552"/>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2268"/>
        <w:tab w:val="left" w:pos="1418"/>
      </w:tabs>
      <w:ind w:left="1418" w:hanging="1418"/>
    </w:pPr>
  </w:style>
  <w:style w:type="paragraph" w:customStyle="1" w:styleId="Heading9a">
    <w:name w:val="Heading 9a"/>
    <w:basedOn w:val="Heading9"/>
    <w:next w:val="Normal"/>
    <w:rsid w:val="00B026CB"/>
    <w:pPr>
      <w:tabs>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2B658C"/>
    <w:pPr>
      <w:ind w:left="567"/>
    </w:pPr>
  </w:style>
  <w:style w:type="paragraph" w:customStyle="1" w:styleId="ApptoAnnex">
    <w:name w:val="App_to_Annex"/>
    <w:basedOn w:val="AppendixNo"/>
    <w:qFormat/>
    <w:rsid w:val="00C07239"/>
  </w:style>
  <w:style w:type="paragraph" w:customStyle="1" w:styleId="AppArtNo">
    <w:name w:val="App_Art_No"/>
    <w:basedOn w:val="ArtNo"/>
    <w:qFormat/>
    <w:rsid w:val="00622560"/>
    <w:pPr>
      <w:framePr w:hSpace="180" w:wrap="around" w:hAnchor="margin" w:y="-675"/>
    </w:pPr>
  </w:style>
  <w:style w:type="paragraph" w:customStyle="1" w:styleId="AppArttitle">
    <w:name w:val="App_Art_title"/>
    <w:basedOn w:val="Arttitle"/>
    <w:qFormat/>
    <w:rsid w:val="00622560"/>
    <w:pPr>
      <w:framePr w:hSpace="180" w:wrap="around" w:hAnchor="margin" w:y="-675"/>
    </w:pPr>
  </w:style>
  <w:style w:type="paragraph" w:customStyle="1" w:styleId="Volumetitle">
    <w:name w:val="Volume_title"/>
    <w:basedOn w:val="OpinionNo"/>
    <w:qFormat/>
    <w:rsid w:val="00877FD5"/>
    <w:rPr>
      <w:b/>
      <w:caps w:val="0"/>
    </w:rPr>
  </w:style>
  <w:style w:type="paragraph" w:customStyle="1" w:styleId="OpinionNo">
    <w:name w:val="Opinion_No"/>
    <w:basedOn w:val="RecNo"/>
    <w:next w:val="Opiniontitle"/>
    <w:qFormat/>
    <w:rsid w:val="00877FD5"/>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n Char"/>
    <w:basedOn w:val="DefaultParagraphFont"/>
    <w:link w:val="FootnoteText"/>
    <w:rsid w:val="00015C7F"/>
    <w:rPr>
      <w:rFonts w:ascii="Calibri" w:hAnsi="Calibri"/>
      <w:sz w:val="22"/>
      <w:lang w:val="en-GB" w:eastAsia="en-US"/>
    </w:rPr>
  </w:style>
  <w:style w:type="paragraph" w:customStyle="1" w:styleId="Liststycke">
    <w:name w:val="Liststycke"/>
    <w:basedOn w:val="Normal"/>
    <w:uiPriority w:val="34"/>
    <w:qFormat/>
    <w:rsid w:val="00015C7F"/>
    <w:pPr>
      <w:ind w:left="720"/>
      <w:contextualSpacing/>
    </w:pPr>
    <w:rPr>
      <w:rFonts w:eastAsia="Times New Roman"/>
    </w:rPr>
  </w:style>
  <w:style w:type="paragraph" w:styleId="ListParagraph">
    <w:name w:val="List Paragraph"/>
    <w:basedOn w:val="Normal"/>
    <w:uiPriority w:val="34"/>
    <w:qFormat/>
    <w:rsid w:val="00F579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40FA"/>
    <w:pPr>
      <w:tabs>
        <w:tab w:val="left" w:pos="1134"/>
        <w:tab w:val="left" w:pos="1871"/>
        <w:tab w:val="left" w:pos="2268"/>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877FD5"/>
    <w:pPr>
      <w:spacing w:before="480"/>
      <w:jc w:val="center"/>
    </w:pPr>
    <w:rPr>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903172"/>
    <w:pPr>
      <w:keepNext/>
      <w:keepLines/>
      <w:spacing w:before="160"/>
      <w:ind w:left="1134"/>
    </w:pPr>
    <w:rPr>
      <w:rFonts w:ascii="STKaiti" w:eastAsia="STKaiti" w:hAnsi="STKaiti"/>
    </w:rPr>
  </w:style>
  <w:style w:type="paragraph" w:customStyle="1" w:styleId="ChapNo">
    <w:name w:val="Chap_No"/>
    <w:basedOn w:val="ArtNo"/>
    <w:next w:val="Chaptitle"/>
    <w:rsid w:val="00877FD5"/>
    <w:rPr>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uiPriority w:val="99"/>
    <w:rsid w:val="00903172"/>
    <w:pPr>
      <w:tabs>
        <w:tab w:val="clear" w:pos="2268"/>
        <w:tab w:val="left" w:pos="2608"/>
        <w:tab w:val="left" w:pos="3345"/>
      </w:tabs>
      <w:spacing w:before="80"/>
      <w:ind w:left="1134" w:hanging="1134"/>
    </w:pPr>
  </w:style>
  <w:style w:type="paragraph" w:customStyle="1" w:styleId="enumlev2">
    <w:name w:val="enumlev2"/>
    <w:basedOn w:val="enumlev1"/>
    <w:rsid w:val="00903172"/>
    <w:pPr>
      <w:ind w:left="1871" w:hanging="737"/>
    </w:pPr>
  </w:style>
  <w:style w:type="paragraph" w:customStyle="1" w:styleId="enumlev3">
    <w:name w:val="enumlev3"/>
    <w:basedOn w:val="enumlev2"/>
    <w:rsid w:val="00903172"/>
    <w:pPr>
      <w:ind w:left="2268" w:hanging="397"/>
    </w:pPr>
  </w:style>
  <w:style w:type="paragraph" w:customStyle="1" w:styleId="Equation">
    <w:name w:val="Equation"/>
    <w:basedOn w:val="Normal"/>
    <w:rsid w:val="00B026CB"/>
    <w:pPr>
      <w:tabs>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877FD5"/>
    <w:pPr>
      <w:spacing w:before="240"/>
    </w:pPr>
    <w:rPr>
      <w:b/>
      <w:caps w:val="0"/>
    </w:rPr>
  </w:style>
  <w:style w:type="paragraph" w:customStyle="1" w:styleId="Questiontitle">
    <w:name w:val="Question_title"/>
    <w:basedOn w:val="Rectitle"/>
    <w:next w:val="Questionref"/>
    <w:rsid w:val="00877FD5"/>
  </w:style>
  <w:style w:type="paragraph" w:customStyle="1" w:styleId="Questionref">
    <w:name w:val="Question_ref"/>
    <w:basedOn w:val="Recref"/>
    <w:next w:val="Questiondate"/>
    <w:rsid w:val="00877FD5"/>
  </w:style>
  <w:style w:type="paragraph" w:customStyle="1" w:styleId="Recref">
    <w:name w:val="Rec_ref"/>
    <w:basedOn w:val="Rectitle"/>
    <w:next w:val="Recdate"/>
    <w:rsid w:val="00877FD5"/>
    <w:pPr>
      <w:spacing w:before="120"/>
    </w:pPr>
    <w:rPr>
      <w:b w:val="0"/>
      <w:sz w:val="24"/>
    </w:rPr>
  </w:style>
  <w:style w:type="paragraph" w:customStyle="1" w:styleId="Recdate">
    <w:name w:val="Rec_date"/>
    <w:basedOn w:val="Recref"/>
    <w:next w:val="Normalaftertitle0"/>
    <w:rsid w:val="00877FD5"/>
    <w:pPr>
      <w:jc w:val="right"/>
    </w:pPr>
    <w:rPr>
      <w:sz w:val="22"/>
    </w:rPr>
  </w:style>
  <w:style w:type="paragraph" w:customStyle="1" w:styleId="Questiondate">
    <w:name w:val="Question_date"/>
    <w:basedOn w:val="Recdate"/>
    <w:next w:val="Normalaftertitle0"/>
    <w:rsid w:val="00877FD5"/>
  </w:style>
  <w:style w:type="paragraph" w:customStyle="1" w:styleId="Tabletext">
    <w:name w:val="Table_text"/>
    <w:basedOn w:val="Normal"/>
    <w:rsid w:val="00B026CB"/>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rsid w:val="002C7BAA"/>
    <w:rPr>
      <w:rFonts w:ascii="Calibri" w:hAnsi="Calibri"/>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n"/>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877FD5"/>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877FD5"/>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1134"/>
        <w:tab w:val="left" w:pos="2268"/>
      </w:tabs>
      <w:jc w:val="both"/>
    </w:pPr>
    <w:rPr>
      <w:caps w:val="0"/>
      <w:noProof w:val="0"/>
    </w:rPr>
  </w:style>
  <w:style w:type="paragraph" w:customStyle="1" w:styleId="Tablehead">
    <w:name w:val="Table_head"/>
    <w:basedOn w:val="Tabletext"/>
    <w:next w:val="Tabletext"/>
    <w:rsid w:val="00877FD5"/>
    <w:pPr>
      <w:keepNext/>
      <w:spacing w:before="80" w:after="80"/>
      <w:jc w:val="center"/>
    </w:pPr>
    <w:rPr>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877FD5"/>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2268"/>
        <w:tab w:val="right" w:pos="9781"/>
      </w:tabs>
    </w:pPr>
    <w:rPr>
      <w:b/>
    </w:rPr>
  </w:style>
  <w:style w:type="paragraph" w:styleId="TOC1">
    <w:name w:val="toc 1"/>
    <w:basedOn w:val="Normal"/>
    <w:rsid w:val="00B026CB"/>
    <w:pPr>
      <w:keepLines/>
      <w:tabs>
        <w:tab w:val="clear" w:pos="1134"/>
        <w:tab w:val="clear" w:pos="2268"/>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F0984"/>
    <w:rPr>
      <w:rFonts w:asciiTheme="minorHAnsi" w:hAnsiTheme="minorHAnsi"/>
      <w:b/>
    </w:rPr>
  </w:style>
  <w:style w:type="character" w:customStyle="1" w:styleId="Appref">
    <w:name w:val="App_ref"/>
    <w:basedOn w:val="DefaultParagraphFont"/>
    <w:rsid w:val="00877FD5"/>
    <w:rPr>
      <w:rFonts w:asciiTheme="minorHAnsi" w:hAnsiTheme="minorHAnsi"/>
    </w:rPr>
  </w:style>
  <w:style w:type="character" w:customStyle="1" w:styleId="Artdef">
    <w:name w:val="Art_def"/>
    <w:basedOn w:val="DefaultParagraphFont"/>
    <w:rsid w:val="002C7BAA"/>
    <w:rPr>
      <w:rFonts w:ascii="Calibri" w:hAnsi="Calibri"/>
      <w:b/>
    </w:rPr>
  </w:style>
  <w:style w:type="character" w:customStyle="1" w:styleId="Artref">
    <w:name w:val="Art_ref"/>
    <w:basedOn w:val="DefaultParagraphFont"/>
    <w:rsid w:val="002C7BAA"/>
    <w:rPr>
      <w:rFonts w:ascii="Calibri" w:hAnsi="Calibri"/>
    </w:rPr>
  </w:style>
  <w:style w:type="character" w:customStyle="1" w:styleId="Recdef">
    <w:name w:val="Rec_def"/>
    <w:basedOn w:val="DefaultParagraphFont"/>
    <w:rsid w:val="00877FD5"/>
    <w:rPr>
      <w:rFonts w:asciiTheme="minorHAnsi" w:hAnsiTheme="minorHAnsi"/>
      <w:b/>
    </w:rPr>
  </w:style>
  <w:style w:type="character" w:customStyle="1" w:styleId="Resdef">
    <w:name w:val="Res_def"/>
    <w:basedOn w:val="DefaultParagraphFont"/>
    <w:rsid w:val="00877FD5"/>
    <w:rPr>
      <w:rFonts w:asciiTheme="minorHAnsi" w:hAnsiTheme="minorHAnsi"/>
      <w:b/>
    </w:rPr>
  </w:style>
  <w:style w:type="character" w:customStyle="1" w:styleId="Tablefreq">
    <w:name w:val="Table_freq"/>
    <w:basedOn w:val="DefaultParagraphFont"/>
    <w:rsid w:val="00877FD5"/>
    <w:rPr>
      <w:rFonts w:asciiTheme="minorHAnsi" w:hAnsiTheme="minorHAnsi"/>
      <w:b/>
      <w:color w:val="auto"/>
      <w:sz w:val="20"/>
    </w:rPr>
  </w:style>
  <w:style w:type="paragraph" w:customStyle="1" w:styleId="Formal">
    <w:name w:val="Formal"/>
    <w:basedOn w:val="Normal"/>
    <w:rsid w:val="00877FD5"/>
    <w:pPr>
      <w:tabs>
        <w:tab w:val="left" w:pos="3402"/>
        <w:tab w:val="left" w:pos="3969"/>
        <w:tab w:val="left" w:pos="4536"/>
        <w:tab w:val="left" w:pos="5103"/>
        <w:tab w:val="left" w:pos="5670"/>
      </w:tabs>
      <w:spacing w:before="0"/>
    </w:pPr>
    <w:rPr>
      <w:noProof/>
      <w:sz w:val="20"/>
    </w:rPr>
  </w:style>
  <w:style w:type="paragraph" w:customStyle="1" w:styleId="Section1">
    <w:name w:val="Section_1"/>
    <w:basedOn w:val="Normal"/>
    <w:rsid w:val="00B026CB"/>
    <w:pPr>
      <w:tabs>
        <w:tab w:val="clear" w:pos="1134"/>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877FD5"/>
    <w:pPr>
      <w:keepNext/>
      <w:spacing w:before="160"/>
    </w:pPr>
    <w:rPr>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877FD5"/>
    <w:rPr>
      <w:rFonts w:asciiTheme="minorHAnsi" w:hAnsiTheme="minorHAnsi"/>
    </w:rPr>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877FD5"/>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F0984"/>
    <w:pPr>
      <w:keepNext/>
      <w:keepLines/>
      <w:spacing w:before="240" w:after="280"/>
      <w:jc w:val="center"/>
    </w:pPr>
    <w:rPr>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2268"/>
        <w:tab w:val="left" w:pos="1588"/>
        <w:tab w:val="left" w:pos="1985"/>
      </w:tabs>
    </w:pPr>
  </w:style>
  <w:style w:type="paragraph" w:customStyle="1" w:styleId="TableTextS5">
    <w:name w:val="Table_TextS5"/>
    <w:basedOn w:val="Normal"/>
    <w:rsid w:val="006F3C60"/>
    <w:pPr>
      <w:tabs>
        <w:tab w:val="clear" w:pos="1134"/>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C627F9"/>
    <w:pPr>
      <w:keepNext/>
      <w:spacing w:before="240"/>
    </w:pPr>
    <w:rPr>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985"/>
        <w:tab w:val="clear" w:pos="2268"/>
        <w:tab w:val="clear" w:pos="2552"/>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903172"/>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877FD5"/>
    <w:rPr>
      <w:rFonts w:asciiTheme="minorHAnsi" w:hAnsiTheme="minorHAnsi"/>
    </w:rPr>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Opiniontitle">
    <w:name w:val="Opinion_title"/>
    <w:basedOn w:val="Rectitle"/>
    <w:next w:val="Normalaftertitle0"/>
    <w:qFormat/>
    <w:rsid w:val="00877FD5"/>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ind w:firstLineChars="200" w:firstLine="200"/>
    </w:pPr>
    <w:rPr>
      <w:lang w:val="en-US"/>
    </w:rPr>
  </w:style>
  <w:style w:type="paragraph" w:customStyle="1" w:styleId="TableNote">
    <w:name w:val="TableNote"/>
    <w:basedOn w:val="Tabletext"/>
    <w:rsid w:val="00B026CB"/>
    <w:pPr>
      <w:tabs>
        <w:tab w:val="clear" w:pos="284"/>
        <w:tab w:val="clear" w:pos="851"/>
        <w:tab w:val="clear" w:pos="1134"/>
        <w:tab w:val="clear" w:pos="1418"/>
        <w:tab w:val="clear" w:pos="1985"/>
        <w:tab w:val="clear" w:pos="2268"/>
        <w:tab w:val="clear" w:pos="2552"/>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2268"/>
        <w:tab w:val="left" w:pos="1418"/>
      </w:tabs>
      <w:ind w:left="1418" w:hanging="1418"/>
    </w:pPr>
  </w:style>
  <w:style w:type="paragraph" w:customStyle="1" w:styleId="Heading9a">
    <w:name w:val="Heading 9a"/>
    <w:basedOn w:val="Heading9"/>
    <w:next w:val="Normal"/>
    <w:rsid w:val="00B026CB"/>
    <w:pPr>
      <w:tabs>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2B658C"/>
    <w:pPr>
      <w:ind w:left="567"/>
    </w:pPr>
  </w:style>
  <w:style w:type="paragraph" w:customStyle="1" w:styleId="ApptoAnnex">
    <w:name w:val="App_to_Annex"/>
    <w:basedOn w:val="AppendixNo"/>
    <w:qFormat/>
    <w:rsid w:val="00C07239"/>
  </w:style>
  <w:style w:type="paragraph" w:customStyle="1" w:styleId="AppArtNo">
    <w:name w:val="App_Art_No"/>
    <w:basedOn w:val="ArtNo"/>
    <w:qFormat/>
    <w:rsid w:val="00622560"/>
    <w:pPr>
      <w:framePr w:hSpace="180" w:wrap="around" w:hAnchor="margin" w:y="-675"/>
    </w:pPr>
  </w:style>
  <w:style w:type="paragraph" w:customStyle="1" w:styleId="AppArttitle">
    <w:name w:val="App_Art_title"/>
    <w:basedOn w:val="Arttitle"/>
    <w:qFormat/>
    <w:rsid w:val="00622560"/>
    <w:pPr>
      <w:framePr w:hSpace="180" w:wrap="around" w:hAnchor="margin" w:y="-675"/>
    </w:pPr>
  </w:style>
  <w:style w:type="paragraph" w:customStyle="1" w:styleId="Volumetitle">
    <w:name w:val="Volume_title"/>
    <w:basedOn w:val="OpinionNo"/>
    <w:qFormat/>
    <w:rsid w:val="00877FD5"/>
    <w:rPr>
      <w:b/>
      <w:caps w:val="0"/>
    </w:rPr>
  </w:style>
  <w:style w:type="paragraph" w:customStyle="1" w:styleId="OpinionNo">
    <w:name w:val="Opinion_No"/>
    <w:basedOn w:val="RecNo"/>
    <w:next w:val="Opiniontitle"/>
    <w:qFormat/>
    <w:rsid w:val="00877FD5"/>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n Char"/>
    <w:basedOn w:val="DefaultParagraphFont"/>
    <w:link w:val="FootnoteText"/>
    <w:rsid w:val="00015C7F"/>
    <w:rPr>
      <w:rFonts w:ascii="Calibri" w:hAnsi="Calibri"/>
      <w:sz w:val="22"/>
      <w:lang w:val="en-GB" w:eastAsia="en-US"/>
    </w:rPr>
  </w:style>
  <w:style w:type="paragraph" w:customStyle="1" w:styleId="Liststycke">
    <w:name w:val="Liststycke"/>
    <w:basedOn w:val="Normal"/>
    <w:uiPriority w:val="34"/>
    <w:qFormat/>
    <w:rsid w:val="00015C7F"/>
    <w:pPr>
      <w:ind w:left="720"/>
      <w:contextualSpacing/>
    </w:pPr>
    <w:rPr>
      <w:rFonts w:eastAsia="Times New Roman"/>
    </w:rPr>
  </w:style>
  <w:style w:type="paragraph" w:styleId="ListParagraph">
    <w:name w:val="List Paragraph"/>
    <w:basedOn w:val="Normal"/>
    <w:uiPriority w:val="34"/>
    <w:qFormat/>
    <w:rsid w:val="00F579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34937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ong\Application%20Data\Microsoft\Templates\POOL%20C%20-%20ITU\PC_WCIT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FD604-8B5F-45D6-B4F0-B005D8961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PC_WCIT12</Template>
  <TotalTime>116</TotalTime>
  <Pages>5</Pages>
  <Words>1942</Words>
  <Characters>532</Characters>
  <Application>Microsoft Office Word</Application>
  <DocSecurity>0</DocSecurity>
  <Lines>4</Lines>
  <Paragraphs>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Radiocommunication Conference - 2012</dc:subject>
  <dc:creator>song</dc:creator>
  <dc:description>PC_WRC12.dotm  For: _x000d_Document date: _x000d_Saved by MM-106465 at 16:54:07 on 29/03/11</dc:description>
  <cp:lastModifiedBy>byzheng</cp:lastModifiedBy>
  <cp:revision>44</cp:revision>
  <cp:lastPrinted>2012-10-24T13:55:00Z</cp:lastPrinted>
  <dcterms:created xsi:type="dcterms:W3CDTF">2012-10-24T08:34:00Z</dcterms:created>
  <dcterms:modified xsi:type="dcterms:W3CDTF">2012-10-24T14:43:00Z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