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51" w:type="dxa"/>
          </w:tcPr>
          <w:p w:rsidR="000069D4" w:rsidRDefault="00831CC0" w:rsidP="00831CC0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093C5A7E" wp14:editId="6B685A0E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 w:val="restart"/>
          </w:tcPr>
          <w:p w:rsidR="00831CC0" w:rsidRPr="002E5AEE" w:rsidRDefault="002E5AEE" w:rsidP="002E5AEE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H"/>
              </w:rPr>
            </w:pPr>
            <w:bookmarkStart w:id="1" w:name="recibido"/>
            <w:bookmarkStart w:id="2" w:name="dnum" w:colFirst="1" w:colLast="1"/>
            <w:bookmarkEnd w:id="1"/>
            <w:r w:rsidRPr="002E5AEE">
              <w:rPr>
                <w:rFonts w:ascii="Verdana" w:hAnsi="Verdana"/>
                <w:sz w:val="20"/>
                <w:lang w:val="fr-CH"/>
              </w:rPr>
              <w:t>Source:</w:t>
            </w:r>
            <w:r w:rsidRPr="002E5AEE">
              <w:rPr>
                <w:rFonts w:ascii="Verdana" w:hAnsi="Verdana"/>
                <w:sz w:val="20"/>
                <w:lang w:val="fr-CH"/>
              </w:rPr>
              <w:tab/>
            </w:r>
            <w:r w:rsidRPr="002E5AEE">
              <w:rPr>
                <w:lang w:val="fr-CH"/>
              </w:rPr>
              <w:t xml:space="preserve"> </w:t>
            </w:r>
            <w:r w:rsidRPr="002E5AEE">
              <w:rPr>
                <w:rFonts w:ascii="Verdana" w:hAnsi="Verdana"/>
                <w:sz w:val="20"/>
                <w:lang w:val="fr-CH"/>
              </w:rPr>
              <w:t>Document 5A/TEMP/233</w:t>
            </w:r>
          </w:p>
        </w:tc>
        <w:tc>
          <w:tcPr>
            <w:tcW w:w="3451" w:type="dxa"/>
          </w:tcPr>
          <w:p w:rsidR="000069D4" w:rsidRPr="00831CC0" w:rsidRDefault="002E5AEE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605C08">
              <w:rPr>
                <w:rFonts w:ascii="Verdana" w:hAnsi="Verdana"/>
                <w:b/>
                <w:sz w:val="20"/>
                <w:lang w:val="pt-PT" w:eastAsia="zh-CN"/>
              </w:rPr>
              <w:t>Annex 5 to</w:t>
            </w:r>
            <w:r>
              <w:rPr>
                <w:rFonts w:ascii="Verdana" w:hAnsi="Verdana"/>
                <w:b/>
                <w:sz w:val="20"/>
                <w:lang w:eastAsia="zh-CN"/>
              </w:rPr>
              <w:br/>
            </w:r>
            <w:r w:rsidR="00831CC0">
              <w:rPr>
                <w:rFonts w:ascii="Verdana" w:hAnsi="Verdana"/>
                <w:b/>
                <w:sz w:val="20"/>
                <w:lang w:eastAsia="zh-CN"/>
              </w:rPr>
              <w:t>Document 5A/543-E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0069D4" w:rsidRPr="00831CC0" w:rsidRDefault="00831CC0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17 June 2014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0069D4" w:rsidRPr="00831CC0" w:rsidRDefault="00831CC0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2E5AEE">
        <w:trPr>
          <w:cantSplit/>
        </w:trPr>
        <w:tc>
          <w:tcPr>
            <w:tcW w:w="10031" w:type="dxa"/>
            <w:gridSpan w:val="2"/>
          </w:tcPr>
          <w:p w:rsidR="002E5AEE" w:rsidRDefault="002E5AEE" w:rsidP="002E5AEE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3E79CA">
              <w:rPr>
                <w:lang w:eastAsia="zh-CN"/>
              </w:rPr>
              <w:t xml:space="preserve">Annex </w:t>
            </w:r>
            <w:r>
              <w:rPr>
                <w:lang w:eastAsia="zh-CN"/>
              </w:rPr>
              <w:t>5</w:t>
            </w:r>
            <w:r w:rsidRPr="003E79CA">
              <w:rPr>
                <w:lang w:eastAsia="zh-CN"/>
              </w:rPr>
              <w:t xml:space="preserve"> to Working Party 5A Chairman’s Report</w:t>
            </w:r>
          </w:p>
        </w:tc>
      </w:tr>
      <w:tr w:rsidR="002E5AEE">
        <w:trPr>
          <w:cantSplit/>
        </w:trPr>
        <w:tc>
          <w:tcPr>
            <w:tcW w:w="10031" w:type="dxa"/>
            <w:gridSpan w:val="2"/>
          </w:tcPr>
          <w:p w:rsidR="002E5AEE" w:rsidRDefault="002E5AEE" w:rsidP="002E5AEE">
            <w:pPr>
              <w:pStyle w:val="Title2"/>
              <w:spacing w:before="240"/>
              <w:rPr>
                <w:lang w:eastAsia="zh-CN"/>
              </w:rPr>
            </w:pPr>
            <w:bookmarkStart w:id="6" w:name="drec" w:colFirst="0" w:colLast="0"/>
            <w:bookmarkEnd w:id="5"/>
            <w:r>
              <w:t>report on activities in support of WRC-15 Agenda item 1.4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:rsidR="002E5AEE" w:rsidRDefault="002E5AEE" w:rsidP="002E5AEE">
      <w:pPr>
        <w:spacing w:line="240" w:lineRule="atLeast"/>
      </w:pPr>
      <w:bookmarkStart w:id="8" w:name="dbreak"/>
      <w:bookmarkEnd w:id="7"/>
      <w:bookmarkEnd w:id="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912"/>
      </w:tblGrid>
      <w:tr w:rsidR="002E5AEE" w:rsidTr="003866E7">
        <w:trPr>
          <w:tblHeader/>
          <w:jc w:val="center"/>
        </w:trPr>
        <w:tc>
          <w:tcPr>
            <w:tcW w:w="2943" w:type="dxa"/>
            <w:vAlign w:val="center"/>
          </w:tcPr>
          <w:p w:rsidR="002E5AEE" w:rsidRDefault="002E5AEE" w:rsidP="003866E7">
            <w:pPr>
              <w:pStyle w:val="Tablehead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Working Party 5A meetings</w:t>
            </w:r>
          </w:p>
        </w:tc>
        <w:tc>
          <w:tcPr>
            <w:tcW w:w="6912" w:type="dxa"/>
            <w:vAlign w:val="center"/>
          </w:tcPr>
          <w:p w:rsidR="002E5AEE" w:rsidRDefault="002E5AEE" w:rsidP="003866E7">
            <w:pPr>
              <w:pStyle w:val="Tablehead"/>
              <w:rPr>
                <w:rFonts w:asciiTheme="majorBidi" w:hAnsiTheme="majorBidi" w:cstheme="majorBidi"/>
              </w:rPr>
            </w:pPr>
            <w:r w:rsidRPr="00A10336">
              <w:rPr>
                <w:rFonts w:asciiTheme="majorBidi" w:hAnsiTheme="majorBidi" w:cstheme="majorBidi"/>
              </w:rPr>
              <w:t>Actions Taken</w:t>
            </w:r>
          </w:p>
        </w:tc>
      </w:tr>
      <w:tr w:rsidR="002E5AEE" w:rsidTr="003866E7">
        <w:trPr>
          <w:cantSplit/>
          <w:jc w:val="center"/>
        </w:trPr>
        <w:tc>
          <w:tcPr>
            <w:tcW w:w="2943" w:type="dxa"/>
          </w:tcPr>
          <w:p w:rsidR="002E5AEE" w:rsidRDefault="002E5AEE" w:rsidP="003866E7">
            <w:pPr>
              <w:pStyle w:val="Tabletex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  <w:vertAlign w:val="superscript"/>
              </w:rPr>
              <w:t>st</w:t>
            </w:r>
            <w:r>
              <w:rPr>
                <w:rFonts w:asciiTheme="majorBidi" w:hAnsiTheme="majorBidi" w:cstheme="majorBidi"/>
              </w:rPr>
              <w:t xml:space="preserve"> meeting</w:t>
            </w:r>
          </w:p>
          <w:p w:rsidR="002E5AEE" w:rsidRDefault="002E5AEE" w:rsidP="003866E7">
            <w:pPr>
              <w:pStyle w:val="Tabletex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22-31 May 2012</w:t>
            </w:r>
          </w:p>
        </w:tc>
        <w:tc>
          <w:tcPr>
            <w:tcW w:w="6912" w:type="dxa"/>
          </w:tcPr>
          <w:p w:rsidR="002E5AEE" w:rsidRDefault="002E5AEE" w:rsidP="003866E7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–</w:t>
            </w:r>
            <w:r>
              <w:rPr>
                <w:rFonts w:asciiTheme="majorBidi" w:hAnsiTheme="majorBidi" w:cstheme="majorBidi"/>
              </w:rPr>
              <w:tab/>
              <w:t>Begin work on identifying amateur service technical and operational characteristics for systems to be operated in the range 5 250-5 450 kHz.</w:t>
            </w:r>
          </w:p>
          <w:p w:rsidR="002E5AEE" w:rsidRDefault="002E5AEE" w:rsidP="003866E7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–</w:t>
            </w:r>
            <w:r>
              <w:rPr>
                <w:rFonts w:asciiTheme="majorBidi" w:hAnsiTheme="majorBidi" w:cstheme="majorBidi"/>
              </w:rPr>
              <w:tab/>
              <w:t xml:space="preserve">Develop a </w:t>
            </w:r>
            <w:proofErr w:type="spellStart"/>
            <w:r>
              <w:rPr>
                <w:rFonts w:asciiTheme="majorBidi" w:hAnsiTheme="majorBidi" w:cstheme="majorBidi"/>
              </w:rPr>
              <w:t>workplan</w:t>
            </w:r>
            <w:proofErr w:type="spellEnd"/>
            <w:r>
              <w:rPr>
                <w:rFonts w:asciiTheme="majorBidi" w:hAnsiTheme="majorBidi" w:cstheme="majorBidi"/>
              </w:rPr>
              <w:t xml:space="preserve"> for conducting studies and producing outputs relating to WRC-15 agenda item 1.4.</w:t>
            </w:r>
          </w:p>
          <w:p w:rsidR="002E5AEE" w:rsidRDefault="002E5AEE" w:rsidP="003866E7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–</w:t>
            </w:r>
            <w:r>
              <w:rPr>
                <w:rFonts w:asciiTheme="majorBidi" w:hAnsiTheme="majorBidi" w:cstheme="majorBidi"/>
              </w:rPr>
              <w:tab/>
              <w:t xml:space="preserve">Transmit draft of characteristics and </w:t>
            </w:r>
            <w:proofErr w:type="spellStart"/>
            <w:r>
              <w:rPr>
                <w:rFonts w:asciiTheme="majorBidi" w:hAnsiTheme="majorBidi" w:cstheme="majorBidi"/>
              </w:rPr>
              <w:t>workplan</w:t>
            </w:r>
            <w:proofErr w:type="spellEnd"/>
            <w:r>
              <w:rPr>
                <w:rFonts w:asciiTheme="majorBidi" w:hAnsiTheme="majorBidi" w:cstheme="majorBidi"/>
              </w:rPr>
              <w:t xml:space="preserve"> to contributing groups.</w:t>
            </w:r>
          </w:p>
          <w:p w:rsidR="002E5AEE" w:rsidRDefault="002E5AEE" w:rsidP="003866E7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–</w:t>
            </w:r>
            <w:r>
              <w:rPr>
                <w:rFonts w:asciiTheme="majorBidi" w:hAnsiTheme="majorBidi" w:cstheme="majorBidi"/>
              </w:rPr>
              <w:tab/>
              <w:t>Request any needed technical and operational characteristics from contributing groups.</w:t>
            </w:r>
          </w:p>
          <w:p w:rsidR="002E5AEE" w:rsidRDefault="002E5AEE" w:rsidP="003866E7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–</w:t>
            </w:r>
            <w:r>
              <w:rPr>
                <w:rFonts w:asciiTheme="majorBidi" w:hAnsiTheme="majorBidi" w:cstheme="majorBidi"/>
              </w:rPr>
              <w:tab/>
              <w:t>Request CPM text input for sections 1, 2, and 3 from contributing groups.</w:t>
            </w:r>
          </w:p>
        </w:tc>
      </w:tr>
      <w:tr w:rsidR="002E5AEE" w:rsidTr="003866E7">
        <w:trPr>
          <w:cantSplit/>
          <w:jc w:val="center"/>
        </w:trPr>
        <w:tc>
          <w:tcPr>
            <w:tcW w:w="2943" w:type="dxa"/>
          </w:tcPr>
          <w:p w:rsidR="002E5AEE" w:rsidRDefault="002E5AEE" w:rsidP="003866E7">
            <w:pPr>
              <w:pStyle w:val="Tabletex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br w:type="page"/>
              <w:t>2</w:t>
            </w:r>
            <w:r>
              <w:rPr>
                <w:rFonts w:asciiTheme="majorBidi" w:hAnsiTheme="majorBidi" w:cstheme="majorBidi"/>
                <w:vertAlign w:val="superscript"/>
              </w:rPr>
              <w:t>nd</w:t>
            </w:r>
            <w:r>
              <w:rPr>
                <w:rFonts w:asciiTheme="majorBidi" w:hAnsiTheme="majorBidi" w:cstheme="majorBidi"/>
              </w:rPr>
              <w:t xml:space="preserve"> meeting</w:t>
            </w:r>
          </w:p>
          <w:p w:rsidR="002E5AEE" w:rsidRDefault="002E5AEE" w:rsidP="003866E7">
            <w:pPr>
              <w:pStyle w:val="Tabletex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November 2012</w:t>
            </w:r>
          </w:p>
        </w:tc>
        <w:tc>
          <w:tcPr>
            <w:tcW w:w="6912" w:type="dxa"/>
          </w:tcPr>
          <w:p w:rsidR="002E5AEE" w:rsidRDefault="002E5AEE" w:rsidP="003866E7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–</w:t>
            </w:r>
            <w:r>
              <w:rPr>
                <w:rFonts w:asciiTheme="majorBidi" w:hAnsiTheme="majorBidi" w:cstheme="majorBidi"/>
              </w:rPr>
              <w:tab/>
              <w:t>Complete review of amateur service technical and operational characteristics and develop preliminary draft new Report.</w:t>
            </w:r>
          </w:p>
          <w:p w:rsidR="002E5AEE" w:rsidRDefault="002E5AEE" w:rsidP="003866E7">
            <w:pPr>
              <w:pStyle w:val="Tabletex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–</w:t>
            </w:r>
            <w:r>
              <w:rPr>
                <w:rFonts w:asciiTheme="majorBidi" w:hAnsiTheme="majorBidi" w:cstheme="majorBidi"/>
              </w:rPr>
              <w:tab/>
              <w:t xml:space="preserve">Finalize </w:t>
            </w:r>
            <w:proofErr w:type="spellStart"/>
            <w:r>
              <w:rPr>
                <w:rFonts w:asciiTheme="majorBidi" w:hAnsiTheme="majorBidi" w:cstheme="majorBidi"/>
              </w:rPr>
              <w:t>workplan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  <w:p w:rsidR="002E5AEE" w:rsidRDefault="002E5AEE" w:rsidP="003866E7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–</w:t>
            </w:r>
            <w:r>
              <w:rPr>
                <w:rFonts w:asciiTheme="majorBidi" w:hAnsiTheme="majorBidi" w:cstheme="majorBidi"/>
              </w:rPr>
              <w:tab/>
              <w:t>Begin sharing studies between proposed amateur service stations and existing service stations.</w:t>
            </w:r>
          </w:p>
          <w:p w:rsidR="002E5AEE" w:rsidRDefault="002E5AEE" w:rsidP="003866E7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–</w:t>
            </w:r>
            <w:r>
              <w:rPr>
                <w:rFonts w:asciiTheme="majorBidi" w:hAnsiTheme="majorBidi" w:cstheme="majorBidi"/>
              </w:rPr>
              <w:tab/>
              <w:t>Provide any feedback on modelling and characteristics from other groups.</w:t>
            </w:r>
          </w:p>
          <w:p w:rsidR="002E5AEE" w:rsidRDefault="002E5AEE" w:rsidP="003866E7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–</w:t>
            </w:r>
            <w:r>
              <w:rPr>
                <w:rFonts w:asciiTheme="majorBidi" w:hAnsiTheme="majorBidi" w:cstheme="majorBidi"/>
              </w:rPr>
              <w:tab/>
              <w:t>Develop preliminary draft new Report(s) for sharing studies.</w:t>
            </w:r>
          </w:p>
          <w:p w:rsidR="002E5AEE" w:rsidRDefault="002E5AEE" w:rsidP="003866E7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–</w:t>
            </w:r>
            <w:r>
              <w:rPr>
                <w:rFonts w:asciiTheme="majorBidi" w:hAnsiTheme="majorBidi" w:cstheme="majorBidi"/>
              </w:rPr>
              <w:tab/>
              <w:t>Transmit preliminary draft new Report on amateur characteristics to contributing groups for final review.</w:t>
            </w:r>
          </w:p>
          <w:p w:rsidR="002E5AEE" w:rsidRDefault="002E5AEE" w:rsidP="003866E7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–</w:t>
            </w:r>
            <w:r>
              <w:rPr>
                <w:rFonts w:asciiTheme="majorBidi" w:hAnsiTheme="majorBidi" w:cstheme="majorBidi"/>
              </w:rPr>
              <w:tab/>
              <w:t>Transmit preliminary draft new Report(s) on sharing studies to contributing groups as appropriate for review.</w:t>
            </w:r>
          </w:p>
          <w:p w:rsidR="002E5AEE" w:rsidRDefault="002E5AEE" w:rsidP="003866E7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–</w:t>
            </w:r>
            <w:r>
              <w:rPr>
                <w:rFonts w:asciiTheme="majorBidi" w:hAnsiTheme="majorBidi" w:cstheme="majorBidi"/>
              </w:rPr>
              <w:tab/>
              <w:t>Develop draft CPM text for sections 1, 2, and 3, considering and incorporating from contributing groups.</w:t>
            </w:r>
          </w:p>
          <w:p w:rsidR="002E5AEE" w:rsidRDefault="002E5AEE" w:rsidP="003866E7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–</w:t>
            </w:r>
            <w:r>
              <w:rPr>
                <w:rFonts w:asciiTheme="majorBidi" w:hAnsiTheme="majorBidi" w:cstheme="majorBidi"/>
              </w:rPr>
              <w:tab/>
              <w:t>Transmit draft CPM text to contributing groups for review.</w:t>
            </w:r>
          </w:p>
        </w:tc>
      </w:tr>
      <w:tr w:rsidR="002E5AEE" w:rsidTr="003866E7">
        <w:tblPrEx>
          <w:jc w:val="left"/>
        </w:tblPrEx>
        <w:trPr>
          <w:cantSplit/>
        </w:trPr>
        <w:tc>
          <w:tcPr>
            <w:tcW w:w="2943" w:type="dxa"/>
          </w:tcPr>
          <w:p w:rsidR="002E5AEE" w:rsidRDefault="002E5AEE" w:rsidP="003866E7">
            <w:pPr>
              <w:pStyle w:val="Tabletext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meeting</w:t>
            </w:r>
          </w:p>
          <w:p w:rsidR="002E5AEE" w:rsidRDefault="002E5AEE" w:rsidP="003866E7">
            <w:pPr>
              <w:pStyle w:val="Tabletext"/>
            </w:pPr>
            <w:r>
              <w:t>Second Quarter 2013</w:t>
            </w:r>
          </w:p>
        </w:tc>
        <w:tc>
          <w:tcPr>
            <w:tcW w:w="6912" w:type="dxa"/>
          </w:tcPr>
          <w:p w:rsidR="002E5AEE" w:rsidRDefault="002E5AEE" w:rsidP="003866E7">
            <w:pPr>
              <w:pStyle w:val="Tabletext"/>
              <w:ind w:left="284" w:hanging="284"/>
            </w:pPr>
            <w:r>
              <w:t>–</w:t>
            </w:r>
            <w:r>
              <w:tab/>
              <w:t>Complete amateur service technical and operational characteristics draft new Report and send to Study Group 5.</w:t>
            </w:r>
          </w:p>
          <w:p w:rsidR="002E5AEE" w:rsidRDefault="002E5AEE" w:rsidP="003866E7">
            <w:pPr>
              <w:pStyle w:val="Tabletext"/>
              <w:ind w:left="284" w:hanging="284"/>
            </w:pPr>
            <w:r>
              <w:t>–</w:t>
            </w:r>
            <w:r>
              <w:tab/>
              <w:t>Continue sharing studies, taking into account feedback from contributing groups.</w:t>
            </w:r>
          </w:p>
          <w:p w:rsidR="002E5AEE" w:rsidRDefault="002E5AEE" w:rsidP="003866E7">
            <w:pPr>
              <w:pStyle w:val="Tabletext"/>
              <w:ind w:left="284" w:hanging="284"/>
            </w:pPr>
            <w:r>
              <w:t>–</w:t>
            </w:r>
            <w:r>
              <w:tab/>
              <w:t>Update preliminary draft new Report(s) for sharing studies as appropriate.</w:t>
            </w:r>
          </w:p>
          <w:p w:rsidR="002E5AEE" w:rsidRDefault="002E5AEE" w:rsidP="003866E7">
            <w:pPr>
              <w:pStyle w:val="Tabletext"/>
              <w:ind w:left="284" w:hanging="284"/>
            </w:pPr>
            <w:r>
              <w:t>–</w:t>
            </w:r>
            <w:r>
              <w:tab/>
              <w:t>Develop CPM text for section 4, considering and incorporating from contributing groups.</w:t>
            </w:r>
          </w:p>
          <w:p w:rsidR="002E5AEE" w:rsidRDefault="002E5AEE" w:rsidP="003866E7">
            <w:pPr>
              <w:pStyle w:val="Tabletext"/>
              <w:ind w:left="284" w:hanging="284"/>
            </w:pPr>
            <w:r>
              <w:t>–</w:t>
            </w:r>
            <w:r>
              <w:tab/>
              <w:t>Transmit updated preliminary draft new Report(s) on sharing studies to contributing groups as appropriate for review.</w:t>
            </w:r>
          </w:p>
          <w:p w:rsidR="002E5AEE" w:rsidRDefault="002E5AEE" w:rsidP="003866E7">
            <w:pPr>
              <w:pStyle w:val="Tabletext"/>
              <w:ind w:left="284" w:hanging="284"/>
            </w:pPr>
            <w:r>
              <w:t>–</w:t>
            </w:r>
            <w:r>
              <w:tab/>
              <w:t>Transmit draft CPM text to contributing groups for review.</w:t>
            </w:r>
          </w:p>
        </w:tc>
      </w:tr>
      <w:tr w:rsidR="002E5AEE" w:rsidTr="003866E7">
        <w:tblPrEx>
          <w:jc w:val="left"/>
        </w:tblPrEx>
        <w:trPr>
          <w:cantSplit/>
        </w:trPr>
        <w:tc>
          <w:tcPr>
            <w:tcW w:w="2943" w:type="dxa"/>
          </w:tcPr>
          <w:p w:rsidR="002E5AEE" w:rsidRDefault="002E5AEE" w:rsidP="003866E7">
            <w:pPr>
              <w:pStyle w:val="Tabletext"/>
            </w:pPr>
            <w:r>
              <w:lastRenderedPageBreak/>
              <w:t>4</w:t>
            </w:r>
            <w:r>
              <w:rPr>
                <w:vertAlign w:val="superscript"/>
              </w:rPr>
              <w:t>th</w:t>
            </w:r>
            <w:r>
              <w:t xml:space="preserve"> meeting</w:t>
            </w:r>
          </w:p>
          <w:p w:rsidR="002E5AEE" w:rsidRDefault="002E5AEE" w:rsidP="003866E7">
            <w:pPr>
              <w:pStyle w:val="Tabletext"/>
            </w:pPr>
            <w:r>
              <w:t>Fourth Quarter 2013</w:t>
            </w:r>
          </w:p>
        </w:tc>
        <w:tc>
          <w:tcPr>
            <w:tcW w:w="6912" w:type="dxa"/>
          </w:tcPr>
          <w:p w:rsidR="002E5AEE" w:rsidRDefault="002E5AEE" w:rsidP="003866E7">
            <w:pPr>
              <w:pStyle w:val="Tabletext"/>
              <w:ind w:left="284" w:hanging="284"/>
            </w:pPr>
            <w:r>
              <w:t>–</w:t>
            </w:r>
            <w:r>
              <w:tab/>
              <w:t>Continue sharing studies taking into account feedback from contributing groups.</w:t>
            </w:r>
          </w:p>
          <w:p w:rsidR="002E5AEE" w:rsidRDefault="002E5AEE" w:rsidP="003866E7">
            <w:pPr>
              <w:pStyle w:val="Tabletext"/>
              <w:ind w:left="284" w:hanging="284"/>
            </w:pPr>
            <w:r>
              <w:t>–</w:t>
            </w:r>
            <w:r>
              <w:tab/>
              <w:t>Prepare draft new Report(s) on sharing studies as appropriate.</w:t>
            </w:r>
          </w:p>
          <w:p w:rsidR="002E5AEE" w:rsidRDefault="002E5AEE" w:rsidP="003866E7">
            <w:pPr>
              <w:pStyle w:val="Tabletext"/>
              <w:ind w:left="284" w:hanging="284"/>
            </w:pPr>
            <w:r>
              <w:t>–</w:t>
            </w:r>
            <w:r>
              <w:tab/>
              <w:t>Develop CPM text for sections 5 and 6, considering and incorporating from contributing groups.</w:t>
            </w:r>
          </w:p>
          <w:p w:rsidR="002E5AEE" w:rsidRDefault="002E5AEE" w:rsidP="003866E7">
            <w:pPr>
              <w:pStyle w:val="Tabletext"/>
              <w:ind w:left="284" w:hanging="284"/>
            </w:pPr>
            <w:r>
              <w:t>–</w:t>
            </w:r>
            <w:r>
              <w:tab/>
              <w:t>Transmit draft new Report(s) on sharing studies to contributing groups as appropriate for final review.</w:t>
            </w:r>
          </w:p>
          <w:p w:rsidR="002E5AEE" w:rsidRDefault="002E5AEE" w:rsidP="003866E7">
            <w:pPr>
              <w:pStyle w:val="Tabletext"/>
              <w:ind w:left="284" w:hanging="284"/>
            </w:pPr>
            <w:r>
              <w:t>–</w:t>
            </w:r>
            <w:r>
              <w:tab/>
              <w:t>Transmit draft CPM text to contributing groups for review</w:t>
            </w:r>
          </w:p>
        </w:tc>
      </w:tr>
      <w:tr w:rsidR="002E5AEE" w:rsidTr="003866E7">
        <w:tblPrEx>
          <w:jc w:val="left"/>
        </w:tblPrEx>
        <w:trPr>
          <w:cantSplit/>
        </w:trPr>
        <w:tc>
          <w:tcPr>
            <w:tcW w:w="2943" w:type="dxa"/>
          </w:tcPr>
          <w:p w:rsidR="002E5AEE" w:rsidRDefault="002E5AEE" w:rsidP="003866E7">
            <w:pPr>
              <w:pStyle w:val="Tabletext"/>
            </w:pPr>
            <w:r>
              <w:t>5</w:t>
            </w:r>
            <w:r>
              <w:rPr>
                <w:vertAlign w:val="superscript"/>
              </w:rPr>
              <w:t>th</w:t>
            </w:r>
            <w:r>
              <w:t xml:space="preserve"> meeting</w:t>
            </w:r>
          </w:p>
          <w:p w:rsidR="002E5AEE" w:rsidRDefault="002E5AEE" w:rsidP="003866E7">
            <w:pPr>
              <w:pStyle w:val="Tabletext"/>
            </w:pPr>
            <w:r>
              <w:t>Second Quarter 2014</w:t>
            </w:r>
          </w:p>
        </w:tc>
        <w:tc>
          <w:tcPr>
            <w:tcW w:w="6912" w:type="dxa"/>
          </w:tcPr>
          <w:p w:rsidR="002E5AEE" w:rsidRDefault="002E5AEE" w:rsidP="003866E7">
            <w:pPr>
              <w:pStyle w:val="Tabletext"/>
              <w:ind w:left="284" w:hanging="284"/>
            </w:pPr>
            <w:r>
              <w:t>–</w:t>
            </w:r>
            <w:r>
              <w:tab/>
              <w:t>Continue sharing studies taking into account feedback from contributing groups.</w:t>
            </w:r>
          </w:p>
          <w:p w:rsidR="002E5AEE" w:rsidRDefault="002E5AEE" w:rsidP="003866E7">
            <w:pPr>
              <w:pStyle w:val="Tabletext"/>
              <w:ind w:left="284" w:hanging="284"/>
            </w:pPr>
            <w:r>
              <w:t>–</w:t>
            </w:r>
            <w:r>
              <w:tab/>
              <w:t>Prepare draft new Report(s) on sharing studies as appropriate.</w:t>
            </w:r>
          </w:p>
          <w:p w:rsidR="002E5AEE" w:rsidRDefault="002E5AEE" w:rsidP="003866E7">
            <w:pPr>
              <w:pStyle w:val="Tabletext"/>
              <w:ind w:left="284" w:hanging="284"/>
            </w:pPr>
            <w:r>
              <w:t>–</w:t>
            </w:r>
            <w:r>
              <w:tab/>
              <w:t>Finalize CPM text, considering and incorporating from contributing groups.</w:t>
            </w:r>
          </w:p>
          <w:p w:rsidR="002E5AEE" w:rsidRDefault="002E5AEE" w:rsidP="003866E7">
            <w:pPr>
              <w:pStyle w:val="Tabletext"/>
            </w:pPr>
            <w:r>
              <w:t>–</w:t>
            </w:r>
            <w:r>
              <w:tab/>
              <w:t>Transmit draft CPM text to Chapter Rapporteur.</w:t>
            </w:r>
          </w:p>
        </w:tc>
      </w:tr>
    </w:tbl>
    <w:p w:rsidR="002E5AEE" w:rsidRDefault="002E5AEE" w:rsidP="002E5AEE"/>
    <w:p w:rsidR="002E5AEE" w:rsidRDefault="002E5AEE" w:rsidP="002E5AEE">
      <w:r w:rsidRPr="00602545">
        <w:t>Remaining actions at future meetings of WP 5A:</w:t>
      </w:r>
    </w:p>
    <w:p w:rsidR="002E5AEE" w:rsidRDefault="002E5AEE" w:rsidP="002E5A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912"/>
      </w:tblGrid>
      <w:tr w:rsidR="002E5AEE" w:rsidTr="003866E7">
        <w:trPr>
          <w:cantSplit/>
        </w:trPr>
        <w:tc>
          <w:tcPr>
            <w:tcW w:w="2943" w:type="dxa"/>
          </w:tcPr>
          <w:p w:rsidR="002E5AEE" w:rsidRDefault="002E5AEE" w:rsidP="003866E7">
            <w:pPr>
              <w:pStyle w:val="Tabletext"/>
            </w:pPr>
            <w:r>
              <w:t>6</w:t>
            </w:r>
            <w:r w:rsidRPr="000601A5">
              <w:rPr>
                <w:vertAlign w:val="superscript"/>
              </w:rPr>
              <w:t>th</w:t>
            </w:r>
            <w:r>
              <w:t xml:space="preserve"> meeting</w:t>
            </w:r>
          </w:p>
          <w:p w:rsidR="002E5AEE" w:rsidRDefault="002E5AEE" w:rsidP="003866E7">
            <w:pPr>
              <w:pStyle w:val="Tabletext"/>
            </w:pPr>
            <w:r>
              <w:t>Fourth Quarter 2014</w:t>
            </w:r>
          </w:p>
        </w:tc>
        <w:tc>
          <w:tcPr>
            <w:tcW w:w="6912" w:type="dxa"/>
          </w:tcPr>
          <w:p w:rsidR="002E5AEE" w:rsidRDefault="002E5AEE" w:rsidP="003866E7">
            <w:pPr>
              <w:pStyle w:val="Tabletext"/>
              <w:ind w:left="284" w:hanging="284"/>
            </w:pPr>
            <w:r>
              <w:t>–</w:t>
            </w:r>
            <w:r>
              <w:tab/>
              <w:t>Complete sharing studies taking into account feedback from contributing groups.</w:t>
            </w:r>
          </w:p>
          <w:p w:rsidR="002E5AEE" w:rsidRDefault="002E5AEE" w:rsidP="003866E7">
            <w:pPr>
              <w:pStyle w:val="Tabletext"/>
              <w:ind w:left="284" w:hanging="284"/>
            </w:pPr>
            <w:r>
              <w:t>–</w:t>
            </w:r>
            <w:r>
              <w:tab/>
              <w:t xml:space="preserve">Complete draft new Report(s) on sharing studies and send to Study Group 5. </w:t>
            </w:r>
          </w:p>
        </w:tc>
      </w:tr>
    </w:tbl>
    <w:p w:rsidR="002E5AEE" w:rsidRDefault="002E5AEE" w:rsidP="002E5AEE">
      <w:pPr>
        <w:spacing w:line="240" w:lineRule="atLeast"/>
        <w:rPr>
          <w:color w:val="000000"/>
          <w:spacing w:val="-2"/>
        </w:rPr>
      </w:pPr>
    </w:p>
    <w:p w:rsidR="002E5AEE" w:rsidRDefault="002E5AEE" w:rsidP="002E5AEE">
      <w:pPr>
        <w:spacing w:line="240" w:lineRule="atLeast"/>
        <w:rPr>
          <w:color w:val="000000"/>
          <w:spacing w:val="-2"/>
        </w:rPr>
      </w:pPr>
      <w:r>
        <w:rPr>
          <w:color w:val="000000"/>
          <w:spacing w:val="-2"/>
        </w:rPr>
        <w:t>The l</w:t>
      </w:r>
      <w:r w:rsidRPr="00B17C37">
        <w:rPr>
          <w:color w:val="000000"/>
          <w:spacing w:val="-2"/>
        </w:rPr>
        <w:t xml:space="preserve">ist of relevant Recommendations and Reports </w:t>
      </w:r>
      <w:r>
        <w:rPr>
          <w:color w:val="000000"/>
          <w:spacing w:val="-2"/>
        </w:rPr>
        <w:t xml:space="preserve">referred to in the </w:t>
      </w:r>
      <w:r w:rsidRPr="00B17C37">
        <w:rPr>
          <w:color w:val="000000"/>
          <w:spacing w:val="-2"/>
        </w:rPr>
        <w:t xml:space="preserve">draft CPM text </w:t>
      </w:r>
      <w:r>
        <w:rPr>
          <w:color w:val="000000"/>
          <w:spacing w:val="-2"/>
        </w:rPr>
        <w:t>and the l</w:t>
      </w:r>
      <w:r w:rsidRPr="00B17C37">
        <w:rPr>
          <w:color w:val="000000"/>
          <w:spacing w:val="-2"/>
        </w:rPr>
        <w:t>ist of abbreviations and acronyms used in the draft CPM text for agenda item 1.4</w:t>
      </w:r>
      <w:r>
        <w:rPr>
          <w:color w:val="000000"/>
          <w:spacing w:val="-2"/>
        </w:rPr>
        <w:t xml:space="preserve"> appear in Attachments 1 and 2, respectively.</w:t>
      </w:r>
    </w:p>
    <w:p w:rsidR="002E5AEE" w:rsidRDefault="002E5AEE" w:rsidP="002E5AEE">
      <w:pPr>
        <w:spacing w:line="240" w:lineRule="atLeast"/>
        <w:rPr>
          <w:color w:val="000000"/>
          <w:spacing w:val="-2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50"/>
        <w:gridCol w:w="4182"/>
        <w:gridCol w:w="4691"/>
      </w:tblGrid>
      <w:tr w:rsidR="002E5AEE" w:rsidRPr="005B0978" w:rsidTr="003866E7">
        <w:trPr>
          <w:cantSplit/>
          <w:trHeight w:val="204"/>
        </w:trPr>
        <w:tc>
          <w:tcPr>
            <w:tcW w:w="1050" w:type="dxa"/>
          </w:tcPr>
          <w:p w:rsidR="002E5AEE" w:rsidRDefault="002E5AEE" w:rsidP="003866E7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182" w:type="dxa"/>
          </w:tcPr>
          <w:p w:rsidR="002E5AEE" w:rsidRDefault="002E5AEE" w:rsidP="003866E7">
            <w:pPr>
              <w:jc w:val="both"/>
              <w:rPr>
                <w:szCs w:val="24"/>
              </w:rPr>
            </w:pPr>
            <w:r>
              <w:rPr>
                <w:szCs w:val="24"/>
                <w:lang w:eastAsia="ko-KR"/>
              </w:rPr>
              <w:t>Dale Hughes</w:t>
            </w:r>
          </w:p>
        </w:tc>
        <w:tc>
          <w:tcPr>
            <w:tcW w:w="4691" w:type="dxa"/>
          </w:tcPr>
          <w:p w:rsidR="002E5AEE" w:rsidRPr="00A10336" w:rsidRDefault="002E5AEE" w:rsidP="003866E7">
            <w:pPr>
              <w:jc w:val="both"/>
              <w:rPr>
                <w:szCs w:val="24"/>
                <w:lang w:val="pt-PT" w:eastAsia="ko-KR"/>
              </w:rPr>
            </w:pPr>
            <w:r w:rsidRPr="00A10336">
              <w:rPr>
                <w:b/>
                <w:bCs/>
                <w:szCs w:val="24"/>
                <w:lang w:val="pt-PT"/>
              </w:rPr>
              <w:t>E-mail:</w:t>
            </w:r>
            <w:r w:rsidRPr="00A10336">
              <w:rPr>
                <w:szCs w:val="24"/>
                <w:lang w:val="pt-PT"/>
              </w:rPr>
              <w:t xml:space="preserve">  </w:t>
            </w:r>
            <w:hyperlink r:id="rId8" w:history="1">
              <w:r w:rsidRPr="00A10336">
                <w:rPr>
                  <w:rStyle w:val="Hyperlink"/>
                  <w:lang w:val="pt-PT"/>
                </w:rPr>
                <w:t>daleVK1DSH@gmail.com</w:t>
              </w:r>
            </w:hyperlink>
          </w:p>
        </w:tc>
      </w:tr>
    </w:tbl>
    <w:p w:rsidR="002E5AEE" w:rsidRDefault="002E5AEE" w:rsidP="002E5AEE">
      <w:pPr>
        <w:rPr>
          <w:lang w:val="pt-PT" w:eastAsia="zh-CN"/>
        </w:rPr>
      </w:pPr>
    </w:p>
    <w:p w:rsidR="002E5AEE" w:rsidRPr="00B17C37" w:rsidRDefault="002E5AEE" w:rsidP="002E5AEE">
      <w:pPr>
        <w:rPr>
          <w:b/>
          <w:lang w:val="en-CA" w:eastAsia="zh-CN"/>
        </w:rPr>
      </w:pPr>
      <w:r>
        <w:rPr>
          <w:b/>
          <w:lang w:val="en-CA" w:eastAsia="zh-CN"/>
        </w:rPr>
        <w:t>Attach</w:t>
      </w:r>
      <w:r w:rsidRPr="00B17C37">
        <w:rPr>
          <w:b/>
          <w:lang w:val="en-CA" w:eastAsia="zh-CN"/>
        </w:rPr>
        <w:t>ments:</w:t>
      </w:r>
    </w:p>
    <w:p w:rsidR="002E5AEE" w:rsidRDefault="002E5AEE" w:rsidP="002E5AEE">
      <w:pPr>
        <w:tabs>
          <w:tab w:val="clear" w:pos="1134"/>
          <w:tab w:val="clear" w:pos="1871"/>
          <w:tab w:val="clear" w:pos="2268"/>
          <w:tab w:val="left" w:pos="1560"/>
        </w:tabs>
        <w:rPr>
          <w:lang w:val="en-CA" w:eastAsia="zh-CN"/>
        </w:rPr>
      </w:pPr>
      <w:r>
        <w:rPr>
          <w:lang w:val="en-CA" w:eastAsia="zh-CN"/>
        </w:rPr>
        <w:t>Attachment 1:</w:t>
      </w:r>
      <w:r>
        <w:rPr>
          <w:lang w:val="en-CA" w:eastAsia="zh-CN"/>
        </w:rPr>
        <w:tab/>
        <w:t xml:space="preserve">List of relevant Recommendations and Reports </w:t>
      </w:r>
      <w:r w:rsidRPr="006A57DD">
        <w:rPr>
          <w:lang w:val="en-CA" w:eastAsia="zh-CN"/>
        </w:rPr>
        <w:t>for agenda item 1.4</w:t>
      </w:r>
    </w:p>
    <w:p w:rsidR="002E5AEE" w:rsidRDefault="002E5AEE" w:rsidP="002E5AEE">
      <w:pPr>
        <w:tabs>
          <w:tab w:val="clear" w:pos="1134"/>
          <w:tab w:val="clear" w:pos="1871"/>
          <w:tab w:val="clear" w:pos="2268"/>
          <w:tab w:val="left" w:pos="1560"/>
        </w:tabs>
        <w:rPr>
          <w:lang w:val="en-CA" w:eastAsia="zh-CN"/>
        </w:rPr>
      </w:pPr>
      <w:r w:rsidRPr="006A57DD">
        <w:rPr>
          <w:lang w:val="en-CA" w:eastAsia="zh-CN"/>
        </w:rPr>
        <w:t xml:space="preserve">Attachment </w:t>
      </w:r>
      <w:r>
        <w:rPr>
          <w:lang w:val="en-CA" w:eastAsia="zh-CN"/>
        </w:rPr>
        <w:t>2</w:t>
      </w:r>
      <w:r w:rsidRPr="006A57DD">
        <w:rPr>
          <w:lang w:val="en-CA" w:eastAsia="zh-CN"/>
        </w:rPr>
        <w:t>:</w:t>
      </w:r>
      <w:r w:rsidRPr="006A57DD">
        <w:rPr>
          <w:lang w:val="en-CA" w:eastAsia="zh-CN"/>
        </w:rPr>
        <w:tab/>
        <w:t>List of abbreviations and acronyms used in the draft CPM text for agenda item 1.4</w:t>
      </w:r>
    </w:p>
    <w:p w:rsidR="002E5AEE" w:rsidRDefault="002E5AEE" w:rsidP="002E5AE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CA" w:eastAsia="zh-CN"/>
        </w:rPr>
      </w:pPr>
      <w:r>
        <w:rPr>
          <w:lang w:val="en-CA" w:eastAsia="zh-CN"/>
        </w:rPr>
        <w:br w:type="page"/>
      </w:r>
      <w:bookmarkStart w:id="9" w:name="_GoBack"/>
      <w:bookmarkEnd w:id="9"/>
    </w:p>
    <w:p w:rsidR="002E5AEE" w:rsidRPr="00B17C37" w:rsidRDefault="002E5AEE" w:rsidP="00B53D93">
      <w:pPr>
        <w:pStyle w:val="AppendixNo"/>
        <w:rPr>
          <w:lang w:val="en-CA" w:eastAsia="zh-CN"/>
        </w:rPr>
      </w:pPr>
      <w:r w:rsidRPr="00B17C37">
        <w:rPr>
          <w:lang w:val="en-CA" w:eastAsia="zh-CN"/>
        </w:rPr>
        <w:lastRenderedPageBreak/>
        <w:t>Attachment 1</w:t>
      </w:r>
    </w:p>
    <w:p w:rsidR="002E5AEE" w:rsidRPr="00CB44F3" w:rsidRDefault="002E5AEE" w:rsidP="00B53D93">
      <w:pPr>
        <w:pStyle w:val="Appendixtitle"/>
        <w:rPr>
          <w:lang w:val="en-CA" w:eastAsia="zh-CN"/>
        </w:rPr>
      </w:pPr>
      <w:r w:rsidRPr="00CB44F3">
        <w:rPr>
          <w:lang w:val="en-CA" w:eastAsia="zh-CN"/>
        </w:rPr>
        <w:t>List of relevant Recommendations and Reports for agenda item 1.4</w:t>
      </w:r>
    </w:p>
    <w:p w:rsidR="002E5AEE" w:rsidRDefault="002E5AEE" w:rsidP="002E5AEE">
      <w:pPr>
        <w:spacing w:after="60"/>
        <w:rPr>
          <w:lang w:val="en-US"/>
        </w:rPr>
      </w:pPr>
      <w:r>
        <w:rPr>
          <w:b/>
          <w:lang w:val="en-CA" w:eastAsia="zh-CN"/>
        </w:rPr>
        <w:t>ITU-R Recommendations:</w:t>
      </w: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2"/>
        <w:gridCol w:w="1912"/>
        <w:gridCol w:w="2513"/>
        <w:gridCol w:w="3024"/>
        <w:gridCol w:w="971"/>
        <w:gridCol w:w="1053"/>
      </w:tblGrid>
      <w:tr w:rsidR="002E5AEE" w:rsidRPr="007E01A4" w:rsidTr="003866E7">
        <w:trPr>
          <w:cantSplit/>
          <w:tblHeader/>
          <w:jc w:val="center"/>
        </w:trPr>
        <w:tc>
          <w:tcPr>
            <w:tcW w:w="812" w:type="dxa"/>
            <w:vAlign w:val="center"/>
          </w:tcPr>
          <w:p w:rsidR="002E5AEE" w:rsidRPr="007E01A4" w:rsidRDefault="002E5AEE" w:rsidP="00B53D93">
            <w:pPr>
              <w:pStyle w:val="Tablehead"/>
              <w:rPr>
                <w:rFonts w:eastAsia="SimSun"/>
                <w:lang w:eastAsia="zh-CN"/>
              </w:rPr>
            </w:pPr>
            <w:r w:rsidRPr="007E01A4">
              <w:rPr>
                <w:rFonts w:eastAsia="SimSun"/>
                <w:lang w:eastAsia="zh-CN"/>
              </w:rPr>
              <w:t>ITU-R Series</w:t>
            </w:r>
          </w:p>
        </w:tc>
        <w:tc>
          <w:tcPr>
            <w:tcW w:w="1912" w:type="dxa"/>
            <w:vAlign w:val="center"/>
          </w:tcPr>
          <w:p w:rsidR="002E5AEE" w:rsidRPr="007E01A4" w:rsidRDefault="002E5AEE" w:rsidP="00B53D93">
            <w:pPr>
              <w:pStyle w:val="Tablehead"/>
              <w:rPr>
                <w:rFonts w:eastAsia="SimSun"/>
                <w:lang w:eastAsia="zh-CN"/>
              </w:rPr>
            </w:pPr>
            <w:r w:rsidRPr="007E01A4">
              <w:rPr>
                <w:rFonts w:eastAsia="SimSun"/>
                <w:lang w:eastAsia="zh-CN"/>
              </w:rPr>
              <w:t>Recommendation Number</w:t>
            </w:r>
          </w:p>
        </w:tc>
        <w:tc>
          <w:tcPr>
            <w:tcW w:w="2513" w:type="dxa"/>
            <w:vAlign w:val="center"/>
          </w:tcPr>
          <w:p w:rsidR="002E5AEE" w:rsidRPr="007E01A4" w:rsidRDefault="002E5AEE" w:rsidP="00B53D93">
            <w:pPr>
              <w:pStyle w:val="Tablehead"/>
              <w:rPr>
                <w:rFonts w:eastAsia="SimSun"/>
                <w:lang w:eastAsia="zh-CN"/>
              </w:rPr>
            </w:pPr>
            <w:r w:rsidRPr="007E01A4">
              <w:rPr>
                <w:rFonts w:eastAsia="SimSun"/>
                <w:lang w:eastAsia="zh-CN"/>
              </w:rPr>
              <w:t>Latest Publication</w:t>
            </w:r>
          </w:p>
        </w:tc>
        <w:tc>
          <w:tcPr>
            <w:tcW w:w="3024" w:type="dxa"/>
            <w:vAlign w:val="center"/>
          </w:tcPr>
          <w:p w:rsidR="002E5AEE" w:rsidRPr="007E01A4" w:rsidRDefault="002E5AEE" w:rsidP="00B53D93">
            <w:pPr>
              <w:pStyle w:val="Tablehead"/>
              <w:rPr>
                <w:rFonts w:eastAsia="SimSun"/>
                <w:lang w:eastAsia="zh-CN"/>
              </w:rPr>
            </w:pPr>
            <w:r w:rsidRPr="007E01A4">
              <w:rPr>
                <w:rFonts w:eastAsia="SimSun"/>
                <w:lang w:eastAsia="zh-CN"/>
              </w:rPr>
              <w:t>Recommendation Title</w:t>
            </w:r>
          </w:p>
        </w:tc>
        <w:tc>
          <w:tcPr>
            <w:tcW w:w="971" w:type="dxa"/>
            <w:vAlign w:val="center"/>
          </w:tcPr>
          <w:p w:rsidR="002E5AEE" w:rsidRPr="007E01A4" w:rsidRDefault="002E5AEE" w:rsidP="00B53D93">
            <w:pPr>
              <w:pStyle w:val="Tablehead"/>
              <w:rPr>
                <w:rFonts w:eastAsia="SimSun"/>
                <w:lang w:eastAsia="zh-CN"/>
              </w:rPr>
            </w:pPr>
            <w:r w:rsidRPr="007E01A4">
              <w:rPr>
                <w:rFonts w:eastAsia="SimSun"/>
                <w:lang w:eastAsia="zh-CN"/>
              </w:rPr>
              <w:t>Agenda Item</w:t>
            </w:r>
          </w:p>
        </w:tc>
        <w:tc>
          <w:tcPr>
            <w:tcW w:w="1053" w:type="dxa"/>
            <w:vAlign w:val="center"/>
          </w:tcPr>
          <w:p w:rsidR="002E5AEE" w:rsidRPr="007E01A4" w:rsidRDefault="002E5AEE" w:rsidP="00B53D93">
            <w:pPr>
              <w:pStyle w:val="Tablehead"/>
              <w:rPr>
                <w:rFonts w:eastAsia="SimSun"/>
                <w:lang w:eastAsia="zh-CN"/>
              </w:rPr>
            </w:pPr>
            <w:r w:rsidRPr="007E01A4">
              <w:rPr>
                <w:rFonts w:eastAsia="SimSun"/>
                <w:lang w:eastAsia="zh-CN"/>
              </w:rPr>
              <w:t>CPM</w:t>
            </w:r>
            <w:r w:rsidRPr="007E01A4">
              <w:rPr>
                <w:rFonts w:eastAsia="SimSun"/>
                <w:lang w:eastAsia="zh-CN"/>
              </w:rPr>
              <w:br/>
              <w:t>Chapter</w:t>
            </w:r>
          </w:p>
        </w:tc>
      </w:tr>
      <w:tr w:rsidR="002E5AEE" w:rsidRPr="007E01A4" w:rsidTr="003866E7">
        <w:trPr>
          <w:cantSplit/>
          <w:jc w:val="center"/>
        </w:trPr>
        <w:tc>
          <w:tcPr>
            <w:tcW w:w="812" w:type="dxa"/>
            <w:tcBorders>
              <w:right w:val="nil"/>
            </w:tcBorders>
            <w:vAlign w:val="center"/>
          </w:tcPr>
          <w:p w:rsidR="002E5AEE" w:rsidRPr="007E01A4" w:rsidRDefault="002E5AEE" w:rsidP="00B53D93">
            <w:pPr>
              <w:pStyle w:val="Tabletext"/>
            </w:pPr>
            <w:r>
              <w:t>F</w:t>
            </w:r>
            <w:r w:rsidRPr="007E01A4">
              <w:t>.</w:t>
            </w:r>
          </w:p>
        </w:tc>
        <w:tc>
          <w:tcPr>
            <w:tcW w:w="1912" w:type="dxa"/>
            <w:tcBorders>
              <w:left w:val="nil"/>
            </w:tcBorders>
            <w:vAlign w:val="center"/>
          </w:tcPr>
          <w:p w:rsidR="002E5AEE" w:rsidRPr="007E01A4" w:rsidRDefault="002E5AEE" w:rsidP="00B53D93">
            <w:pPr>
              <w:pStyle w:val="Tabletext"/>
            </w:pPr>
            <w:r w:rsidRPr="007E01A4">
              <w:rPr>
                <w:color w:val="FFFFFF"/>
                <w:lang w:eastAsia="zh-CN"/>
              </w:rPr>
              <w:t>0</w:t>
            </w:r>
            <w:r>
              <w:rPr>
                <w:lang w:eastAsia="zh-CN"/>
              </w:rPr>
              <w:t>240</w:t>
            </w:r>
          </w:p>
        </w:tc>
        <w:tc>
          <w:tcPr>
            <w:tcW w:w="2513" w:type="dxa"/>
            <w:vAlign w:val="center"/>
          </w:tcPr>
          <w:p w:rsidR="002E5AEE" w:rsidRPr="007E01A4" w:rsidRDefault="000464AF" w:rsidP="00B53D93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hyperlink r:id="rId9" w:history="1">
              <w:r w:rsidR="002E5AEE" w:rsidRPr="000464AF">
                <w:rPr>
                  <w:rStyle w:val="Hyperlink"/>
                  <w:lang w:val="en-US"/>
                </w:rPr>
                <w:t>Rec. ITU-R F.240-7</w:t>
              </w:r>
            </w:hyperlink>
          </w:p>
        </w:tc>
        <w:tc>
          <w:tcPr>
            <w:tcW w:w="3024" w:type="dxa"/>
          </w:tcPr>
          <w:p w:rsidR="002E5AEE" w:rsidRPr="007E01A4" w:rsidRDefault="002E5AEE" w:rsidP="00B53D93">
            <w:pPr>
              <w:pStyle w:val="Tabletext"/>
              <w:rPr>
                <w:rFonts w:eastAsia="SimSun"/>
                <w:color w:val="000000"/>
                <w:lang w:val="en-US"/>
              </w:rPr>
            </w:pPr>
            <w:r w:rsidRPr="007434BA">
              <w:rPr>
                <w:lang w:val="en-US"/>
              </w:rPr>
              <w:t>Signal-to-interference protection ratios for various classes of emission in the f</w:t>
            </w:r>
            <w:r>
              <w:rPr>
                <w:lang w:val="en-US"/>
              </w:rPr>
              <w:t>ixed service below about 30 MHz</w:t>
            </w:r>
          </w:p>
        </w:tc>
        <w:tc>
          <w:tcPr>
            <w:tcW w:w="971" w:type="dxa"/>
            <w:vAlign w:val="center"/>
          </w:tcPr>
          <w:p w:rsidR="002E5AEE" w:rsidRPr="007E01A4" w:rsidRDefault="002E5AEE" w:rsidP="00B53D93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E01A4">
              <w:rPr>
                <w:color w:val="000000"/>
                <w:lang w:eastAsia="zh-CN"/>
              </w:rPr>
              <w:t>1.</w:t>
            </w:r>
            <w:r>
              <w:rPr>
                <w:color w:val="000000"/>
                <w:lang w:eastAsia="zh-CN"/>
              </w:rPr>
              <w:t>4</w:t>
            </w:r>
          </w:p>
        </w:tc>
        <w:tc>
          <w:tcPr>
            <w:tcW w:w="1053" w:type="dxa"/>
            <w:vAlign w:val="center"/>
          </w:tcPr>
          <w:p w:rsidR="002E5AEE" w:rsidRPr="007E01A4" w:rsidRDefault="002E5AEE" w:rsidP="00B53D93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</w:t>
            </w:r>
          </w:p>
        </w:tc>
      </w:tr>
      <w:tr w:rsidR="002E5AEE" w:rsidRPr="007E01A4" w:rsidTr="003866E7">
        <w:trPr>
          <w:cantSplit/>
          <w:jc w:val="center"/>
        </w:trPr>
        <w:tc>
          <w:tcPr>
            <w:tcW w:w="812" w:type="dxa"/>
            <w:tcBorders>
              <w:right w:val="nil"/>
            </w:tcBorders>
            <w:vAlign w:val="center"/>
          </w:tcPr>
          <w:p w:rsidR="002E5AEE" w:rsidRPr="007E01A4" w:rsidRDefault="002E5AEE" w:rsidP="00B53D93">
            <w:pPr>
              <w:pStyle w:val="Tabletext"/>
            </w:pPr>
            <w:r>
              <w:t>F</w:t>
            </w:r>
            <w:r w:rsidRPr="007E01A4">
              <w:t>.</w:t>
            </w:r>
          </w:p>
        </w:tc>
        <w:tc>
          <w:tcPr>
            <w:tcW w:w="1912" w:type="dxa"/>
            <w:tcBorders>
              <w:left w:val="nil"/>
            </w:tcBorders>
            <w:vAlign w:val="center"/>
          </w:tcPr>
          <w:p w:rsidR="002E5AEE" w:rsidRPr="007E01A4" w:rsidRDefault="002E5AEE" w:rsidP="00B53D93">
            <w:pPr>
              <w:pStyle w:val="Tabletext"/>
              <w:rPr>
                <w:color w:val="FFFFFF"/>
              </w:rPr>
            </w:pPr>
            <w:r w:rsidRPr="007E01A4">
              <w:rPr>
                <w:color w:val="FFFFFF"/>
                <w:lang w:eastAsia="zh-CN"/>
              </w:rPr>
              <w:t>0</w:t>
            </w:r>
            <w:r>
              <w:rPr>
                <w:lang w:eastAsia="zh-CN"/>
              </w:rPr>
              <w:t>339</w:t>
            </w:r>
          </w:p>
        </w:tc>
        <w:tc>
          <w:tcPr>
            <w:tcW w:w="2513" w:type="dxa"/>
            <w:vAlign w:val="center"/>
          </w:tcPr>
          <w:p w:rsidR="002E5AEE" w:rsidRPr="007E01A4" w:rsidRDefault="002E5AEE" w:rsidP="00B53D93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hyperlink r:id="rId10" w:history="1">
              <w:r w:rsidRPr="007434BA">
                <w:rPr>
                  <w:rStyle w:val="Hyperlink"/>
                  <w:lang w:val="en-US"/>
                </w:rPr>
                <w:t>Rec. ITU-R F.339-8</w:t>
              </w:r>
            </w:hyperlink>
          </w:p>
        </w:tc>
        <w:tc>
          <w:tcPr>
            <w:tcW w:w="3024" w:type="dxa"/>
          </w:tcPr>
          <w:p w:rsidR="002E5AEE" w:rsidRPr="007E01A4" w:rsidRDefault="002E5AEE" w:rsidP="00B53D93">
            <w:pPr>
              <w:pStyle w:val="Tabletext"/>
            </w:pPr>
            <w:r w:rsidRPr="007434BA">
              <w:rPr>
                <w:lang w:val="en-US"/>
              </w:rPr>
              <w:t>Bandwidths, signal-to-noise ratios and fading allowances in HF fixed and land mo</w:t>
            </w:r>
            <w:r>
              <w:rPr>
                <w:lang w:val="en-US"/>
              </w:rPr>
              <w:t>bile radiocommunication systems</w:t>
            </w:r>
          </w:p>
        </w:tc>
        <w:tc>
          <w:tcPr>
            <w:tcW w:w="971" w:type="dxa"/>
            <w:vAlign w:val="center"/>
          </w:tcPr>
          <w:p w:rsidR="002E5AEE" w:rsidRPr="007E01A4" w:rsidRDefault="002E5AEE" w:rsidP="00B53D93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E01A4">
              <w:rPr>
                <w:color w:val="000000"/>
                <w:lang w:eastAsia="zh-CN"/>
              </w:rPr>
              <w:t>1.</w:t>
            </w:r>
            <w:r>
              <w:rPr>
                <w:color w:val="000000"/>
                <w:lang w:eastAsia="zh-CN"/>
              </w:rPr>
              <w:t>4</w:t>
            </w:r>
          </w:p>
        </w:tc>
        <w:tc>
          <w:tcPr>
            <w:tcW w:w="1053" w:type="dxa"/>
            <w:vAlign w:val="center"/>
          </w:tcPr>
          <w:p w:rsidR="002E5AEE" w:rsidRPr="007E01A4" w:rsidRDefault="002E5AEE" w:rsidP="00B53D93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</w:t>
            </w:r>
          </w:p>
        </w:tc>
      </w:tr>
      <w:tr w:rsidR="002E5AEE" w:rsidRPr="007E01A4" w:rsidTr="003866E7">
        <w:trPr>
          <w:cantSplit/>
          <w:jc w:val="center"/>
        </w:trPr>
        <w:tc>
          <w:tcPr>
            <w:tcW w:w="812" w:type="dxa"/>
            <w:tcBorders>
              <w:right w:val="nil"/>
            </w:tcBorders>
            <w:vAlign w:val="center"/>
          </w:tcPr>
          <w:p w:rsidR="002E5AEE" w:rsidRPr="007E01A4" w:rsidRDefault="002E5AEE" w:rsidP="00B53D93">
            <w:pPr>
              <w:pStyle w:val="Tabletext"/>
            </w:pPr>
            <w:r>
              <w:t>F</w:t>
            </w:r>
            <w:r w:rsidRPr="007E01A4">
              <w:t>.</w:t>
            </w:r>
          </w:p>
        </w:tc>
        <w:tc>
          <w:tcPr>
            <w:tcW w:w="1912" w:type="dxa"/>
            <w:tcBorders>
              <w:left w:val="nil"/>
            </w:tcBorders>
            <w:vAlign w:val="center"/>
          </w:tcPr>
          <w:p w:rsidR="002E5AEE" w:rsidRPr="007E01A4" w:rsidRDefault="002E5AEE" w:rsidP="00B53D93">
            <w:pPr>
              <w:pStyle w:val="Tabletext"/>
              <w:rPr>
                <w:color w:val="FFFFFF"/>
              </w:rPr>
            </w:pPr>
            <w:r w:rsidRPr="007E01A4">
              <w:rPr>
                <w:color w:val="FFFFFF"/>
                <w:lang w:eastAsia="zh-CN"/>
              </w:rPr>
              <w:t>0</w:t>
            </w:r>
            <w:r w:rsidRPr="009E5DE4">
              <w:rPr>
                <w:color w:val="000000" w:themeColor="text1"/>
                <w:lang w:eastAsia="zh-CN"/>
              </w:rPr>
              <w:t>1761</w:t>
            </w:r>
          </w:p>
        </w:tc>
        <w:tc>
          <w:tcPr>
            <w:tcW w:w="2513" w:type="dxa"/>
            <w:vAlign w:val="center"/>
          </w:tcPr>
          <w:p w:rsidR="002E5AEE" w:rsidRPr="007E01A4" w:rsidRDefault="002E5AEE" w:rsidP="00B53D93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hyperlink r:id="rId11" w:history="1">
              <w:r w:rsidRPr="007434BA">
                <w:rPr>
                  <w:rStyle w:val="Hyperlink"/>
                  <w:lang w:val="en-US"/>
                </w:rPr>
                <w:t>Rec. ITU-R F.1761-0</w:t>
              </w:r>
            </w:hyperlink>
          </w:p>
        </w:tc>
        <w:tc>
          <w:tcPr>
            <w:tcW w:w="3024" w:type="dxa"/>
          </w:tcPr>
          <w:p w:rsidR="002E5AEE" w:rsidRPr="007E01A4" w:rsidRDefault="002E5AEE" w:rsidP="00B53D93">
            <w:pPr>
              <w:pStyle w:val="Tabletext"/>
            </w:pPr>
            <w:r w:rsidRPr="007434BA">
              <w:rPr>
                <w:lang w:val="en-US"/>
              </w:rPr>
              <w:t>Characteristics of HF fixed radiocommunication systems</w:t>
            </w:r>
          </w:p>
        </w:tc>
        <w:tc>
          <w:tcPr>
            <w:tcW w:w="971" w:type="dxa"/>
            <w:vAlign w:val="center"/>
          </w:tcPr>
          <w:p w:rsidR="002E5AEE" w:rsidRPr="007E01A4" w:rsidRDefault="002E5AEE" w:rsidP="00B53D93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E01A4">
              <w:rPr>
                <w:color w:val="000000"/>
                <w:lang w:eastAsia="zh-CN"/>
              </w:rPr>
              <w:t>1.</w:t>
            </w:r>
            <w:r>
              <w:rPr>
                <w:color w:val="000000"/>
                <w:lang w:eastAsia="zh-CN"/>
              </w:rPr>
              <w:t>4</w:t>
            </w:r>
          </w:p>
        </w:tc>
        <w:tc>
          <w:tcPr>
            <w:tcW w:w="1053" w:type="dxa"/>
            <w:vAlign w:val="center"/>
          </w:tcPr>
          <w:p w:rsidR="002E5AEE" w:rsidRPr="007E01A4" w:rsidRDefault="002E5AEE" w:rsidP="00B53D93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</w:t>
            </w:r>
          </w:p>
        </w:tc>
      </w:tr>
      <w:tr w:rsidR="002E5AEE" w:rsidRPr="007E01A4" w:rsidTr="003866E7">
        <w:trPr>
          <w:cantSplit/>
          <w:jc w:val="center"/>
        </w:trPr>
        <w:tc>
          <w:tcPr>
            <w:tcW w:w="812" w:type="dxa"/>
            <w:tcBorders>
              <w:right w:val="nil"/>
            </w:tcBorders>
            <w:vAlign w:val="center"/>
          </w:tcPr>
          <w:p w:rsidR="002E5AEE" w:rsidRPr="007E01A4" w:rsidRDefault="002E5AEE" w:rsidP="00B53D93">
            <w:pPr>
              <w:pStyle w:val="Tabletext"/>
            </w:pPr>
            <w:r>
              <w:t>F</w:t>
            </w:r>
            <w:r w:rsidRPr="007E01A4">
              <w:t>.</w:t>
            </w:r>
          </w:p>
        </w:tc>
        <w:tc>
          <w:tcPr>
            <w:tcW w:w="1912" w:type="dxa"/>
            <w:tcBorders>
              <w:left w:val="nil"/>
            </w:tcBorders>
            <w:vAlign w:val="center"/>
          </w:tcPr>
          <w:p w:rsidR="002E5AEE" w:rsidRPr="007E01A4" w:rsidRDefault="002E5AEE" w:rsidP="00B53D93">
            <w:pPr>
              <w:pStyle w:val="Tabletext"/>
              <w:rPr>
                <w:color w:val="FFFFFF"/>
              </w:rPr>
            </w:pPr>
            <w:r w:rsidRPr="007E01A4">
              <w:rPr>
                <w:color w:val="FFFFFF"/>
                <w:lang w:eastAsia="zh-CN"/>
              </w:rPr>
              <w:t>0</w:t>
            </w:r>
            <w:r>
              <w:rPr>
                <w:lang w:eastAsia="zh-CN"/>
              </w:rPr>
              <w:t>1762</w:t>
            </w:r>
          </w:p>
        </w:tc>
        <w:tc>
          <w:tcPr>
            <w:tcW w:w="2513" w:type="dxa"/>
            <w:vAlign w:val="center"/>
          </w:tcPr>
          <w:p w:rsidR="002E5AEE" w:rsidRPr="007E01A4" w:rsidRDefault="002E5AEE" w:rsidP="00B53D93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hyperlink r:id="rId12" w:history="1">
              <w:r w:rsidRPr="007434BA">
                <w:rPr>
                  <w:rStyle w:val="Hyperlink"/>
                  <w:lang w:val="en-US"/>
                </w:rPr>
                <w:t>Rec. ITU-R F.1762-0</w:t>
              </w:r>
            </w:hyperlink>
          </w:p>
        </w:tc>
        <w:tc>
          <w:tcPr>
            <w:tcW w:w="3024" w:type="dxa"/>
          </w:tcPr>
          <w:p w:rsidR="002E5AEE" w:rsidRPr="007E01A4" w:rsidRDefault="002E5AEE" w:rsidP="00B53D93">
            <w:pPr>
              <w:pStyle w:val="Tabletext"/>
            </w:pPr>
            <w:r w:rsidRPr="007434BA">
              <w:rPr>
                <w:lang w:val="en-US"/>
              </w:rPr>
              <w:t>Characteristics of enhanced applications for high frequency (HF) radiocommunication systems</w:t>
            </w:r>
          </w:p>
        </w:tc>
        <w:tc>
          <w:tcPr>
            <w:tcW w:w="971" w:type="dxa"/>
            <w:vAlign w:val="center"/>
          </w:tcPr>
          <w:p w:rsidR="002E5AEE" w:rsidRPr="007E01A4" w:rsidRDefault="002E5AEE" w:rsidP="00B53D93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1.4</w:t>
            </w:r>
          </w:p>
        </w:tc>
        <w:tc>
          <w:tcPr>
            <w:tcW w:w="1053" w:type="dxa"/>
            <w:vAlign w:val="center"/>
          </w:tcPr>
          <w:p w:rsidR="002E5AEE" w:rsidRPr="007E01A4" w:rsidRDefault="002E5AEE" w:rsidP="00B53D93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</w:t>
            </w:r>
          </w:p>
        </w:tc>
      </w:tr>
      <w:tr w:rsidR="002E5AEE" w:rsidRPr="007E01A4" w:rsidTr="003866E7">
        <w:trPr>
          <w:cantSplit/>
          <w:jc w:val="center"/>
        </w:trPr>
        <w:tc>
          <w:tcPr>
            <w:tcW w:w="812" w:type="dxa"/>
            <w:tcBorders>
              <w:right w:val="nil"/>
            </w:tcBorders>
            <w:vAlign w:val="center"/>
          </w:tcPr>
          <w:p w:rsidR="002E5AEE" w:rsidRPr="007E01A4" w:rsidRDefault="002E5AEE" w:rsidP="00B53D93">
            <w:pPr>
              <w:pStyle w:val="Tabletext"/>
            </w:pPr>
            <w:r>
              <w:t>F</w:t>
            </w:r>
            <w:r w:rsidRPr="007E01A4">
              <w:t>.</w:t>
            </w:r>
          </w:p>
        </w:tc>
        <w:tc>
          <w:tcPr>
            <w:tcW w:w="1912" w:type="dxa"/>
            <w:tcBorders>
              <w:left w:val="nil"/>
            </w:tcBorders>
            <w:vAlign w:val="center"/>
          </w:tcPr>
          <w:p w:rsidR="002E5AEE" w:rsidRPr="007E01A4" w:rsidRDefault="002E5AEE" w:rsidP="00B53D93">
            <w:pPr>
              <w:pStyle w:val="Tabletext"/>
              <w:rPr>
                <w:color w:val="FFFFFF"/>
                <w:lang w:eastAsia="zh-CN"/>
              </w:rPr>
            </w:pPr>
            <w:r w:rsidRPr="007E01A4">
              <w:rPr>
                <w:color w:val="FFFFFF"/>
                <w:lang w:eastAsia="zh-CN"/>
              </w:rPr>
              <w:t>0</w:t>
            </w:r>
            <w:r>
              <w:rPr>
                <w:lang w:eastAsia="zh-CN"/>
              </w:rPr>
              <w:t>1821</w:t>
            </w:r>
          </w:p>
        </w:tc>
        <w:tc>
          <w:tcPr>
            <w:tcW w:w="2513" w:type="dxa"/>
            <w:vAlign w:val="center"/>
          </w:tcPr>
          <w:p w:rsidR="002E5AEE" w:rsidRPr="007E01A4" w:rsidRDefault="002E5AEE" w:rsidP="00B53D93">
            <w:pPr>
              <w:pStyle w:val="Tabletext"/>
              <w:rPr>
                <w:color w:val="000000"/>
                <w:lang w:eastAsia="zh-CN"/>
              </w:rPr>
            </w:pPr>
            <w:hyperlink r:id="rId13" w:history="1">
              <w:r w:rsidRPr="007434BA">
                <w:rPr>
                  <w:rStyle w:val="Hyperlink"/>
                  <w:lang w:val="en-US"/>
                </w:rPr>
                <w:t>Rec. ITU-R F.1821-0</w:t>
              </w:r>
            </w:hyperlink>
          </w:p>
        </w:tc>
        <w:tc>
          <w:tcPr>
            <w:tcW w:w="3024" w:type="dxa"/>
          </w:tcPr>
          <w:p w:rsidR="002E5AEE" w:rsidRPr="007E01A4" w:rsidRDefault="002E5AEE" w:rsidP="00B53D93">
            <w:pPr>
              <w:pStyle w:val="Tabletext"/>
              <w:rPr>
                <w:color w:val="000000"/>
              </w:rPr>
            </w:pPr>
            <w:r w:rsidRPr="009E5DE4">
              <w:rPr>
                <w:color w:val="000000"/>
              </w:rPr>
              <w:t xml:space="preserve">Characteristics of advanced digital high frequency (HF) radiocommunication systems  </w:t>
            </w:r>
          </w:p>
        </w:tc>
        <w:tc>
          <w:tcPr>
            <w:tcW w:w="971" w:type="dxa"/>
            <w:vAlign w:val="center"/>
          </w:tcPr>
          <w:p w:rsidR="002E5AEE" w:rsidRPr="007E01A4" w:rsidRDefault="002E5AEE" w:rsidP="00B53D93">
            <w:pPr>
              <w:pStyle w:val="Tabletext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1.4</w:t>
            </w:r>
          </w:p>
        </w:tc>
        <w:tc>
          <w:tcPr>
            <w:tcW w:w="1053" w:type="dxa"/>
            <w:vAlign w:val="center"/>
          </w:tcPr>
          <w:p w:rsidR="002E5AEE" w:rsidRPr="007E01A4" w:rsidRDefault="002E5AEE" w:rsidP="00B53D93">
            <w:pPr>
              <w:pStyle w:val="Tabletext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</w:t>
            </w:r>
          </w:p>
        </w:tc>
      </w:tr>
      <w:tr w:rsidR="002E5AEE" w:rsidRPr="007E01A4" w:rsidTr="003866E7">
        <w:trPr>
          <w:cantSplit/>
          <w:jc w:val="center"/>
        </w:trPr>
        <w:tc>
          <w:tcPr>
            <w:tcW w:w="812" w:type="dxa"/>
            <w:tcBorders>
              <w:right w:val="nil"/>
            </w:tcBorders>
            <w:vAlign w:val="center"/>
          </w:tcPr>
          <w:p w:rsidR="002E5AEE" w:rsidRPr="007E01A4" w:rsidRDefault="002E5AEE" w:rsidP="00B53D93">
            <w:pPr>
              <w:pStyle w:val="Tabletext"/>
            </w:pPr>
            <w:r>
              <w:t>M</w:t>
            </w:r>
            <w:r w:rsidRPr="007E01A4">
              <w:t>.</w:t>
            </w:r>
          </w:p>
        </w:tc>
        <w:tc>
          <w:tcPr>
            <w:tcW w:w="1912" w:type="dxa"/>
            <w:tcBorders>
              <w:left w:val="nil"/>
            </w:tcBorders>
            <w:vAlign w:val="center"/>
          </w:tcPr>
          <w:p w:rsidR="002E5AEE" w:rsidRPr="007E01A4" w:rsidRDefault="002E5AEE" w:rsidP="00B53D93">
            <w:pPr>
              <w:pStyle w:val="Tabletext"/>
            </w:pPr>
            <w:r w:rsidRPr="007E01A4">
              <w:rPr>
                <w:color w:val="FFFFFF"/>
                <w:lang w:eastAsia="zh-CN"/>
              </w:rPr>
              <w:t>0</w:t>
            </w:r>
            <w:r>
              <w:rPr>
                <w:lang w:eastAsia="zh-CN"/>
              </w:rPr>
              <w:t>1677</w:t>
            </w:r>
          </w:p>
        </w:tc>
        <w:tc>
          <w:tcPr>
            <w:tcW w:w="2513" w:type="dxa"/>
          </w:tcPr>
          <w:p w:rsidR="002E5AEE" w:rsidRPr="005847C2" w:rsidRDefault="002E5AEE" w:rsidP="00B53D93">
            <w:pPr>
              <w:pStyle w:val="Tabletext"/>
              <w:rPr>
                <w:rFonts w:eastAsia="SimSun"/>
                <w:color w:val="000000"/>
                <w:lang w:val="fr-FR" w:eastAsia="zh-CN"/>
              </w:rPr>
            </w:pPr>
            <w:hyperlink r:id="rId14" w:history="1">
              <w:r w:rsidRPr="005847C2">
                <w:rPr>
                  <w:rStyle w:val="Hyperlink"/>
                  <w:lang w:val="fr-FR"/>
                </w:rPr>
                <w:t>Rec. ITU-R M.1677-1</w:t>
              </w:r>
            </w:hyperlink>
            <w:r w:rsidRPr="005847C2">
              <w:rPr>
                <w:rStyle w:val="Hyperlink"/>
                <w:lang w:val="fr-FR"/>
              </w:rPr>
              <w:t xml:space="preserve"> </w:t>
            </w:r>
          </w:p>
        </w:tc>
        <w:tc>
          <w:tcPr>
            <w:tcW w:w="3024" w:type="dxa"/>
          </w:tcPr>
          <w:p w:rsidR="002E5AEE" w:rsidRPr="005847C2" w:rsidRDefault="002E5AEE" w:rsidP="00B53D93">
            <w:pPr>
              <w:pStyle w:val="Tabletext"/>
              <w:rPr>
                <w:rFonts w:eastAsia="SimSun"/>
                <w:color w:val="000000"/>
                <w:lang w:val="fr-FR" w:eastAsia="zh-CN"/>
              </w:rPr>
            </w:pPr>
            <w:r w:rsidRPr="005847C2">
              <w:rPr>
                <w:lang w:val="fr-FR"/>
              </w:rPr>
              <w:t>International Morse code</w:t>
            </w:r>
          </w:p>
        </w:tc>
        <w:tc>
          <w:tcPr>
            <w:tcW w:w="971" w:type="dxa"/>
            <w:vAlign w:val="center"/>
          </w:tcPr>
          <w:p w:rsidR="002E5AEE" w:rsidRPr="007E01A4" w:rsidRDefault="002E5AEE" w:rsidP="00B53D93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1.4</w:t>
            </w:r>
          </w:p>
        </w:tc>
        <w:tc>
          <w:tcPr>
            <w:tcW w:w="1053" w:type="dxa"/>
            <w:vAlign w:val="center"/>
          </w:tcPr>
          <w:p w:rsidR="002E5AEE" w:rsidRPr="007E01A4" w:rsidRDefault="002E5AEE" w:rsidP="00B53D93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</w:t>
            </w:r>
          </w:p>
        </w:tc>
      </w:tr>
      <w:tr w:rsidR="002E5AEE" w:rsidRPr="007E01A4" w:rsidTr="003866E7">
        <w:trPr>
          <w:cantSplit/>
          <w:jc w:val="center"/>
        </w:trPr>
        <w:tc>
          <w:tcPr>
            <w:tcW w:w="812" w:type="dxa"/>
            <w:tcBorders>
              <w:right w:val="nil"/>
            </w:tcBorders>
            <w:vAlign w:val="center"/>
          </w:tcPr>
          <w:p w:rsidR="002E5AEE" w:rsidRPr="007E01A4" w:rsidRDefault="002E5AEE" w:rsidP="00B53D93">
            <w:pPr>
              <w:pStyle w:val="Tabletext"/>
            </w:pPr>
            <w:r>
              <w:t>M</w:t>
            </w:r>
            <w:r w:rsidRPr="007E01A4">
              <w:t>.</w:t>
            </w:r>
          </w:p>
        </w:tc>
        <w:tc>
          <w:tcPr>
            <w:tcW w:w="1912" w:type="dxa"/>
            <w:tcBorders>
              <w:left w:val="nil"/>
            </w:tcBorders>
            <w:vAlign w:val="center"/>
          </w:tcPr>
          <w:p w:rsidR="002E5AEE" w:rsidRPr="007E01A4" w:rsidRDefault="002E5AEE" w:rsidP="00B53D93">
            <w:pPr>
              <w:pStyle w:val="Tabletext"/>
              <w:rPr>
                <w:color w:val="FFFFFF"/>
                <w:lang w:eastAsia="zh-CN"/>
              </w:rPr>
            </w:pPr>
            <w:r>
              <w:rPr>
                <w:color w:val="FFFFFF"/>
                <w:lang w:eastAsia="zh-CN"/>
              </w:rPr>
              <w:t>1</w:t>
            </w:r>
            <w:r w:rsidRPr="009E5DE4">
              <w:rPr>
                <w:color w:val="000000" w:themeColor="text1"/>
                <w:lang w:eastAsia="zh-CN"/>
              </w:rPr>
              <w:t>1</w:t>
            </w:r>
            <w:r>
              <w:rPr>
                <w:color w:val="000000" w:themeColor="text1"/>
                <w:lang w:eastAsia="zh-CN"/>
              </w:rPr>
              <w:t>732</w:t>
            </w:r>
          </w:p>
        </w:tc>
        <w:tc>
          <w:tcPr>
            <w:tcW w:w="2513" w:type="dxa"/>
            <w:vAlign w:val="center"/>
          </w:tcPr>
          <w:p w:rsidR="002E5AEE" w:rsidRPr="007E01A4" w:rsidRDefault="002E5AEE" w:rsidP="00B53D93">
            <w:pPr>
              <w:pStyle w:val="Tabletext"/>
              <w:rPr>
                <w:color w:val="000000"/>
                <w:lang w:eastAsia="zh-CN"/>
              </w:rPr>
            </w:pPr>
            <w:hyperlink r:id="rId15" w:history="1">
              <w:r w:rsidRPr="007434BA">
                <w:rPr>
                  <w:rStyle w:val="Hyperlink"/>
                  <w:lang w:val="en-US"/>
                </w:rPr>
                <w:t>Rec. ITU-R M.1732-1</w:t>
              </w:r>
            </w:hyperlink>
          </w:p>
        </w:tc>
        <w:tc>
          <w:tcPr>
            <w:tcW w:w="3024" w:type="dxa"/>
          </w:tcPr>
          <w:p w:rsidR="002E5AEE" w:rsidRPr="007E01A4" w:rsidRDefault="002E5AEE" w:rsidP="00B53D93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7434BA">
              <w:rPr>
                <w:lang w:val="en-US"/>
              </w:rPr>
              <w:t>Characteristics of systems operating in the amateur and amateur-satellite services for use in sharing studies</w:t>
            </w:r>
          </w:p>
        </w:tc>
        <w:tc>
          <w:tcPr>
            <w:tcW w:w="971" w:type="dxa"/>
            <w:vAlign w:val="center"/>
          </w:tcPr>
          <w:p w:rsidR="002E5AEE" w:rsidRPr="007E01A4" w:rsidRDefault="002E5AEE" w:rsidP="00B53D93">
            <w:pPr>
              <w:pStyle w:val="Tabletext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1.4</w:t>
            </w:r>
          </w:p>
        </w:tc>
        <w:tc>
          <w:tcPr>
            <w:tcW w:w="1053" w:type="dxa"/>
            <w:vAlign w:val="center"/>
          </w:tcPr>
          <w:p w:rsidR="002E5AEE" w:rsidRPr="007E01A4" w:rsidRDefault="002E5AEE" w:rsidP="00B53D93">
            <w:pPr>
              <w:pStyle w:val="Tabletext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</w:t>
            </w:r>
          </w:p>
        </w:tc>
      </w:tr>
      <w:tr w:rsidR="002E5AEE" w:rsidRPr="007E01A4" w:rsidTr="003866E7">
        <w:trPr>
          <w:cantSplit/>
          <w:jc w:val="center"/>
        </w:trPr>
        <w:tc>
          <w:tcPr>
            <w:tcW w:w="812" w:type="dxa"/>
            <w:tcBorders>
              <w:right w:val="nil"/>
            </w:tcBorders>
            <w:vAlign w:val="center"/>
          </w:tcPr>
          <w:p w:rsidR="002E5AEE" w:rsidRPr="007E01A4" w:rsidRDefault="002E5AEE" w:rsidP="00B53D93">
            <w:pPr>
              <w:pStyle w:val="Tabletext"/>
            </w:pPr>
            <w:r>
              <w:t>M</w:t>
            </w:r>
            <w:r w:rsidRPr="007E01A4">
              <w:t>.</w:t>
            </w:r>
          </w:p>
        </w:tc>
        <w:tc>
          <w:tcPr>
            <w:tcW w:w="1912" w:type="dxa"/>
            <w:tcBorders>
              <w:left w:val="nil"/>
            </w:tcBorders>
            <w:vAlign w:val="center"/>
          </w:tcPr>
          <w:p w:rsidR="002E5AEE" w:rsidRPr="009E5DE4" w:rsidRDefault="002E5AEE" w:rsidP="00B53D93">
            <w:pPr>
              <w:pStyle w:val="Tabletext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1874</w:t>
            </w:r>
          </w:p>
        </w:tc>
        <w:tc>
          <w:tcPr>
            <w:tcW w:w="2513" w:type="dxa"/>
            <w:vAlign w:val="center"/>
          </w:tcPr>
          <w:p w:rsidR="002E5AEE" w:rsidRPr="007E01A4" w:rsidRDefault="002E5AEE" w:rsidP="00B53D93">
            <w:pPr>
              <w:pStyle w:val="Tabletext"/>
              <w:rPr>
                <w:color w:val="000000"/>
                <w:lang w:eastAsia="zh-CN"/>
              </w:rPr>
            </w:pPr>
            <w:hyperlink r:id="rId16" w:history="1">
              <w:r w:rsidRPr="007434BA">
                <w:rPr>
                  <w:rStyle w:val="Hyperlink"/>
                  <w:lang w:val="en-US"/>
                </w:rPr>
                <w:t xml:space="preserve">Rec. </w:t>
              </w:r>
              <w:r w:rsidRPr="007434BA">
                <w:rPr>
                  <w:rStyle w:val="Hyperlink"/>
                  <w:szCs w:val="24"/>
                  <w:lang w:val="en-US"/>
                </w:rPr>
                <w:t>ITU-R M.1874-1</w:t>
              </w:r>
            </w:hyperlink>
          </w:p>
        </w:tc>
        <w:tc>
          <w:tcPr>
            <w:tcW w:w="3024" w:type="dxa"/>
          </w:tcPr>
          <w:p w:rsidR="002E5AEE" w:rsidRPr="00A708CD" w:rsidRDefault="002E5AEE" w:rsidP="00B53D93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A708CD">
              <w:rPr>
                <w:rStyle w:val="Hyperlink"/>
                <w:color w:val="000000" w:themeColor="text1"/>
                <w:szCs w:val="24"/>
                <w:lang w:val="en-US"/>
              </w:rPr>
              <w:t xml:space="preserve">Technical and operational characteristics of oceanographic radars operating in sub-bands within the frequency range </w:t>
            </w:r>
            <w:r w:rsidR="00CA6712">
              <w:rPr>
                <w:rStyle w:val="Hyperlink"/>
                <w:color w:val="000000" w:themeColor="text1"/>
                <w:szCs w:val="24"/>
                <w:lang w:val="en-US"/>
              </w:rPr>
              <w:br/>
            </w:r>
            <w:r w:rsidRPr="00A708CD">
              <w:rPr>
                <w:rStyle w:val="Hyperlink"/>
                <w:color w:val="000000" w:themeColor="text1"/>
                <w:szCs w:val="24"/>
                <w:lang w:val="en-US"/>
              </w:rPr>
              <w:t>3-50 MHz</w:t>
            </w:r>
          </w:p>
        </w:tc>
        <w:tc>
          <w:tcPr>
            <w:tcW w:w="971" w:type="dxa"/>
            <w:vAlign w:val="center"/>
          </w:tcPr>
          <w:p w:rsidR="002E5AEE" w:rsidRPr="007E01A4" w:rsidRDefault="002E5AEE" w:rsidP="00B53D93">
            <w:pPr>
              <w:pStyle w:val="Tabletext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1.4</w:t>
            </w:r>
          </w:p>
        </w:tc>
        <w:tc>
          <w:tcPr>
            <w:tcW w:w="1053" w:type="dxa"/>
            <w:vAlign w:val="center"/>
          </w:tcPr>
          <w:p w:rsidR="002E5AEE" w:rsidRPr="007E01A4" w:rsidRDefault="002E5AEE" w:rsidP="00B53D93">
            <w:pPr>
              <w:pStyle w:val="Tabletext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</w:t>
            </w:r>
          </w:p>
        </w:tc>
      </w:tr>
      <w:tr w:rsidR="002E5AEE" w:rsidRPr="007E01A4" w:rsidTr="003866E7">
        <w:trPr>
          <w:cantSplit/>
          <w:jc w:val="center"/>
        </w:trPr>
        <w:tc>
          <w:tcPr>
            <w:tcW w:w="812" w:type="dxa"/>
            <w:tcBorders>
              <w:right w:val="nil"/>
            </w:tcBorders>
            <w:vAlign w:val="center"/>
          </w:tcPr>
          <w:p w:rsidR="002E5AEE" w:rsidRPr="007E01A4" w:rsidRDefault="002E5AEE" w:rsidP="00B53D93">
            <w:pPr>
              <w:pStyle w:val="Tabletext"/>
            </w:pPr>
            <w:r>
              <w:t>P.</w:t>
            </w:r>
          </w:p>
        </w:tc>
        <w:tc>
          <w:tcPr>
            <w:tcW w:w="1912" w:type="dxa"/>
            <w:tcBorders>
              <w:left w:val="nil"/>
            </w:tcBorders>
            <w:vAlign w:val="center"/>
          </w:tcPr>
          <w:p w:rsidR="002E5AEE" w:rsidRPr="007E01A4" w:rsidRDefault="002E5AEE" w:rsidP="00B53D93">
            <w:pPr>
              <w:pStyle w:val="Tabletext"/>
              <w:rPr>
                <w:color w:val="FFFFFF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368</w:t>
            </w:r>
          </w:p>
        </w:tc>
        <w:tc>
          <w:tcPr>
            <w:tcW w:w="2513" w:type="dxa"/>
            <w:vAlign w:val="center"/>
          </w:tcPr>
          <w:p w:rsidR="002E5AEE" w:rsidRPr="007E01A4" w:rsidRDefault="002E5AEE" w:rsidP="00B53D93">
            <w:pPr>
              <w:pStyle w:val="Tabletext"/>
              <w:rPr>
                <w:color w:val="000000"/>
                <w:lang w:eastAsia="zh-CN"/>
              </w:rPr>
            </w:pPr>
            <w:hyperlink r:id="rId17" w:history="1">
              <w:r w:rsidRPr="007434BA">
                <w:rPr>
                  <w:rStyle w:val="Hyperlink"/>
                  <w:lang w:val="en-US"/>
                </w:rPr>
                <w:t>Rec. ITU-R P.368-9</w:t>
              </w:r>
            </w:hyperlink>
          </w:p>
        </w:tc>
        <w:tc>
          <w:tcPr>
            <w:tcW w:w="3024" w:type="dxa"/>
          </w:tcPr>
          <w:p w:rsidR="002E5AEE" w:rsidRPr="007E01A4" w:rsidRDefault="002E5AEE" w:rsidP="00B53D93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7434BA">
              <w:rPr>
                <w:lang w:val="en-US"/>
              </w:rPr>
              <w:t>Ground-wave propagation curves for frequencies between 10 kHz and 30 MHz</w:t>
            </w:r>
          </w:p>
        </w:tc>
        <w:tc>
          <w:tcPr>
            <w:tcW w:w="971" w:type="dxa"/>
            <w:vAlign w:val="center"/>
          </w:tcPr>
          <w:p w:rsidR="002E5AEE" w:rsidRPr="007E01A4" w:rsidRDefault="002E5AEE" w:rsidP="00B53D93">
            <w:pPr>
              <w:pStyle w:val="Tabletext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1.4</w:t>
            </w:r>
          </w:p>
        </w:tc>
        <w:tc>
          <w:tcPr>
            <w:tcW w:w="1053" w:type="dxa"/>
            <w:vAlign w:val="center"/>
          </w:tcPr>
          <w:p w:rsidR="002E5AEE" w:rsidRPr="007E01A4" w:rsidRDefault="002E5AEE" w:rsidP="00B53D93">
            <w:pPr>
              <w:pStyle w:val="Tabletext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</w:t>
            </w:r>
          </w:p>
        </w:tc>
      </w:tr>
      <w:tr w:rsidR="002E5AEE" w:rsidRPr="007E01A4" w:rsidTr="003866E7">
        <w:trPr>
          <w:cantSplit/>
          <w:jc w:val="center"/>
        </w:trPr>
        <w:tc>
          <w:tcPr>
            <w:tcW w:w="812" w:type="dxa"/>
            <w:tcBorders>
              <w:right w:val="nil"/>
            </w:tcBorders>
            <w:vAlign w:val="center"/>
          </w:tcPr>
          <w:p w:rsidR="002E5AEE" w:rsidRPr="007E01A4" w:rsidRDefault="002E5AEE" w:rsidP="00B53D93">
            <w:pPr>
              <w:pStyle w:val="Tabletext"/>
            </w:pPr>
            <w:r>
              <w:t>P.</w:t>
            </w:r>
          </w:p>
        </w:tc>
        <w:tc>
          <w:tcPr>
            <w:tcW w:w="1912" w:type="dxa"/>
            <w:tcBorders>
              <w:left w:val="nil"/>
            </w:tcBorders>
            <w:vAlign w:val="center"/>
          </w:tcPr>
          <w:p w:rsidR="002E5AEE" w:rsidRPr="009E5DE4" w:rsidRDefault="002E5AEE" w:rsidP="00B53D93">
            <w:pPr>
              <w:pStyle w:val="Tabletext"/>
              <w:rPr>
                <w:color w:val="000000" w:themeColor="text1"/>
                <w:lang w:eastAsia="zh-CN"/>
              </w:rPr>
            </w:pPr>
            <w:r w:rsidRPr="009E5DE4">
              <w:rPr>
                <w:color w:val="000000" w:themeColor="text1"/>
                <w:lang w:eastAsia="zh-CN"/>
              </w:rPr>
              <w:t>372</w:t>
            </w:r>
          </w:p>
        </w:tc>
        <w:tc>
          <w:tcPr>
            <w:tcW w:w="2513" w:type="dxa"/>
            <w:vAlign w:val="center"/>
          </w:tcPr>
          <w:p w:rsidR="002E5AEE" w:rsidRPr="007E01A4" w:rsidRDefault="002E5AEE" w:rsidP="00B53D93">
            <w:pPr>
              <w:pStyle w:val="Tabletext"/>
              <w:rPr>
                <w:color w:val="000000"/>
                <w:lang w:eastAsia="zh-CN"/>
              </w:rPr>
            </w:pPr>
            <w:hyperlink r:id="rId18" w:history="1">
              <w:r w:rsidRPr="005847C2">
                <w:rPr>
                  <w:rStyle w:val="Hyperlink"/>
                  <w:lang w:val="fr-FR"/>
                </w:rPr>
                <w:t>Rec. ITU-R P.372-11</w:t>
              </w:r>
            </w:hyperlink>
          </w:p>
        </w:tc>
        <w:tc>
          <w:tcPr>
            <w:tcW w:w="3024" w:type="dxa"/>
          </w:tcPr>
          <w:p w:rsidR="002E5AEE" w:rsidRPr="005847C2" w:rsidRDefault="002E5AEE" w:rsidP="00B53D93">
            <w:pPr>
              <w:pStyle w:val="Tabletext"/>
              <w:rPr>
                <w:rFonts w:eastAsia="SimSun"/>
                <w:color w:val="000000"/>
                <w:lang w:val="fr-FR" w:eastAsia="zh-CN"/>
              </w:rPr>
            </w:pPr>
            <w:r w:rsidRPr="005847C2">
              <w:rPr>
                <w:lang w:val="fr-FR"/>
              </w:rPr>
              <w:t>Radio noise</w:t>
            </w:r>
          </w:p>
        </w:tc>
        <w:tc>
          <w:tcPr>
            <w:tcW w:w="971" w:type="dxa"/>
            <w:vAlign w:val="center"/>
          </w:tcPr>
          <w:p w:rsidR="002E5AEE" w:rsidRPr="005847C2" w:rsidRDefault="002E5AEE" w:rsidP="00B53D93">
            <w:pPr>
              <w:pStyle w:val="Tabletext"/>
              <w:rPr>
                <w:color w:val="000000"/>
                <w:lang w:val="fr-FR" w:eastAsia="zh-CN"/>
              </w:rPr>
            </w:pPr>
            <w:r>
              <w:rPr>
                <w:color w:val="000000"/>
                <w:lang w:eastAsia="zh-CN"/>
              </w:rPr>
              <w:t>1.4</w:t>
            </w:r>
          </w:p>
        </w:tc>
        <w:tc>
          <w:tcPr>
            <w:tcW w:w="1053" w:type="dxa"/>
            <w:vAlign w:val="center"/>
          </w:tcPr>
          <w:p w:rsidR="002E5AEE" w:rsidRPr="007E01A4" w:rsidRDefault="002E5AEE" w:rsidP="00B53D93">
            <w:pPr>
              <w:pStyle w:val="Tabletext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</w:t>
            </w:r>
          </w:p>
        </w:tc>
      </w:tr>
      <w:tr w:rsidR="002E5AEE" w:rsidRPr="007E01A4" w:rsidTr="003866E7">
        <w:trPr>
          <w:cantSplit/>
          <w:jc w:val="center"/>
        </w:trPr>
        <w:tc>
          <w:tcPr>
            <w:tcW w:w="812" w:type="dxa"/>
            <w:tcBorders>
              <w:right w:val="nil"/>
            </w:tcBorders>
            <w:vAlign w:val="center"/>
          </w:tcPr>
          <w:p w:rsidR="002E5AEE" w:rsidRPr="007E01A4" w:rsidRDefault="002E5AEE" w:rsidP="00B53D93">
            <w:pPr>
              <w:pStyle w:val="Tabletext"/>
            </w:pPr>
            <w:r>
              <w:t>P.</w:t>
            </w:r>
          </w:p>
        </w:tc>
        <w:tc>
          <w:tcPr>
            <w:tcW w:w="1912" w:type="dxa"/>
            <w:tcBorders>
              <w:left w:val="nil"/>
            </w:tcBorders>
            <w:vAlign w:val="center"/>
          </w:tcPr>
          <w:p w:rsidR="002E5AEE" w:rsidRPr="009E5DE4" w:rsidRDefault="002E5AEE" w:rsidP="00B53D93">
            <w:pPr>
              <w:pStyle w:val="Tabletext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533</w:t>
            </w:r>
          </w:p>
        </w:tc>
        <w:tc>
          <w:tcPr>
            <w:tcW w:w="2513" w:type="dxa"/>
            <w:vAlign w:val="center"/>
          </w:tcPr>
          <w:p w:rsidR="002E5AEE" w:rsidRPr="007E01A4" w:rsidRDefault="002E5AEE" w:rsidP="00B53D93">
            <w:pPr>
              <w:pStyle w:val="Tabletext"/>
              <w:rPr>
                <w:color w:val="000000"/>
                <w:lang w:eastAsia="zh-CN"/>
              </w:rPr>
            </w:pPr>
            <w:hyperlink r:id="rId19" w:history="1">
              <w:r w:rsidRPr="007434BA">
                <w:rPr>
                  <w:rStyle w:val="Hyperlink"/>
                  <w:lang w:val="en-US"/>
                </w:rPr>
                <w:t>Rec. ITU-R P.533-12</w:t>
              </w:r>
            </w:hyperlink>
          </w:p>
        </w:tc>
        <w:tc>
          <w:tcPr>
            <w:tcW w:w="3024" w:type="dxa"/>
          </w:tcPr>
          <w:p w:rsidR="002E5AEE" w:rsidRPr="007E01A4" w:rsidRDefault="002E5AEE" w:rsidP="00B53D93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7434BA">
              <w:rPr>
                <w:lang w:val="en-US"/>
              </w:rPr>
              <w:t>Method for the prediction of the performance of HF circuits</w:t>
            </w:r>
          </w:p>
        </w:tc>
        <w:tc>
          <w:tcPr>
            <w:tcW w:w="971" w:type="dxa"/>
            <w:vAlign w:val="center"/>
          </w:tcPr>
          <w:p w:rsidR="002E5AEE" w:rsidRPr="007E01A4" w:rsidRDefault="002E5AEE" w:rsidP="00B53D93">
            <w:pPr>
              <w:pStyle w:val="Tabletext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1.4</w:t>
            </w:r>
          </w:p>
        </w:tc>
        <w:tc>
          <w:tcPr>
            <w:tcW w:w="1053" w:type="dxa"/>
            <w:vAlign w:val="center"/>
          </w:tcPr>
          <w:p w:rsidR="002E5AEE" w:rsidRPr="007E01A4" w:rsidRDefault="002E5AEE" w:rsidP="00B53D93">
            <w:pPr>
              <w:pStyle w:val="Tabletext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</w:t>
            </w:r>
          </w:p>
        </w:tc>
      </w:tr>
      <w:tr w:rsidR="002E5AEE" w:rsidRPr="007E01A4" w:rsidTr="003866E7">
        <w:trPr>
          <w:cantSplit/>
          <w:jc w:val="center"/>
        </w:trPr>
        <w:tc>
          <w:tcPr>
            <w:tcW w:w="812" w:type="dxa"/>
            <w:tcBorders>
              <w:right w:val="nil"/>
            </w:tcBorders>
            <w:vAlign w:val="center"/>
          </w:tcPr>
          <w:p w:rsidR="002E5AEE" w:rsidRPr="007E01A4" w:rsidRDefault="002E5AEE" w:rsidP="00B53D93">
            <w:pPr>
              <w:pStyle w:val="Tabletext"/>
            </w:pPr>
            <w:r>
              <w:t>SM.</w:t>
            </w:r>
          </w:p>
        </w:tc>
        <w:tc>
          <w:tcPr>
            <w:tcW w:w="1912" w:type="dxa"/>
            <w:tcBorders>
              <w:left w:val="nil"/>
            </w:tcBorders>
            <w:vAlign w:val="center"/>
          </w:tcPr>
          <w:p w:rsidR="002E5AEE" w:rsidRPr="009E5DE4" w:rsidRDefault="002E5AEE" w:rsidP="00B53D93">
            <w:pPr>
              <w:pStyle w:val="Tabletext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1541</w:t>
            </w:r>
          </w:p>
        </w:tc>
        <w:tc>
          <w:tcPr>
            <w:tcW w:w="2513" w:type="dxa"/>
            <w:vAlign w:val="center"/>
          </w:tcPr>
          <w:p w:rsidR="002E5AEE" w:rsidRPr="007E01A4" w:rsidRDefault="002E5AEE" w:rsidP="00B53D93">
            <w:pPr>
              <w:pStyle w:val="Tabletext"/>
              <w:rPr>
                <w:color w:val="000000"/>
                <w:lang w:eastAsia="zh-CN"/>
              </w:rPr>
            </w:pPr>
            <w:hyperlink r:id="rId20" w:history="1">
              <w:r w:rsidRPr="007434BA">
                <w:rPr>
                  <w:rStyle w:val="Hyperlink"/>
                  <w:lang w:val="en-US"/>
                </w:rPr>
                <w:t>Rec. ITU</w:t>
              </w:r>
              <w:r w:rsidRPr="007434BA">
                <w:rPr>
                  <w:rStyle w:val="Hyperlink"/>
                  <w:lang w:val="en-US"/>
                </w:rPr>
                <w:noBreakHyphen/>
                <w:t>R SM.1541-5</w:t>
              </w:r>
            </w:hyperlink>
          </w:p>
        </w:tc>
        <w:tc>
          <w:tcPr>
            <w:tcW w:w="3024" w:type="dxa"/>
          </w:tcPr>
          <w:p w:rsidR="002E5AEE" w:rsidRPr="007E01A4" w:rsidRDefault="002E5AEE" w:rsidP="00B53D93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7434BA">
              <w:rPr>
                <w:lang w:val="en-US"/>
              </w:rPr>
              <w:t>Unwanted emissions in the out-of-band domain</w:t>
            </w:r>
          </w:p>
        </w:tc>
        <w:tc>
          <w:tcPr>
            <w:tcW w:w="971" w:type="dxa"/>
            <w:vAlign w:val="center"/>
          </w:tcPr>
          <w:p w:rsidR="002E5AEE" w:rsidRPr="007E01A4" w:rsidRDefault="002E5AEE" w:rsidP="00B53D93">
            <w:pPr>
              <w:pStyle w:val="Tabletext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1.4</w:t>
            </w:r>
          </w:p>
        </w:tc>
        <w:tc>
          <w:tcPr>
            <w:tcW w:w="1053" w:type="dxa"/>
            <w:vAlign w:val="center"/>
          </w:tcPr>
          <w:p w:rsidR="002E5AEE" w:rsidRPr="007E01A4" w:rsidRDefault="002E5AEE" w:rsidP="00B53D93">
            <w:pPr>
              <w:pStyle w:val="Tabletext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</w:t>
            </w:r>
          </w:p>
        </w:tc>
      </w:tr>
    </w:tbl>
    <w:p w:rsidR="002E5AEE" w:rsidRPr="00B5322F" w:rsidRDefault="002E5AEE" w:rsidP="002E5AEE">
      <w:pPr>
        <w:rPr>
          <w:rStyle w:val="Hyperlink"/>
          <w:color w:val="000000" w:themeColor="text1"/>
          <w:lang w:val="en-US"/>
        </w:rPr>
      </w:pPr>
    </w:p>
    <w:p w:rsidR="00B53D93" w:rsidRDefault="00B53D9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lang w:val="pt-PT" w:eastAsia="zh-CN"/>
        </w:rPr>
      </w:pPr>
      <w:r>
        <w:rPr>
          <w:b/>
          <w:lang w:val="pt-PT" w:eastAsia="zh-CN"/>
        </w:rPr>
        <w:br w:type="page"/>
      </w:r>
    </w:p>
    <w:p w:rsidR="002E5AEE" w:rsidRPr="004A40E7" w:rsidRDefault="002E5AEE" w:rsidP="00B53D93">
      <w:pPr>
        <w:pStyle w:val="Tabletitle"/>
        <w:jc w:val="left"/>
        <w:rPr>
          <w:lang w:val="pt-PT"/>
        </w:rPr>
      </w:pPr>
      <w:r w:rsidRPr="004A40E7">
        <w:rPr>
          <w:lang w:val="pt-PT" w:eastAsia="zh-CN"/>
        </w:rPr>
        <w:lastRenderedPageBreak/>
        <w:t>ITU-R Reports</w:t>
      </w:r>
      <w:r>
        <w:rPr>
          <w:lang w:val="pt-PT" w:eastAsia="zh-CN"/>
        </w:rPr>
        <w:t>:</w:t>
      </w:r>
    </w:p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2"/>
        <w:gridCol w:w="2063"/>
        <w:gridCol w:w="2693"/>
        <w:gridCol w:w="2693"/>
        <w:gridCol w:w="971"/>
        <w:gridCol w:w="1092"/>
      </w:tblGrid>
      <w:tr w:rsidR="002E5AEE" w:rsidRPr="007E01A4" w:rsidTr="003866E7">
        <w:trPr>
          <w:cantSplit/>
          <w:tblHeader/>
          <w:jc w:val="center"/>
        </w:trPr>
        <w:tc>
          <w:tcPr>
            <w:tcW w:w="812" w:type="dxa"/>
            <w:vAlign w:val="center"/>
          </w:tcPr>
          <w:p w:rsidR="002E5AEE" w:rsidRPr="007E01A4" w:rsidRDefault="002E5AEE" w:rsidP="00B53D93">
            <w:pPr>
              <w:pStyle w:val="Tablehead"/>
              <w:rPr>
                <w:rFonts w:eastAsia="SimSun"/>
                <w:lang w:eastAsia="zh-CN"/>
              </w:rPr>
            </w:pPr>
            <w:r w:rsidRPr="007E01A4">
              <w:rPr>
                <w:rFonts w:eastAsia="SimSun"/>
                <w:lang w:eastAsia="zh-CN"/>
              </w:rPr>
              <w:t>ITU-R Series</w:t>
            </w:r>
          </w:p>
        </w:tc>
        <w:tc>
          <w:tcPr>
            <w:tcW w:w="2063" w:type="dxa"/>
            <w:vAlign w:val="center"/>
          </w:tcPr>
          <w:p w:rsidR="002E5AEE" w:rsidRPr="007E01A4" w:rsidRDefault="002E5AEE" w:rsidP="00B53D93">
            <w:pPr>
              <w:pStyle w:val="Tablehead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Report</w:t>
            </w:r>
            <w:r w:rsidRPr="007E01A4">
              <w:rPr>
                <w:rFonts w:eastAsia="SimSun"/>
                <w:lang w:eastAsia="zh-CN"/>
              </w:rPr>
              <w:t xml:space="preserve"> Number</w:t>
            </w:r>
          </w:p>
        </w:tc>
        <w:tc>
          <w:tcPr>
            <w:tcW w:w="2693" w:type="dxa"/>
            <w:vAlign w:val="center"/>
          </w:tcPr>
          <w:p w:rsidR="002E5AEE" w:rsidRPr="007824B9" w:rsidRDefault="002E5AEE" w:rsidP="00B53D93">
            <w:pPr>
              <w:pStyle w:val="Tablehead"/>
              <w:rPr>
                <w:rFonts w:eastAsia="SimSun"/>
                <w:lang w:eastAsia="zh-CN"/>
              </w:rPr>
            </w:pPr>
            <w:r w:rsidRPr="007824B9">
              <w:rPr>
                <w:rFonts w:eastAsia="SimSun"/>
                <w:lang w:eastAsia="zh-CN"/>
              </w:rPr>
              <w:t>Latest Publication</w:t>
            </w:r>
          </w:p>
        </w:tc>
        <w:tc>
          <w:tcPr>
            <w:tcW w:w="2693" w:type="dxa"/>
            <w:vAlign w:val="center"/>
          </w:tcPr>
          <w:p w:rsidR="002E5AEE" w:rsidRPr="007E01A4" w:rsidRDefault="002E5AEE" w:rsidP="00B53D93">
            <w:pPr>
              <w:pStyle w:val="Tablehead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Report</w:t>
            </w:r>
            <w:r w:rsidRPr="007E01A4">
              <w:rPr>
                <w:rFonts w:eastAsia="SimSun"/>
                <w:lang w:eastAsia="zh-CN"/>
              </w:rPr>
              <w:t xml:space="preserve"> Title</w:t>
            </w:r>
          </w:p>
        </w:tc>
        <w:tc>
          <w:tcPr>
            <w:tcW w:w="971" w:type="dxa"/>
            <w:vAlign w:val="center"/>
          </w:tcPr>
          <w:p w:rsidR="002E5AEE" w:rsidRPr="007E01A4" w:rsidRDefault="002E5AEE" w:rsidP="00B53D93">
            <w:pPr>
              <w:pStyle w:val="Tablehead"/>
              <w:rPr>
                <w:rFonts w:eastAsia="SimSun"/>
                <w:lang w:eastAsia="zh-CN"/>
              </w:rPr>
            </w:pPr>
            <w:r w:rsidRPr="007E01A4">
              <w:rPr>
                <w:rFonts w:eastAsia="SimSun"/>
                <w:lang w:eastAsia="zh-CN"/>
              </w:rPr>
              <w:t>Agenda Item</w:t>
            </w:r>
          </w:p>
        </w:tc>
        <w:tc>
          <w:tcPr>
            <w:tcW w:w="1092" w:type="dxa"/>
            <w:vAlign w:val="center"/>
          </w:tcPr>
          <w:p w:rsidR="002E5AEE" w:rsidRPr="007E01A4" w:rsidRDefault="002E5AEE" w:rsidP="00B53D93">
            <w:pPr>
              <w:pStyle w:val="Tablehead"/>
              <w:rPr>
                <w:rFonts w:eastAsia="SimSun"/>
                <w:lang w:eastAsia="zh-CN"/>
              </w:rPr>
            </w:pPr>
            <w:r w:rsidRPr="007E01A4">
              <w:rPr>
                <w:rFonts w:eastAsia="SimSun"/>
                <w:lang w:eastAsia="zh-CN"/>
              </w:rPr>
              <w:t>CPM</w:t>
            </w:r>
            <w:r w:rsidRPr="007E01A4">
              <w:rPr>
                <w:rFonts w:eastAsia="SimSun"/>
                <w:lang w:eastAsia="zh-CN"/>
              </w:rPr>
              <w:br/>
              <w:t>Chapter</w:t>
            </w:r>
          </w:p>
        </w:tc>
      </w:tr>
      <w:tr w:rsidR="002E5AEE" w:rsidRPr="007E01A4" w:rsidTr="003866E7">
        <w:trPr>
          <w:cantSplit/>
          <w:jc w:val="center"/>
        </w:trPr>
        <w:tc>
          <w:tcPr>
            <w:tcW w:w="812" w:type="dxa"/>
            <w:tcBorders>
              <w:right w:val="nil"/>
            </w:tcBorders>
            <w:vAlign w:val="center"/>
          </w:tcPr>
          <w:p w:rsidR="002E5AEE" w:rsidRPr="004A40E7" w:rsidRDefault="002E5AEE" w:rsidP="00B53D93">
            <w:pPr>
              <w:pStyle w:val="Tabletext"/>
            </w:pPr>
            <w:r w:rsidRPr="004A40E7">
              <w:t>M.</w:t>
            </w:r>
          </w:p>
        </w:tc>
        <w:tc>
          <w:tcPr>
            <w:tcW w:w="2063" w:type="dxa"/>
            <w:tcBorders>
              <w:left w:val="nil"/>
            </w:tcBorders>
            <w:vAlign w:val="center"/>
          </w:tcPr>
          <w:p w:rsidR="002E5AEE" w:rsidRPr="004A40E7" w:rsidRDefault="002E5AEE" w:rsidP="00B53D93">
            <w:pPr>
              <w:pStyle w:val="Tabletext"/>
            </w:pPr>
            <w:r w:rsidRPr="004A40E7">
              <w:rPr>
                <w:lang w:eastAsia="zh-CN"/>
              </w:rPr>
              <w:t>2080</w:t>
            </w:r>
          </w:p>
        </w:tc>
        <w:tc>
          <w:tcPr>
            <w:tcW w:w="2693" w:type="dxa"/>
            <w:vAlign w:val="center"/>
          </w:tcPr>
          <w:p w:rsidR="002E5AEE" w:rsidRPr="007824B9" w:rsidRDefault="002E5AEE" w:rsidP="00B53D93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hyperlink r:id="rId21" w:history="1">
              <w:r w:rsidRPr="007824B9">
                <w:rPr>
                  <w:rStyle w:val="Hyperlink"/>
                  <w:sz w:val="22"/>
                  <w:szCs w:val="22"/>
                  <w:lang w:val="pt-PT"/>
                </w:rPr>
                <w:t>Report ITU-R M.2080-0</w:t>
              </w:r>
            </w:hyperlink>
          </w:p>
        </w:tc>
        <w:tc>
          <w:tcPr>
            <w:tcW w:w="2693" w:type="dxa"/>
          </w:tcPr>
          <w:p w:rsidR="002E5AEE" w:rsidRPr="004A40E7" w:rsidRDefault="002E5AEE" w:rsidP="00B53D93">
            <w:pPr>
              <w:pStyle w:val="Tabletext"/>
              <w:rPr>
                <w:rFonts w:eastAsia="SimSun"/>
                <w:color w:val="000000"/>
                <w:lang w:val="en-US"/>
              </w:rPr>
            </w:pPr>
            <w:r w:rsidRPr="004A40E7">
              <w:rPr>
                <w:rFonts w:eastAsia="SimSun"/>
                <w:color w:val="000000"/>
                <w:lang w:val="en-US"/>
              </w:rPr>
              <w:t>Consideration of sharing conditions and usage in</w:t>
            </w:r>
            <w:r w:rsidR="00CA6712">
              <w:rPr>
                <w:rFonts w:eastAsia="SimSun"/>
                <w:color w:val="000000"/>
                <w:lang w:val="en-US"/>
              </w:rPr>
              <w:br/>
            </w:r>
            <w:r w:rsidRPr="004A40E7">
              <w:rPr>
                <w:rFonts w:eastAsia="SimSun"/>
                <w:color w:val="000000"/>
                <w:lang w:val="en-US"/>
              </w:rPr>
              <w:t xml:space="preserve"> the 4-10 MHz band</w:t>
            </w:r>
          </w:p>
        </w:tc>
        <w:tc>
          <w:tcPr>
            <w:tcW w:w="971" w:type="dxa"/>
            <w:vAlign w:val="center"/>
          </w:tcPr>
          <w:p w:rsidR="002E5AEE" w:rsidRPr="004A40E7" w:rsidRDefault="002E5AEE" w:rsidP="00B53D93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4A40E7">
              <w:rPr>
                <w:color w:val="000000"/>
                <w:lang w:eastAsia="zh-CN"/>
              </w:rPr>
              <w:t>1.4</w:t>
            </w:r>
          </w:p>
        </w:tc>
        <w:tc>
          <w:tcPr>
            <w:tcW w:w="1092" w:type="dxa"/>
            <w:vAlign w:val="center"/>
          </w:tcPr>
          <w:p w:rsidR="002E5AEE" w:rsidRPr="004A40E7" w:rsidRDefault="002E5AEE" w:rsidP="00B53D93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4A40E7">
              <w:rPr>
                <w:color w:val="000000"/>
                <w:lang w:eastAsia="zh-CN"/>
              </w:rPr>
              <w:t>1</w:t>
            </w:r>
          </w:p>
        </w:tc>
      </w:tr>
      <w:tr w:rsidR="002E5AEE" w:rsidRPr="007E01A4" w:rsidTr="003866E7">
        <w:trPr>
          <w:cantSplit/>
          <w:jc w:val="center"/>
        </w:trPr>
        <w:tc>
          <w:tcPr>
            <w:tcW w:w="812" w:type="dxa"/>
            <w:tcBorders>
              <w:right w:val="nil"/>
            </w:tcBorders>
            <w:vAlign w:val="center"/>
          </w:tcPr>
          <w:p w:rsidR="002E5AEE" w:rsidRPr="004A40E7" w:rsidRDefault="002E5AEE" w:rsidP="00B53D93">
            <w:pPr>
              <w:pStyle w:val="Tabletext"/>
            </w:pPr>
            <w:r w:rsidRPr="004A40E7">
              <w:t>M.</w:t>
            </w:r>
          </w:p>
        </w:tc>
        <w:tc>
          <w:tcPr>
            <w:tcW w:w="2063" w:type="dxa"/>
            <w:tcBorders>
              <w:left w:val="nil"/>
            </w:tcBorders>
            <w:vAlign w:val="center"/>
          </w:tcPr>
          <w:p w:rsidR="002E5AEE" w:rsidRPr="004A40E7" w:rsidRDefault="002E5AEE" w:rsidP="00B53D93">
            <w:pPr>
              <w:pStyle w:val="Tabletext"/>
            </w:pPr>
            <w:r w:rsidRPr="004A40E7">
              <w:rPr>
                <w:lang w:eastAsia="zh-CN"/>
              </w:rPr>
              <w:t>2234</w:t>
            </w:r>
          </w:p>
        </w:tc>
        <w:tc>
          <w:tcPr>
            <w:tcW w:w="2693" w:type="dxa"/>
            <w:vAlign w:val="center"/>
          </w:tcPr>
          <w:p w:rsidR="002E5AEE" w:rsidRPr="007824B9" w:rsidRDefault="002E5AEE" w:rsidP="00B53D93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hyperlink r:id="rId22" w:history="1">
              <w:r w:rsidRPr="007824B9">
                <w:rPr>
                  <w:rStyle w:val="Hyperlink"/>
                  <w:sz w:val="22"/>
                  <w:szCs w:val="22"/>
                  <w:lang w:val="en-US"/>
                </w:rPr>
                <w:t>Report ITU-R M.2234-0</w:t>
              </w:r>
            </w:hyperlink>
          </w:p>
        </w:tc>
        <w:tc>
          <w:tcPr>
            <w:tcW w:w="2693" w:type="dxa"/>
          </w:tcPr>
          <w:p w:rsidR="002E5AEE" w:rsidRPr="004A40E7" w:rsidRDefault="002E5AEE" w:rsidP="00B53D93">
            <w:pPr>
              <w:pStyle w:val="Tabletext"/>
            </w:pPr>
            <w:r w:rsidRPr="007824B9">
              <w:t>The feasibility of sharing sub-bands between oceanographic radars operating in the radiolocation service and fixed and mobile services within the frequency band 3-50 MHz</w:t>
            </w:r>
          </w:p>
        </w:tc>
        <w:tc>
          <w:tcPr>
            <w:tcW w:w="971" w:type="dxa"/>
            <w:vAlign w:val="center"/>
          </w:tcPr>
          <w:p w:rsidR="002E5AEE" w:rsidRPr="004A40E7" w:rsidRDefault="002E5AEE" w:rsidP="00B53D93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4A40E7">
              <w:rPr>
                <w:color w:val="000000"/>
                <w:lang w:eastAsia="zh-CN"/>
              </w:rPr>
              <w:t>1.4</w:t>
            </w:r>
          </w:p>
        </w:tc>
        <w:tc>
          <w:tcPr>
            <w:tcW w:w="1092" w:type="dxa"/>
            <w:vAlign w:val="center"/>
          </w:tcPr>
          <w:p w:rsidR="002E5AEE" w:rsidRPr="004A40E7" w:rsidRDefault="002E5AEE" w:rsidP="00B53D93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4A40E7">
              <w:rPr>
                <w:color w:val="000000"/>
                <w:lang w:eastAsia="zh-CN"/>
              </w:rPr>
              <w:t>1</w:t>
            </w:r>
          </w:p>
        </w:tc>
      </w:tr>
      <w:tr w:rsidR="002E5AEE" w:rsidRPr="007E01A4" w:rsidTr="003866E7">
        <w:trPr>
          <w:cantSplit/>
          <w:jc w:val="center"/>
        </w:trPr>
        <w:tc>
          <w:tcPr>
            <w:tcW w:w="812" w:type="dxa"/>
            <w:tcBorders>
              <w:right w:val="nil"/>
            </w:tcBorders>
            <w:vAlign w:val="center"/>
          </w:tcPr>
          <w:p w:rsidR="002E5AEE" w:rsidRPr="004A40E7" w:rsidRDefault="002E5AEE" w:rsidP="00B53D93">
            <w:pPr>
              <w:pStyle w:val="Tabletext"/>
            </w:pPr>
            <w:r w:rsidRPr="004A40E7">
              <w:t>M.</w:t>
            </w:r>
          </w:p>
        </w:tc>
        <w:tc>
          <w:tcPr>
            <w:tcW w:w="2063" w:type="dxa"/>
            <w:tcBorders>
              <w:left w:val="nil"/>
            </w:tcBorders>
            <w:vAlign w:val="center"/>
          </w:tcPr>
          <w:p w:rsidR="002E5AEE" w:rsidRPr="004A40E7" w:rsidRDefault="002E5AEE" w:rsidP="00B53D93">
            <w:pPr>
              <w:pStyle w:val="Tabletext"/>
            </w:pPr>
            <w:r w:rsidRPr="004A40E7">
              <w:rPr>
                <w:lang w:eastAsia="zh-CN"/>
              </w:rPr>
              <w:t>[PPDR]</w:t>
            </w:r>
          </w:p>
        </w:tc>
        <w:tc>
          <w:tcPr>
            <w:tcW w:w="2693" w:type="dxa"/>
            <w:vAlign w:val="center"/>
          </w:tcPr>
          <w:p w:rsidR="002E5AEE" w:rsidRPr="005B0978" w:rsidRDefault="002E5AEE" w:rsidP="00B53D93">
            <w:pPr>
              <w:pStyle w:val="Tabletext"/>
              <w:rPr>
                <w:rFonts w:eastAsia="SimSun"/>
                <w:color w:val="000000"/>
                <w:lang w:val="sv-SE" w:eastAsia="zh-CN"/>
              </w:rPr>
            </w:pPr>
            <w:r w:rsidRPr="005B0978">
              <w:rPr>
                <w:rFonts w:eastAsia="SimSun"/>
                <w:color w:val="000000"/>
                <w:lang w:val="sv-SE" w:eastAsia="zh-CN"/>
              </w:rPr>
              <w:t>WDPDN Rep. ITU-R M.[PPDR]</w:t>
            </w:r>
          </w:p>
          <w:p w:rsidR="002E5AEE" w:rsidRPr="007824B9" w:rsidRDefault="002E5AEE" w:rsidP="00B53D93">
            <w:pPr>
              <w:pStyle w:val="Tabletext"/>
              <w:rPr>
                <w:rFonts w:eastAsia="SimSun"/>
                <w:color w:val="000000"/>
                <w:lang w:val="en-CA" w:eastAsia="zh-CN"/>
              </w:rPr>
            </w:pPr>
            <w:r>
              <w:rPr>
                <w:rFonts w:eastAsia="SimSun"/>
                <w:color w:val="000000"/>
                <w:lang w:val="en-CA" w:eastAsia="zh-CN"/>
              </w:rPr>
              <w:t>(</w:t>
            </w:r>
            <w:hyperlink r:id="rId23" w:history="1">
              <w:r w:rsidRPr="007824B9">
                <w:rPr>
                  <w:rStyle w:val="Hyperlink"/>
                  <w:rFonts w:eastAsia="SimSun"/>
                  <w:sz w:val="22"/>
                  <w:szCs w:val="22"/>
                  <w:lang w:val="en-CA" w:eastAsia="zh-CN"/>
                </w:rPr>
                <w:t>Annex 15</w:t>
              </w:r>
            </w:hyperlink>
            <w:r>
              <w:rPr>
                <w:rFonts w:eastAsia="SimSun"/>
                <w:color w:val="000000"/>
                <w:lang w:val="en-CA" w:eastAsia="zh-CN"/>
              </w:rPr>
              <w:t xml:space="preserve"> to </w:t>
            </w:r>
            <w:hyperlink r:id="rId24" w:history="1">
              <w:r w:rsidRPr="007824B9">
                <w:rPr>
                  <w:rStyle w:val="Hyperlink"/>
                  <w:rFonts w:eastAsia="SimSun"/>
                  <w:sz w:val="22"/>
                  <w:szCs w:val="22"/>
                  <w:lang w:val="en-CA" w:eastAsia="zh-CN"/>
                </w:rPr>
                <w:t>Doc. 5A/543</w:t>
              </w:r>
            </w:hyperlink>
            <w:r>
              <w:rPr>
                <w:rFonts w:eastAsia="SimSun"/>
                <w:color w:val="000000"/>
                <w:lang w:val="en-CA" w:eastAsia="zh-CN"/>
              </w:rPr>
              <w:t>)</w:t>
            </w:r>
          </w:p>
        </w:tc>
        <w:tc>
          <w:tcPr>
            <w:tcW w:w="2693" w:type="dxa"/>
          </w:tcPr>
          <w:p w:rsidR="002E5AEE" w:rsidRPr="004A40E7" w:rsidRDefault="002E5AEE" w:rsidP="00B53D93">
            <w:pPr>
              <w:pStyle w:val="Tabletext"/>
            </w:pPr>
            <w:r w:rsidRPr="007824B9">
              <w:t>Public protection and disaster relief communications</w:t>
            </w:r>
          </w:p>
        </w:tc>
        <w:tc>
          <w:tcPr>
            <w:tcW w:w="971" w:type="dxa"/>
            <w:vAlign w:val="center"/>
          </w:tcPr>
          <w:p w:rsidR="002E5AEE" w:rsidRPr="004A40E7" w:rsidRDefault="002E5AEE" w:rsidP="00B53D93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4A40E7">
              <w:rPr>
                <w:color w:val="000000"/>
                <w:lang w:eastAsia="zh-CN"/>
              </w:rPr>
              <w:t>1.4</w:t>
            </w:r>
          </w:p>
        </w:tc>
        <w:tc>
          <w:tcPr>
            <w:tcW w:w="1092" w:type="dxa"/>
            <w:vAlign w:val="center"/>
          </w:tcPr>
          <w:p w:rsidR="002E5AEE" w:rsidRPr="004A40E7" w:rsidRDefault="002E5AEE" w:rsidP="00B53D93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4A40E7">
              <w:rPr>
                <w:color w:val="000000"/>
                <w:lang w:eastAsia="zh-CN"/>
              </w:rPr>
              <w:t>1</w:t>
            </w:r>
          </w:p>
        </w:tc>
      </w:tr>
      <w:tr w:rsidR="002E5AEE" w:rsidRPr="007E01A4" w:rsidTr="003866E7">
        <w:trPr>
          <w:cantSplit/>
          <w:jc w:val="center"/>
        </w:trPr>
        <w:tc>
          <w:tcPr>
            <w:tcW w:w="812" w:type="dxa"/>
            <w:tcBorders>
              <w:right w:val="nil"/>
            </w:tcBorders>
            <w:vAlign w:val="center"/>
          </w:tcPr>
          <w:p w:rsidR="002E5AEE" w:rsidRPr="004A40E7" w:rsidRDefault="002E5AEE" w:rsidP="00B53D93">
            <w:pPr>
              <w:pStyle w:val="Tabletext"/>
            </w:pPr>
            <w:r w:rsidRPr="004A40E7">
              <w:t>M.</w:t>
            </w:r>
          </w:p>
        </w:tc>
        <w:tc>
          <w:tcPr>
            <w:tcW w:w="2063" w:type="dxa"/>
            <w:tcBorders>
              <w:left w:val="nil"/>
            </w:tcBorders>
            <w:vAlign w:val="center"/>
          </w:tcPr>
          <w:p w:rsidR="002E5AEE" w:rsidRPr="004A40E7" w:rsidRDefault="002E5AEE" w:rsidP="00B53D93">
            <w:pPr>
              <w:pStyle w:val="Tabletext"/>
            </w:pPr>
            <w:r w:rsidRPr="004A40E7">
              <w:rPr>
                <w:lang w:val="en-US"/>
              </w:rPr>
              <w:t>[</w:t>
            </w:r>
            <w:r w:rsidRPr="004A40E7">
              <w:rPr>
                <w:lang w:val="en-US" w:eastAsia="zh-CN"/>
              </w:rPr>
              <w:t>5 MHz COMPAT</w:t>
            </w:r>
            <w:r w:rsidRPr="004A40E7">
              <w:rPr>
                <w:lang w:val="en-US"/>
              </w:rPr>
              <w:t>]</w:t>
            </w:r>
          </w:p>
        </w:tc>
        <w:tc>
          <w:tcPr>
            <w:tcW w:w="2693" w:type="dxa"/>
            <w:vAlign w:val="center"/>
          </w:tcPr>
          <w:p w:rsidR="002E5AEE" w:rsidRPr="007824B9" w:rsidRDefault="002E5AEE" w:rsidP="00B53D93">
            <w:pPr>
              <w:pStyle w:val="Tabletext"/>
              <w:rPr>
                <w:rFonts w:eastAsia="SimSun"/>
                <w:color w:val="000000"/>
                <w:lang w:val="en-CA" w:eastAsia="zh-CN"/>
              </w:rPr>
            </w:pPr>
            <w:r w:rsidRPr="007824B9">
              <w:rPr>
                <w:rFonts w:eastAsia="SimSun"/>
                <w:color w:val="000000"/>
                <w:lang w:val="en-CA" w:eastAsia="zh-CN"/>
              </w:rPr>
              <w:t>PDN Rep. ITU-R M.[</w:t>
            </w:r>
            <w:r w:rsidRPr="004A40E7">
              <w:rPr>
                <w:lang w:val="en-US" w:eastAsia="zh-CN"/>
              </w:rPr>
              <w:t>5</w:t>
            </w:r>
            <w:r>
              <w:rPr>
                <w:lang w:val="en-US" w:eastAsia="zh-CN"/>
              </w:rPr>
              <w:t> </w:t>
            </w:r>
            <w:r w:rsidRPr="004A40E7">
              <w:rPr>
                <w:lang w:val="en-US" w:eastAsia="zh-CN"/>
              </w:rPr>
              <w:t>MHz COMPAT</w:t>
            </w:r>
            <w:r w:rsidRPr="007824B9">
              <w:rPr>
                <w:rFonts w:eastAsia="SimSun"/>
                <w:color w:val="000000"/>
                <w:lang w:val="en-CA" w:eastAsia="zh-CN"/>
              </w:rPr>
              <w:t>]</w:t>
            </w:r>
          </w:p>
          <w:p w:rsidR="002E5AEE" w:rsidRPr="007824B9" w:rsidRDefault="002E5AEE" w:rsidP="00B53D93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val="en-CA" w:eastAsia="zh-CN"/>
              </w:rPr>
              <w:t>(</w:t>
            </w:r>
            <w:hyperlink r:id="rId25" w:history="1">
              <w:r>
                <w:rPr>
                  <w:rStyle w:val="Hyperlink"/>
                  <w:rFonts w:eastAsia="SimSun"/>
                  <w:sz w:val="22"/>
                  <w:szCs w:val="22"/>
                  <w:lang w:val="en-CA" w:eastAsia="zh-CN"/>
                </w:rPr>
                <w:t>Annex 10</w:t>
              </w:r>
            </w:hyperlink>
            <w:r>
              <w:rPr>
                <w:rFonts w:eastAsia="SimSun"/>
                <w:color w:val="000000"/>
                <w:lang w:val="en-CA" w:eastAsia="zh-CN"/>
              </w:rPr>
              <w:t xml:space="preserve"> to </w:t>
            </w:r>
            <w:hyperlink r:id="rId26" w:history="1">
              <w:r w:rsidRPr="007824B9">
                <w:rPr>
                  <w:rStyle w:val="Hyperlink"/>
                  <w:rFonts w:eastAsia="SimSun"/>
                  <w:sz w:val="22"/>
                  <w:szCs w:val="22"/>
                  <w:lang w:val="en-CA" w:eastAsia="zh-CN"/>
                </w:rPr>
                <w:t>Doc. 5A/543</w:t>
              </w:r>
            </w:hyperlink>
            <w:r>
              <w:rPr>
                <w:rFonts w:eastAsia="SimSun"/>
                <w:color w:val="000000"/>
                <w:lang w:val="en-CA" w:eastAsia="zh-CN"/>
              </w:rPr>
              <w:t>)</w:t>
            </w:r>
          </w:p>
        </w:tc>
        <w:tc>
          <w:tcPr>
            <w:tcW w:w="2693" w:type="dxa"/>
          </w:tcPr>
          <w:p w:rsidR="002E5AEE" w:rsidRPr="004A40E7" w:rsidRDefault="002E5AEE" w:rsidP="00B53D93">
            <w:pPr>
              <w:pStyle w:val="Tabletext"/>
            </w:pPr>
            <w:r w:rsidRPr="007824B9">
              <w:t>Compatibility analysis of possible amateur service stations with fixed, land mobile, maritime mobile and radiolocation services in the frequency band 5 250-</w:t>
            </w:r>
            <w:r w:rsidR="00CA6712">
              <w:br/>
            </w:r>
            <w:r w:rsidRPr="007824B9">
              <w:t>5 450 kHz and the aeronautical mobile service in an adjacent band</w:t>
            </w:r>
          </w:p>
        </w:tc>
        <w:tc>
          <w:tcPr>
            <w:tcW w:w="971" w:type="dxa"/>
            <w:vAlign w:val="center"/>
          </w:tcPr>
          <w:p w:rsidR="002E5AEE" w:rsidRPr="004A40E7" w:rsidRDefault="002E5AEE" w:rsidP="00B53D93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4A40E7">
              <w:rPr>
                <w:color w:val="000000"/>
                <w:lang w:eastAsia="zh-CN"/>
              </w:rPr>
              <w:t>1.4</w:t>
            </w:r>
          </w:p>
        </w:tc>
        <w:tc>
          <w:tcPr>
            <w:tcW w:w="1092" w:type="dxa"/>
            <w:vAlign w:val="center"/>
          </w:tcPr>
          <w:p w:rsidR="002E5AEE" w:rsidRPr="004A40E7" w:rsidRDefault="002E5AEE" w:rsidP="00B53D93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4A40E7">
              <w:rPr>
                <w:color w:val="000000"/>
                <w:lang w:eastAsia="zh-CN"/>
              </w:rPr>
              <w:t>1</w:t>
            </w:r>
          </w:p>
        </w:tc>
      </w:tr>
    </w:tbl>
    <w:p w:rsidR="002E5AEE" w:rsidRPr="001C6D89" w:rsidRDefault="002E5AEE" w:rsidP="002E5AEE">
      <w:pPr>
        <w:tabs>
          <w:tab w:val="clear" w:pos="1134"/>
          <w:tab w:val="clear" w:pos="1871"/>
          <w:tab w:val="clear" w:pos="2268"/>
          <w:tab w:val="left" w:pos="1560"/>
        </w:tabs>
        <w:rPr>
          <w:lang w:val="en-US"/>
        </w:rPr>
      </w:pPr>
    </w:p>
    <w:p w:rsidR="002E5AEE" w:rsidRPr="001C6D89" w:rsidRDefault="002E5AEE" w:rsidP="002E5AE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1C6D89">
        <w:rPr>
          <w:lang w:val="en-US"/>
        </w:rPr>
        <w:br w:type="page"/>
      </w:r>
    </w:p>
    <w:p w:rsidR="002E5AEE" w:rsidRDefault="002E5AEE" w:rsidP="00B53D93">
      <w:pPr>
        <w:pStyle w:val="AppendixNo"/>
        <w:rPr>
          <w:lang w:val="en-CA" w:eastAsia="zh-CN"/>
        </w:rPr>
      </w:pPr>
      <w:r w:rsidRPr="006A57DD">
        <w:rPr>
          <w:lang w:val="en-CA" w:eastAsia="zh-CN"/>
        </w:rPr>
        <w:lastRenderedPageBreak/>
        <w:t xml:space="preserve">Attachment </w:t>
      </w:r>
      <w:r>
        <w:rPr>
          <w:lang w:val="en-CA" w:eastAsia="zh-CN"/>
        </w:rPr>
        <w:t>2</w:t>
      </w:r>
    </w:p>
    <w:p w:rsidR="002E5AEE" w:rsidRDefault="002E5AEE" w:rsidP="009000D6">
      <w:pPr>
        <w:pStyle w:val="Appendixtitle"/>
        <w:rPr>
          <w:lang w:val="en-CA" w:eastAsia="zh-CN"/>
        </w:rPr>
      </w:pPr>
      <w:r w:rsidRPr="00B17C37">
        <w:rPr>
          <w:lang w:val="en-CA" w:eastAsia="zh-CN"/>
        </w:rPr>
        <w:t xml:space="preserve">List of abbreviations and acronyms used in the draft CPM text </w:t>
      </w:r>
      <w:r w:rsidR="00B53D93">
        <w:rPr>
          <w:lang w:val="en-CA" w:eastAsia="zh-CN"/>
        </w:rPr>
        <w:br/>
      </w:r>
      <w:r w:rsidRPr="00B17C37">
        <w:rPr>
          <w:lang w:val="en-CA" w:eastAsia="zh-CN"/>
        </w:rPr>
        <w:t>for agenda item 1.4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371"/>
      </w:tblGrid>
      <w:tr w:rsidR="002E5AEE" w:rsidTr="003866E7">
        <w:trPr>
          <w:tblHeader/>
        </w:trPr>
        <w:tc>
          <w:tcPr>
            <w:tcW w:w="1701" w:type="dxa"/>
            <w:vAlign w:val="center"/>
          </w:tcPr>
          <w:p w:rsidR="002E5AEE" w:rsidRPr="00AB4354" w:rsidRDefault="002E5AEE" w:rsidP="003866E7">
            <w:pPr>
              <w:pStyle w:val="toc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AB4354">
              <w:rPr>
                <w:bCs/>
                <w:sz w:val="22"/>
                <w:szCs w:val="22"/>
                <w:lang w:val="en-US"/>
              </w:rPr>
              <w:t>Abbreviations</w:t>
            </w:r>
          </w:p>
        </w:tc>
        <w:tc>
          <w:tcPr>
            <w:tcW w:w="7371" w:type="dxa"/>
            <w:vAlign w:val="center"/>
          </w:tcPr>
          <w:p w:rsidR="002E5AEE" w:rsidRPr="00AB4354" w:rsidRDefault="002E5AEE" w:rsidP="003866E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/>
                <w:bCs/>
                <w:sz w:val="22"/>
                <w:szCs w:val="22"/>
              </w:rPr>
            </w:pPr>
            <w:r w:rsidRPr="00AB4354">
              <w:rPr>
                <w:b/>
                <w:bCs/>
                <w:sz w:val="22"/>
                <w:szCs w:val="22"/>
              </w:rPr>
              <w:t>Description (reference to RR)</w:t>
            </w:r>
          </w:p>
        </w:tc>
      </w:tr>
      <w:tr w:rsidR="002E5AEE" w:rsidTr="003866E7">
        <w:tc>
          <w:tcPr>
            <w:tcW w:w="1701" w:type="dxa"/>
          </w:tcPr>
          <w:p w:rsidR="002E5AEE" w:rsidRPr="00AB4354" w:rsidRDefault="002E5AEE" w:rsidP="00B53D93">
            <w:pPr>
              <w:pStyle w:val="Tabletext"/>
              <w:spacing w:before="60" w:after="60"/>
            </w:pPr>
            <w:r w:rsidRPr="00AB4354">
              <w:rPr>
                <w:lang w:val="en-CA" w:eastAsia="zh-CN"/>
              </w:rPr>
              <w:t>CCIR</w:t>
            </w:r>
          </w:p>
        </w:tc>
        <w:tc>
          <w:tcPr>
            <w:tcW w:w="7371" w:type="dxa"/>
          </w:tcPr>
          <w:p w:rsidR="002E5AEE" w:rsidRPr="00AB4354" w:rsidRDefault="002E5AEE" w:rsidP="00B53D93">
            <w:pPr>
              <w:pStyle w:val="Tabletext"/>
              <w:spacing w:before="60" w:after="60"/>
            </w:pPr>
            <w:r w:rsidRPr="00AB4354">
              <w:rPr>
                <w:lang w:val="en-CA" w:eastAsia="zh-CN"/>
              </w:rPr>
              <w:t>International Radio Consultative Committee</w:t>
            </w:r>
          </w:p>
        </w:tc>
      </w:tr>
      <w:tr w:rsidR="002E5AEE" w:rsidTr="003866E7">
        <w:tc>
          <w:tcPr>
            <w:tcW w:w="1701" w:type="dxa"/>
          </w:tcPr>
          <w:p w:rsidR="002E5AEE" w:rsidRPr="00AB4354" w:rsidRDefault="002E5AEE" w:rsidP="00B53D93">
            <w:pPr>
              <w:pStyle w:val="Tabletext"/>
              <w:spacing w:before="60" w:after="60"/>
            </w:pPr>
            <w:r w:rsidRPr="00AB4354">
              <w:rPr>
                <w:lang w:val="en-CA" w:eastAsia="zh-CN"/>
              </w:rPr>
              <w:t>COMPAT</w:t>
            </w:r>
          </w:p>
        </w:tc>
        <w:tc>
          <w:tcPr>
            <w:tcW w:w="7371" w:type="dxa"/>
          </w:tcPr>
          <w:p w:rsidR="002E5AEE" w:rsidRPr="00AB4354" w:rsidRDefault="002E5AEE" w:rsidP="00B53D93">
            <w:pPr>
              <w:pStyle w:val="Tabletext"/>
              <w:spacing w:before="60" w:after="60"/>
            </w:pPr>
            <w:r w:rsidRPr="00AB4354">
              <w:rPr>
                <w:lang w:val="en-CA" w:eastAsia="zh-CN"/>
              </w:rPr>
              <w:t>Compatibility</w:t>
            </w:r>
          </w:p>
        </w:tc>
      </w:tr>
      <w:tr w:rsidR="002E5AEE" w:rsidTr="003866E7">
        <w:tc>
          <w:tcPr>
            <w:tcW w:w="1701" w:type="dxa"/>
          </w:tcPr>
          <w:p w:rsidR="002E5AEE" w:rsidRPr="00AB4354" w:rsidRDefault="002E5AEE" w:rsidP="00B53D93">
            <w:pPr>
              <w:pStyle w:val="Tabletext"/>
              <w:spacing w:before="60" w:after="60"/>
              <w:rPr>
                <w:lang w:val="en-CA" w:eastAsia="zh-CN"/>
              </w:rPr>
            </w:pPr>
            <w:r>
              <w:rPr>
                <w:lang w:val="en-CA" w:eastAsia="zh-CN"/>
              </w:rPr>
              <w:t>FS</w:t>
            </w:r>
          </w:p>
        </w:tc>
        <w:tc>
          <w:tcPr>
            <w:tcW w:w="7371" w:type="dxa"/>
          </w:tcPr>
          <w:p w:rsidR="002E5AEE" w:rsidRPr="00AB4354" w:rsidRDefault="002E5AEE" w:rsidP="00B53D93">
            <w:pPr>
              <w:pStyle w:val="Tabletext"/>
              <w:spacing w:before="60" w:after="60"/>
              <w:rPr>
                <w:lang w:val="en-CA" w:eastAsia="zh-CN"/>
              </w:rPr>
            </w:pPr>
            <w:r>
              <w:rPr>
                <w:lang w:val="en-CA" w:eastAsia="zh-CN"/>
              </w:rPr>
              <w:t>Fixed Service</w:t>
            </w:r>
          </w:p>
        </w:tc>
      </w:tr>
      <w:tr w:rsidR="002E5AEE" w:rsidTr="003866E7">
        <w:tc>
          <w:tcPr>
            <w:tcW w:w="1701" w:type="dxa"/>
          </w:tcPr>
          <w:p w:rsidR="002E5AEE" w:rsidRPr="00AB4354" w:rsidRDefault="002E5AEE" w:rsidP="00B53D93">
            <w:pPr>
              <w:pStyle w:val="Tabletext"/>
              <w:spacing w:before="60" w:after="60"/>
              <w:rPr>
                <w:lang w:val="en-US"/>
              </w:rPr>
            </w:pPr>
            <w:r w:rsidRPr="00AB4354">
              <w:rPr>
                <w:lang w:val="en-CA" w:eastAsia="zh-CN"/>
              </w:rPr>
              <w:t>HF</w:t>
            </w:r>
          </w:p>
        </w:tc>
        <w:tc>
          <w:tcPr>
            <w:tcW w:w="7371" w:type="dxa"/>
          </w:tcPr>
          <w:p w:rsidR="002E5AEE" w:rsidRPr="00AB4354" w:rsidRDefault="002E5AEE" w:rsidP="00B53D93">
            <w:pPr>
              <w:pStyle w:val="Tabletext"/>
              <w:spacing w:before="60" w:after="60"/>
              <w:rPr>
                <w:lang w:val="en-US"/>
              </w:rPr>
            </w:pPr>
            <w:r w:rsidRPr="00AB4354">
              <w:rPr>
                <w:lang w:val="en-CA" w:eastAsia="zh-CN"/>
              </w:rPr>
              <w:t>High Frequency</w:t>
            </w:r>
          </w:p>
        </w:tc>
      </w:tr>
      <w:tr w:rsidR="002E5AEE" w:rsidTr="003866E7">
        <w:tc>
          <w:tcPr>
            <w:tcW w:w="1701" w:type="dxa"/>
          </w:tcPr>
          <w:p w:rsidR="002E5AEE" w:rsidRPr="00AB4354" w:rsidRDefault="002E5AEE" w:rsidP="00B53D93">
            <w:pPr>
              <w:pStyle w:val="Tabletext"/>
              <w:spacing w:before="60" w:after="60"/>
            </w:pPr>
            <w:r w:rsidRPr="00AB4354">
              <w:rPr>
                <w:lang w:val="en-CA" w:eastAsia="zh-CN"/>
              </w:rPr>
              <w:t>LUF</w:t>
            </w:r>
          </w:p>
        </w:tc>
        <w:tc>
          <w:tcPr>
            <w:tcW w:w="7371" w:type="dxa"/>
          </w:tcPr>
          <w:p w:rsidR="002E5AEE" w:rsidRPr="00AB4354" w:rsidRDefault="002E5AEE" w:rsidP="00B53D93">
            <w:pPr>
              <w:pStyle w:val="Tabletext"/>
              <w:spacing w:before="60" w:after="60"/>
              <w:rPr>
                <w:lang w:val="en-US"/>
              </w:rPr>
            </w:pPr>
            <w:r w:rsidRPr="00AB4354">
              <w:rPr>
                <w:lang w:val="en-CA" w:eastAsia="zh-CN"/>
              </w:rPr>
              <w:t>Lowest Usable Frequency</w:t>
            </w:r>
          </w:p>
        </w:tc>
      </w:tr>
      <w:tr w:rsidR="002E5AEE" w:rsidTr="003866E7">
        <w:tc>
          <w:tcPr>
            <w:tcW w:w="1701" w:type="dxa"/>
          </w:tcPr>
          <w:p w:rsidR="002E5AEE" w:rsidRPr="00AB4354" w:rsidRDefault="002E5AEE" w:rsidP="00B53D93">
            <w:pPr>
              <w:pStyle w:val="Tabletext"/>
              <w:spacing w:before="60" w:after="60"/>
            </w:pPr>
            <w:r w:rsidRPr="00AB4354">
              <w:rPr>
                <w:lang w:val="en-CA" w:eastAsia="zh-CN"/>
              </w:rPr>
              <w:t>MIFR</w:t>
            </w:r>
          </w:p>
        </w:tc>
        <w:tc>
          <w:tcPr>
            <w:tcW w:w="7371" w:type="dxa"/>
          </w:tcPr>
          <w:p w:rsidR="002E5AEE" w:rsidRPr="00AB4354" w:rsidRDefault="002E5AEE" w:rsidP="00B53D93">
            <w:pPr>
              <w:pStyle w:val="Tabletext"/>
              <w:spacing w:before="60" w:after="60"/>
              <w:rPr>
                <w:lang w:val="en-US"/>
              </w:rPr>
            </w:pPr>
            <w:r w:rsidRPr="00AB4354">
              <w:rPr>
                <w:lang w:val="en-CA" w:eastAsia="zh-CN"/>
              </w:rPr>
              <w:t>Master International Frequency Register</w:t>
            </w:r>
          </w:p>
        </w:tc>
      </w:tr>
      <w:tr w:rsidR="002E5AEE" w:rsidRPr="000D6BF0" w:rsidTr="003866E7">
        <w:tc>
          <w:tcPr>
            <w:tcW w:w="1701" w:type="dxa"/>
          </w:tcPr>
          <w:p w:rsidR="002E5AEE" w:rsidRPr="00AB4354" w:rsidRDefault="002E5AEE" w:rsidP="00B53D93">
            <w:pPr>
              <w:pStyle w:val="Tabletext"/>
              <w:spacing w:before="60" w:after="60"/>
            </w:pPr>
            <w:r w:rsidRPr="00AB4354">
              <w:rPr>
                <w:lang w:val="en-CA" w:eastAsia="zh-CN"/>
              </w:rPr>
              <w:t>MUF</w:t>
            </w:r>
          </w:p>
        </w:tc>
        <w:tc>
          <w:tcPr>
            <w:tcW w:w="7371" w:type="dxa"/>
          </w:tcPr>
          <w:p w:rsidR="002E5AEE" w:rsidRPr="00AB4354" w:rsidRDefault="002E5AEE" w:rsidP="00B53D93">
            <w:pPr>
              <w:pStyle w:val="Tabletext"/>
              <w:spacing w:before="60" w:after="60"/>
              <w:rPr>
                <w:lang w:val="en-US"/>
              </w:rPr>
            </w:pPr>
            <w:r w:rsidRPr="00AB4354">
              <w:rPr>
                <w:lang w:val="en-CA" w:eastAsia="zh-CN"/>
              </w:rPr>
              <w:t>Maximum Usable Frequency</w:t>
            </w:r>
          </w:p>
        </w:tc>
      </w:tr>
      <w:tr w:rsidR="002E5AEE" w:rsidTr="003866E7">
        <w:tc>
          <w:tcPr>
            <w:tcW w:w="1701" w:type="dxa"/>
          </w:tcPr>
          <w:p w:rsidR="002E5AEE" w:rsidRPr="00AB4354" w:rsidRDefault="002E5AEE" w:rsidP="00B53D93">
            <w:pPr>
              <w:pStyle w:val="Tabletext"/>
              <w:spacing w:before="60" w:after="60"/>
            </w:pPr>
            <w:r w:rsidRPr="00AB4354">
              <w:rPr>
                <w:lang w:val="en-CA" w:eastAsia="zh-CN"/>
              </w:rPr>
              <w:t>PPDR</w:t>
            </w:r>
          </w:p>
        </w:tc>
        <w:tc>
          <w:tcPr>
            <w:tcW w:w="7371" w:type="dxa"/>
          </w:tcPr>
          <w:p w:rsidR="002E5AEE" w:rsidRPr="00AB4354" w:rsidRDefault="002E5AEE" w:rsidP="00B53D93">
            <w:pPr>
              <w:pStyle w:val="Tabletext"/>
              <w:spacing w:before="60" w:after="60"/>
            </w:pPr>
            <w:r w:rsidRPr="00AB4354">
              <w:rPr>
                <w:lang w:val="en-CA" w:eastAsia="zh-CN"/>
              </w:rPr>
              <w:t>Public Protection and Disaster Relief</w:t>
            </w:r>
          </w:p>
        </w:tc>
      </w:tr>
      <w:tr w:rsidR="002E5AEE" w:rsidTr="003866E7">
        <w:tc>
          <w:tcPr>
            <w:tcW w:w="1701" w:type="dxa"/>
          </w:tcPr>
          <w:p w:rsidR="002E5AEE" w:rsidRPr="00AB4354" w:rsidRDefault="002E5AEE" w:rsidP="00B53D93">
            <w:pPr>
              <w:pStyle w:val="Tabletext"/>
              <w:spacing w:before="60" w:after="60"/>
              <w:rPr>
                <w:lang w:val="en-US"/>
              </w:rPr>
            </w:pPr>
            <w:r w:rsidRPr="00AB4354">
              <w:rPr>
                <w:lang w:val="en-CA" w:eastAsia="zh-CN"/>
              </w:rPr>
              <w:t>RR</w:t>
            </w:r>
          </w:p>
        </w:tc>
        <w:tc>
          <w:tcPr>
            <w:tcW w:w="7371" w:type="dxa"/>
          </w:tcPr>
          <w:p w:rsidR="002E5AEE" w:rsidRPr="00AB4354" w:rsidRDefault="002E5AEE" w:rsidP="00B53D93">
            <w:pPr>
              <w:pStyle w:val="Tabletext"/>
              <w:spacing w:before="60" w:after="60"/>
              <w:rPr>
                <w:lang w:val="en-US"/>
              </w:rPr>
            </w:pPr>
            <w:r w:rsidRPr="00AB4354">
              <w:rPr>
                <w:lang w:val="en-CA" w:eastAsia="zh-CN"/>
              </w:rPr>
              <w:t>Radio Regulations</w:t>
            </w:r>
          </w:p>
        </w:tc>
      </w:tr>
      <w:tr w:rsidR="002E5AEE" w:rsidTr="003866E7">
        <w:tc>
          <w:tcPr>
            <w:tcW w:w="1701" w:type="dxa"/>
          </w:tcPr>
          <w:p w:rsidR="002E5AEE" w:rsidRPr="00AB4354" w:rsidRDefault="002E5AEE" w:rsidP="00B53D93">
            <w:pPr>
              <w:pStyle w:val="Tabletext"/>
              <w:spacing w:before="60" w:after="60"/>
              <w:rPr>
                <w:lang w:val="en-US"/>
              </w:rPr>
            </w:pPr>
            <w:r w:rsidRPr="00AB4354">
              <w:rPr>
                <w:lang w:val="en-CA" w:eastAsia="zh-CN"/>
              </w:rPr>
              <w:t>WARC</w:t>
            </w:r>
          </w:p>
        </w:tc>
        <w:tc>
          <w:tcPr>
            <w:tcW w:w="7371" w:type="dxa"/>
          </w:tcPr>
          <w:p w:rsidR="002E5AEE" w:rsidRPr="00AB4354" w:rsidRDefault="002E5AEE" w:rsidP="00B53D93">
            <w:pPr>
              <w:pStyle w:val="Tabletext"/>
              <w:spacing w:before="60" w:after="60"/>
              <w:rPr>
                <w:lang w:val="en-US"/>
              </w:rPr>
            </w:pPr>
            <w:r w:rsidRPr="00AB4354">
              <w:rPr>
                <w:lang w:val="en-CA" w:eastAsia="zh-CN"/>
              </w:rPr>
              <w:t>World Administrative Radio Conference</w:t>
            </w:r>
          </w:p>
        </w:tc>
      </w:tr>
      <w:tr w:rsidR="002E5AEE" w:rsidTr="003866E7">
        <w:tc>
          <w:tcPr>
            <w:tcW w:w="1701" w:type="dxa"/>
          </w:tcPr>
          <w:p w:rsidR="002E5AEE" w:rsidRPr="00AB4354" w:rsidRDefault="002E5AEE" w:rsidP="003866E7">
            <w:pPr>
              <w:pStyle w:val="Normalaftertitle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AB4354">
              <w:rPr>
                <w:sz w:val="22"/>
                <w:szCs w:val="22"/>
                <w:lang w:val="en-CA" w:eastAsia="zh-CN"/>
              </w:rPr>
              <w:t>WRC</w:t>
            </w:r>
          </w:p>
        </w:tc>
        <w:tc>
          <w:tcPr>
            <w:tcW w:w="7371" w:type="dxa"/>
          </w:tcPr>
          <w:p w:rsidR="002E5AEE" w:rsidRPr="00AB4354" w:rsidRDefault="002E5AEE" w:rsidP="003866E7">
            <w:pPr>
              <w:pStyle w:val="Normalaftertitle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sz w:val="22"/>
                <w:szCs w:val="22"/>
              </w:rPr>
            </w:pPr>
            <w:r w:rsidRPr="00AB4354">
              <w:rPr>
                <w:sz w:val="22"/>
                <w:szCs w:val="22"/>
                <w:lang w:val="en-CA" w:eastAsia="zh-CN"/>
              </w:rPr>
              <w:t xml:space="preserve">World </w:t>
            </w:r>
            <w:proofErr w:type="spellStart"/>
            <w:r w:rsidRPr="00AB4354">
              <w:rPr>
                <w:sz w:val="22"/>
                <w:szCs w:val="22"/>
                <w:lang w:val="en-CA" w:eastAsia="zh-CN"/>
              </w:rPr>
              <w:t>Radiocommunication</w:t>
            </w:r>
            <w:proofErr w:type="spellEnd"/>
            <w:r w:rsidRPr="00AB4354">
              <w:rPr>
                <w:sz w:val="22"/>
                <w:szCs w:val="22"/>
                <w:lang w:val="en-CA" w:eastAsia="zh-CN"/>
              </w:rPr>
              <w:t xml:space="preserve"> Conference</w:t>
            </w:r>
          </w:p>
        </w:tc>
      </w:tr>
    </w:tbl>
    <w:p w:rsidR="002E5AEE" w:rsidRPr="006867F8" w:rsidRDefault="002E5AEE" w:rsidP="002E5AEE">
      <w:pPr>
        <w:tabs>
          <w:tab w:val="clear" w:pos="1134"/>
          <w:tab w:val="clear" w:pos="1871"/>
          <w:tab w:val="clear" w:pos="2268"/>
          <w:tab w:val="left" w:pos="1560"/>
        </w:tabs>
        <w:rPr>
          <w:lang w:val="fr-FR" w:eastAsia="zh-CN"/>
        </w:rPr>
      </w:pPr>
    </w:p>
    <w:p w:rsidR="00831CC0" w:rsidRPr="002E5AEE" w:rsidRDefault="00831CC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</w:p>
    <w:p w:rsidR="000069D4" w:rsidRPr="002E5AEE" w:rsidRDefault="000069D4" w:rsidP="00DD4BED">
      <w:pPr>
        <w:rPr>
          <w:lang w:val="en-US" w:eastAsia="zh-CN"/>
        </w:rPr>
      </w:pPr>
    </w:p>
    <w:sectPr w:rsidR="000069D4" w:rsidRPr="002E5AEE" w:rsidSect="00D02712">
      <w:headerReference w:type="default" r:id="rId27"/>
      <w:footerReference w:type="default" r:id="rId28"/>
      <w:footerReference w:type="first" r:id="rId2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CC0" w:rsidRDefault="00831CC0">
      <w:r>
        <w:separator/>
      </w:r>
    </w:p>
  </w:endnote>
  <w:endnote w:type="continuationSeparator" w:id="0">
    <w:p w:rsidR="00831CC0" w:rsidRDefault="0083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0464AF" w:rsidRDefault="002A4FD5" w:rsidP="000464AF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0464AF" w:rsidRPr="000464AF">
      <w:rPr>
        <w:lang w:val="en-US"/>
      </w:rPr>
      <w:t>M</w:t>
    </w:r>
    <w:r w:rsidR="000464AF">
      <w:t>:\BRSGD\TEXT2014\SG05\WP5A\500\543\543N05e.docx</w:t>
    </w:r>
    <w:r>
      <w:rPr>
        <w:lang w:val="es-ES_tradnl"/>
      </w:rPr>
      <w:fldChar w:fldCharType="end"/>
    </w:r>
    <w:r w:rsidR="00FA124A" w:rsidRPr="000464AF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2E5AEE">
      <w:t>17.06.14</w:t>
    </w:r>
    <w:r w:rsidR="00D02712">
      <w:fldChar w:fldCharType="end"/>
    </w:r>
    <w:r w:rsidR="00FA124A" w:rsidRPr="000464AF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831CC0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0464AF" w:rsidRDefault="000464AF" w:rsidP="00E6257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0464AF">
      <w:rPr>
        <w:lang w:val="en-US"/>
      </w:rPr>
      <w:t>M</w:t>
    </w:r>
    <w:r>
      <w:t>:\BRSGD\TEXT2014\SG05\WP5A\500\543\543N05e.docx</w:t>
    </w:r>
    <w:r>
      <w:rPr>
        <w:lang w:val="es-ES_tradnl"/>
      </w:rPr>
      <w:fldChar w:fldCharType="end"/>
    </w:r>
    <w:r w:rsidR="00FA124A" w:rsidRPr="000464AF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2E5AEE">
      <w:t>17.06.14</w:t>
    </w:r>
    <w:r w:rsidR="00D02712">
      <w:fldChar w:fldCharType="end"/>
    </w:r>
    <w:r w:rsidR="00FA124A" w:rsidRPr="000464AF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831CC0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CC0" w:rsidRDefault="00831CC0">
      <w:r>
        <w:t>____________________</w:t>
      </w:r>
    </w:p>
  </w:footnote>
  <w:footnote w:type="continuationSeparator" w:id="0">
    <w:p w:rsidR="00831CC0" w:rsidRDefault="00831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Default="00FA124A" w:rsidP="002A4FD5">
    <w:pPr>
      <w:pStyle w:val="Header"/>
      <w:rPr>
        <w:lang w:val="en-US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2A4FD5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  <w:r w:rsidR="002A4FD5">
      <w:rPr>
        <w:rStyle w:val="PageNumber"/>
      </w:rPr>
      <w:br/>
    </w:r>
    <w:r w:rsidR="00831CC0">
      <w:rPr>
        <w:lang w:val="en-US"/>
      </w:rPr>
      <w:t>5A/543</w:t>
    </w:r>
    <w:r w:rsidR="00CA3700">
      <w:rPr>
        <w:lang w:val="en-US"/>
      </w:rPr>
      <w:t xml:space="preserve"> (Annex.5)</w:t>
    </w:r>
    <w:r w:rsidR="00831CC0"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C0"/>
    <w:rsid w:val="000069D4"/>
    <w:rsid w:val="000174AD"/>
    <w:rsid w:val="000464AF"/>
    <w:rsid w:val="000A7D55"/>
    <w:rsid w:val="000C2E8E"/>
    <w:rsid w:val="000E0E7C"/>
    <w:rsid w:val="000F1B4B"/>
    <w:rsid w:val="001069B6"/>
    <w:rsid w:val="0012744F"/>
    <w:rsid w:val="00156F66"/>
    <w:rsid w:val="00182528"/>
    <w:rsid w:val="0018500B"/>
    <w:rsid w:val="00196A19"/>
    <w:rsid w:val="00202DC1"/>
    <w:rsid w:val="002116EE"/>
    <w:rsid w:val="002309D8"/>
    <w:rsid w:val="002A4FD5"/>
    <w:rsid w:val="002A7FE2"/>
    <w:rsid w:val="002E1B4F"/>
    <w:rsid w:val="002E5AEE"/>
    <w:rsid w:val="002F2E67"/>
    <w:rsid w:val="00315546"/>
    <w:rsid w:val="00330567"/>
    <w:rsid w:val="00386A9D"/>
    <w:rsid w:val="00391081"/>
    <w:rsid w:val="003B2789"/>
    <w:rsid w:val="003C13CE"/>
    <w:rsid w:val="003E2518"/>
    <w:rsid w:val="003E7CEF"/>
    <w:rsid w:val="004B1EF7"/>
    <w:rsid w:val="004B3FAD"/>
    <w:rsid w:val="00501DCA"/>
    <w:rsid w:val="00513A47"/>
    <w:rsid w:val="005408DF"/>
    <w:rsid w:val="00573344"/>
    <w:rsid w:val="00583F9B"/>
    <w:rsid w:val="005E5C10"/>
    <w:rsid w:val="005F2C78"/>
    <w:rsid w:val="006144E4"/>
    <w:rsid w:val="00650299"/>
    <w:rsid w:val="00655FC5"/>
    <w:rsid w:val="007E467E"/>
    <w:rsid w:val="00822581"/>
    <w:rsid w:val="008309DD"/>
    <w:rsid w:val="00831CC0"/>
    <w:rsid w:val="0083227A"/>
    <w:rsid w:val="00866900"/>
    <w:rsid w:val="00881BA1"/>
    <w:rsid w:val="008C26B8"/>
    <w:rsid w:val="008F208F"/>
    <w:rsid w:val="009000D6"/>
    <w:rsid w:val="00982084"/>
    <w:rsid w:val="00995963"/>
    <w:rsid w:val="009B61EB"/>
    <w:rsid w:val="009C2064"/>
    <w:rsid w:val="009D1697"/>
    <w:rsid w:val="00A014F8"/>
    <w:rsid w:val="00A5173C"/>
    <w:rsid w:val="00A61AEF"/>
    <w:rsid w:val="00AF173A"/>
    <w:rsid w:val="00B066A4"/>
    <w:rsid w:val="00B07A13"/>
    <w:rsid w:val="00B4279B"/>
    <w:rsid w:val="00B45FC9"/>
    <w:rsid w:val="00B53D93"/>
    <w:rsid w:val="00B72521"/>
    <w:rsid w:val="00BC7CCF"/>
    <w:rsid w:val="00BE470B"/>
    <w:rsid w:val="00C57A91"/>
    <w:rsid w:val="00CA3700"/>
    <w:rsid w:val="00CA6712"/>
    <w:rsid w:val="00CC01C2"/>
    <w:rsid w:val="00CF21F2"/>
    <w:rsid w:val="00D02712"/>
    <w:rsid w:val="00D214D0"/>
    <w:rsid w:val="00D6546B"/>
    <w:rsid w:val="00DD4BED"/>
    <w:rsid w:val="00DE39F0"/>
    <w:rsid w:val="00DF0AF3"/>
    <w:rsid w:val="00E27D7E"/>
    <w:rsid w:val="00E42E13"/>
    <w:rsid w:val="00E6257C"/>
    <w:rsid w:val="00E63C59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uiPriority w:val="99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styleId="Hyperlink">
    <w:name w:val="Hyperlink"/>
    <w:basedOn w:val="DefaultParagraphFont"/>
    <w:rsid w:val="002E5AEE"/>
    <w:rPr>
      <w:rFonts w:cs="Times New Roman"/>
      <w:color w:val="0000FF"/>
      <w:u w:val="single"/>
    </w:rPr>
  </w:style>
  <w:style w:type="character" w:customStyle="1" w:styleId="TabletextChar">
    <w:name w:val="Table_text Char"/>
    <w:basedOn w:val="DefaultParagraphFont"/>
    <w:link w:val="Tabletext"/>
    <w:locked/>
    <w:rsid w:val="002E5AEE"/>
    <w:rPr>
      <w:rFonts w:ascii="Times New Roman" w:hAnsi="Times New Roman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2E5AEE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uiPriority w:val="99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styleId="Hyperlink">
    <w:name w:val="Hyperlink"/>
    <w:basedOn w:val="DefaultParagraphFont"/>
    <w:rsid w:val="002E5AEE"/>
    <w:rPr>
      <w:rFonts w:cs="Times New Roman"/>
      <w:color w:val="0000FF"/>
      <w:u w:val="single"/>
    </w:rPr>
  </w:style>
  <w:style w:type="character" w:customStyle="1" w:styleId="TabletextChar">
    <w:name w:val="Table_text Char"/>
    <w:basedOn w:val="DefaultParagraphFont"/>
    <w:link w:val="Tabletext"/>
    <w:locked/>
    <w:rsid w:val="002E5AEE"/>
    <w:rPr>
      <w:rFonts w:ascii="Times New Roman" w:hAnsi="Times New Roman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2E5AEE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bhifi\Downloads\daleVK1DSH@gmail.com" TargetMode="External"/><Relationship Id="rId13" Type="http://schemas.openxmlformats.org/officeDocument/2006/relationships/hyperlink" Target="http://www.itu.int/rec/R-REC-F.1821/en" TargetMode="External"/><Relationship Id="rId18" Type="http://schemas.openxmlformats.org/officeDocument/2006/relationships/hyperlink" Target="http://www.itu.int/rec/R-REC-P.372/en" TargetMode="External"/><Relationship Id="rId26" Type="http://schemas.openxmlformats.org/officeDocument/2006/relationships/hyperlink" Target="http://www.itu.int/md/R12-WP5A-C-0543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u.int/pub/R-REP-M.208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itu.int/rec/R-REC-F.1762/en" TargetMode="External"/><Relationship Id="rId17" Type="http://schemas.openxmlformats.org/officeDocument/2006/relationships/hyperlink" Target="http://www.itu.int/rec/R-REC-P.368/en" TargetMode="External"/><Relationship Id="rId25" Type="http://schemas.openxmlformats.org/officeDocument/2006/relationships/hyperlink" Target="https://www.itu.int/md/dologin_md.asp?lang=en&amp;id=R12-WP5A-C-0543!N10!MSW-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tu.int/rec/R-REC-M.1874/en" TargetMode="External"/><Relationship Id="rId20" Type="http://schemas.openxmlformats.org/officeDocument/2006/relationships/hyperlink" Target="http://www.itu.int/rec/R-REC-SM.1541/en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itu.int/rec/R-REC-F.1761/en" TargetMode="External"/><Relationship Id="rId24" Type="http://schemas.openxmlformats.org/officeDocument/2006/relationships/hyperlink" Target="http://www.itu.int/md/R12-WP5A-C-0543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rec/R-REC-M.1732/en" TargetMode="External"/><Relationship Id="rId23" Type="http://schemas.openxmlformats.org/officeDocument/2006/relationships/hyperlink" Target="https://www.itu.int/md/dologin_md.asp?lang=en&amp;id=R12-WP5A-C-0543!N15!MSW-E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itu.int/rec/R-REC-F.339/en" TargetMode="External"/><Relationship Id="rId19" Type="http://schemas.openxmlformats.org/officeDocument/2006/relationships/hyperlink" Target="http://www.itu.int/rec/R-REC-P.533/e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rec/R-REC-F.240/en" TargetMode="External"/><Relationship Id="rId14" Type="http://schemas.openxmlformats.org/officeDocument/2006/relationships/hyperlink" Target="http://www.itu.int/rec/R-REC-M.1677/en" TargetMode="External"/><Relationship Id="rId22" Type="http://schemas.openxmlformats.org/officeDocument/2006/relationships/hyperlink" Target="http://www.itu.int/pub/R-REP-M.2234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12</TotalTime>
  <Pages>5</Pages>
  <Words>935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ITU</cp:lastModifiedBy>
  <cp:revision>11</cp:revision>
  <cp:lastPrinted>2008-02-21T14:04:00Z</cp:lastPrinted>
  <dcterms:created xsi:type="dcterms:W3CDTF">2014-06-17T08:39:00Z</dcterms:created>
  <dcterms:modified xsi:type="dcterms:W3CDTF">2014-06-17T08:54:00Z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