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C547B">
        <w:trPr>
          <w:cantSplit/>
        </w:trPr>
        <w:tc>
          <w:tcPr>
            <w:tcW w:w="6345" w:type="dxa"/>
          </w:tcPr>
          <w:p w:rsidR="00AC547B" w:rsidRPr="00C63EB5" w:rsidRDefault="00AC547B"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AC547B" w:rsidRDefault="00AC547B" w:rsidP="005335D1">
            <w:pPr>
              <w:spacing w:line="240" w:lineRule="atLeast"/>
              <w:jc w:val="right"/>
            </w:pPr>
            <w:bookmarkStart w:id="1" w:name="ditulogo"/>
            <w:bookmarkEnd w:id="1"/>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C547B" w:rsidRPr="00617BE4">
        <w:trPr>
          <w:cantSplit/>
        </w:trPr>
        <w:tc>
          <w:tcPr>
            <w:tcW w:w="6345" w:type="dxa"/>
            <w:tcBorders>
              <w:bottom w:val="single" w:sz="12" w:space="0" w:color="auto"/>
            </w:tcBorders>
          </w:tcPr>
          <w:p w:rsidR="00AC547B" w:rsidRPr="00617BE4" w:rsidRDefault="00AC547B" w:rsidP="00AC547B">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AC547B" w:rsidRPr="00617BE4" w:rsidRDefault="00AC547B" w:rsidP="00AC547B">
            <w:pPr>
              <w:spacing w:before="0" w:line="240" w:lineRule="atLeast"/>
              <w:rPr>
                <w:rFonts w:ascii="Verdana" w:hAnsi="Verdana"/>
                <w:szCs w:val="24"/>
              </w:rPr>
            </w:pPr>
          </w:p>
        </w:tc>
      </w:tr>
      <w:tr w:rsidR="00AC547B" w:rsidRPr="00C324A8">
        <w:trPr>
          <w:cantSplit/>
        </w:trPr>
        <w:tc>
          <w:tcPr>
            <w:tcW w:w="6345" w:type="dxa"/>
            <w:tcBorders>
              <w:top w:val="single" w:sz="12" w:space="0" w:color="auto"/>
            </w:tcBorders>
          </w:tcPr>
          <w:p w:rsidR="00AC547B" w:rsidRPr="00C324A8" w:rsidRDefault="00AC547B" w:rsidP="00AC547B">
            <w:pPr>
              <w:spacing w:before="0" w:after="48" w:line="240" w:lineRule="atLeast"/>
              <w:rPr>
                <w:rFonts w:ascii="Verdana" w:hAnsi="Verdana"/>
                <w:b/>
                <w:smallCaps/>
                <w:sz w:val="20"/>
              </w:rPr>
            </w:pPr>
          </w:p>
        </w:tc>
        <w:tc>
          <w:tcPr>
            <w:tcW w:w="3686" w:type="dxa"/>
            <w:tcBorders>
              <w:top w:val="single" w:sz="12" w:space="0" w:color="auto"/>
            </w:tcBorders>
          </w:tcPr>
          <w:p w:rsidR="00AC547B" w:rsidRPr="00C324A8" w:rsidRDefault="00AC547B" w:rsidP="00AC547B">
            <w:pPr>
              <w:spacing w:before="0" w:line="240" w:lineRule="atLeast"/>
              <w:rPr>
                <w:rFonts w:ascii="Verdana" w:hAnsi="Verdana"/>
                <w:sz w:val="20"/>
              </w:rPr>
            </w:pPr>
          </w:p>
        </w:tc>
      </w:tr>
      <w:tr w:rsidR="00AC547B" w:rsidRPr="00C324A8">
        <w:trPr>
          <w:cantSplit/>
          <w:trHeight w:val="23"/>
        </w:trPr>
        <w:tc>
          <w:tcPr>
            <w:tcW w:w="6345" w:type="dxa"/>
            <w:vMerge w:val="restart"/>
          </w:tcPr>
          <w:p w:rsidR="00AC547B" w:rsidRPr="00AC547B" w:rsidRDefault="00AC547B" w:rsidP="00AC547B">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3686" w:type="dxa"/>
          </w:tcPr>
          <w:p w:rsidR="00AC547B" w:rsidRPr="00AC547B" w:rsidRDefault="00AC547B" w:rsidP="00AC547B">
            <w:pPr>
              <w:tabs>
                <w:tab w:val="left" w:pos="851"/>
              </w:tabs>
              <w:spacing w:before="0" w:line="240" w:lineRule="atLeast"/>
              <w:rPr>
                <w:rFonts w:ascii="Verdana" w:hAnsi="Verdana"/>
                <w:sz w:val="20"/>
              </w:rPr>
            </w:pPr>
            <w:r>
              <w:rPr>
                <w:rFonts w:ascii="Verdana" w:hAnsi="Verdana"/>
                <w:b/>
                <w:sz w:val="20"/>
              </w:rPr>
              <w:t>Documento 7/1001-S</w:t>
            </w:r>
          </w:p>
        </w:tc>
      </w:tr>
      <w:tr w:rsidR="00AC547B" w:rsidRPr="00C324A8">
        <w:trPr>
          <w:cantSplit/>
          <w:trHeight w:val="23"/>
        </w:trPr>
        <w:tc>
          <w:tcPr>
            <w:tcW w:w="6345" w:type="dxa"/>
            <w:vMerge/>
          </w:tcPr>
          <w:p w:rsidR="00AC547B" w:rsidRPr="00C324A8" w:rsidRDefault="00AC547B">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AC547B" w:rsidRPr="00AC547B" w:rsidRDefault="00AC547B" w:rsidP="00AC547B">
            <w:pPr>
              <w:tabs>
                <w:tab w:val="left" w:pos="993"/>
              </w:tabs>
              <w:spacing w:before="0"/>
              <w:rPr>
                <w:rFonts w:ascii="Verdana" w:hAnsi="Verdana"/>
                <w:sz w:val="20"/>
              </w:rPr>
            </w:pPr>
            <w:r>
              <w:rPr>
                <w:rFonts w:ascii="Verdana" w:hAnsi="Verdana"/>
                <w:b/>
                <w:sz w:val="20"/>
              </w:rPr>
              <w:t>1 de septiembre de 2015</w:t>
            </w:r>
          </w:p>
        </w:tc>
      </w:tr>
      <w:tr w:rsidR="00AC547B" w:rsidRPr="00C324A8">
        <w:trPr>
          <w:cantSplit/>
          <w:trHeight w:val="23"/>
        </w:trPr>
        <w:tc>
          <w:tcPr>
            <w:tcW w:w="6345" w:type="dxa"/>
            <w:vMerge/>
          </w:tcPr>
          <w:p w:rsidR="00AC547B" w:rsidRPr="00C324A8" w:rsidRDefault="00AC547B">
            <w:pPr>
              <w:tabs>
                <w:tab w:val="left" w:pos="851"/>
              </w:tabs>
              <w:spacing w:line="240" w:lineRule="atLeast"/>
              <w:rPr>
                <w:rFonts w:ascii="Verdana" w:hAnsi="Verdana"/>
                <w:b/>
                <w:sz w:val="20"/>
              </w:rPr>
            </w:pPr>
            <w:bookmarkStart w:id="6" w:name="dorlang" w:colFirst="1" w:colLast="1"/>
            <w:bookmarkEnd w:id="5"/>
          </w:p>
        </w:tc>
        <w:tc>
          <w:tcPr>
            <w:tcW w:w="3686" w:type="dxa"/>
          </w:tcPr>
          <w:p w:rsidR="00AC547B" w:rsidRPr="00AC547B" w:rsidRDefault="00AC547B" w:rsidP="00AC547B">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AC547B">
        <w:trPr>
          <w:cantSplit/>
        </w:trPr>
        <w:tc>
          <w:tcPr>
            <w:tcW w:w="10031" w:type="dxa"/>
          </w:tcPr>
          <w:p w:rsidR="00AC547B" w:rsidRDefault="00AC547B">
            <w:pPr>
              <w:pStyle w:val="Source"/>
            </w:pPr>
            <w:bookmarkStart w:id="7" w:name="dsource" w:colFirst="0" w:colLast="0"/>
            <w:bookmarkEnd w:id="0"/>
            <w:bookmarkEnd w:id="6"/>
            <w:r w:rsidRPr="00AC547B">
              <w:t>Presidente de la Comisión de Estudio 7 de Radiocomunicaciones</w:t>
            </w:r>
          </w:p>
        </w:tc>
      </w:tr>
      <w:tr w:rsidR="00AC547B">
        <w:trPr>
          <w:cantSplit/>
        </w:trPr>
        <w:tc>
          <w:tcPr>
            <w:tcW w:w="10031" w:type="dxa"/>
          </w:tcPr>
          <w:p w:rsidR="00AC547B" w:rsidRDefault="00AC547B">
            <w:pPr>
              <w:pStyle w:val="Title1"/>
            </w:pPr>
            <w:bookmarkStart w:id="8" w:name="dtitle1" w:colFirst="0" w:colLast="0"/>
            <w:bookmarkEnd w:id="7"/>
            <w:r w:rsidRPr="00AC547B">
              <w:t>INFORME DEL PRESIDENTE</w:t>
            </w:r>
          </w:p>
        </w:tc>
      </w:tr>
      <w:tr w:rsidR="00AC547B">
        <w:trPr>
          <w:cantSplit/>
        </w:trPr>
        <w:tc>
          <w:tcPr>
            <w:tcW w:w="10031" w:type="dxa"/>
          </w:tcPr>
          <w:p w:rsidR="00AC547B" w:rsidRDefault="00AC547B">
            <w:pPr>
              <w:pStyle w:val="Title2"/>
            </w:pPr>
            <w:bookmarkStart w:id="9" w:name="dtitle2" w:colFirst="0" w:colLast="0"/>
            <w:bookmarkEnd w:id="8"/>
            <w:r w:rsidRPr="00AC547B">
              <w:t>SERVICIOS CIENTÍFICOS</w:t>
            </w:r>
          </w:p>
        </w:tc>
      </w:tr>
      <w:tr w:rsidR="00EF17BD">
        <w:trPr>
          <w:cantSplit/>
        </w:trPr>
        <w:tc>
          <w:tcPr>
            <w:tcW w:w="10031" w:type="dxa"/>
          </w:tcPr>
          <w:p w:rsidR="00EF17BD" w:rsidRPr="00AC547B" w:rsidRDefault="00EF17BD" w:rsidP="00EF17BD">
            <w:pPr>
              <w:pStyle w:val="Title3"/>
            </w:pPr>
          </w:p>
        </w:tc>
      </w:tr>
    </w:tbl>
    <w:p w:rsidR="00EF17BD" w:rsidRPr="001D7F74" w:rsidRDefault="00EF17BD" w:rsidP="008B0151">
      <w:pPr>
        <w:pStyle w:val="Heading1"/>
      </w:pPr>
      <w:bookmarkStart w:id="10" w:name="dbreak"/>
      <w:bookmarkEnd w:id="9"/>
      <w:bookmarkEnd w:id="10"/>
      <w:r w:rsidRPr="001D7F74">
        <w:t>1</w:t>
      </w:r>
      <w:r w:rsidRPr="001D7F74">
        <w:tab/>
        <w:t>Introdu</w:t>
      </w:r>
      <w:r>
        <w:t>cción</w:t>
      </w:r>
    </w:p>
    <w:p w:rsidR="00EF17BD" w:rsidRPr="008B0151" w:rsidRDefault="00EF17BD" w:rsidP="00412124">
      <w:r w:rsidRPr="008B0151">
        <w:t>Conforme a lo dispuesto en la Resolución UIT-R 4-</w:t>
      </w:r>
      <w:r w:rsidR="00412124">
        <w:t>6</w:t>
      </w:r>
      <w:r w:rsidRPr="008B0151">
        <w:t>, la Comisión de Estudio 7 (CE</w:t>
      </w:r>
      <w:r w:rsidR="007B7AEC">
        <w:t> </w:t>
      </w:r>
      <w:r w:rsidRPr="008B0151">
        <w:t xml:space="preserve">7) del UIT-R </w:t>
      </w:r>
      <w:r>
        <w:t>e</w:t>
      </w:r>
      <w:r w:rsidRPr="008B0151">
        <w:t>xamina cuestiones de interés para los servicios científicos, entre las que cabe señalar las emisiones de frecuencias patrón y señales horarias, y los servicios de investigación espacial, de exploración de la Tierra por satélite, de operaciones espaciales, de meteorología, de radioastronomía y de astronomía por radar. A continuación se indican los nombres de los encargados de la CE elegidos para llevar a cabo dichos estudios:</w:t>
      </w:r>
    </w:p>
    <w:p w:rsidR="00EF17BD" w:rsidRPr="008B0151" w:rsidRDefault="00EF17BD" w:rsidP="008B0151">
      <w:r w:rsidRPr="008B0151">
        <w:t>Presidente:</w:t>
      </w:r>
      <w:r w:rsidRPr="008B0151">
        <w:tab/>
      </w:r>
      <w:r w:rsidRPr="008B0151">
        <w:tab/>
      </w:r>
      <w:r w:rsidRPr="008B0151">
        <w:tab/>
        <w:t>Sr</w:t>
      </w:r>
      <w:r w:rsidR="007F43CE">
        <w:t>.</w:t>
      </w:r>
      <w:r w:rsidRPr="008B0151">
        <w:t xml:space="preserve"> V. MEENS</w:t>
      </w:r>
      <w:r w:rsidRPr="008B0151">
        <w:tab/>
      </w:r>
      <w:r w:rsidRPr="008B0151">
        <w:tab/>
      </w:r>
      <w:r w:rsidRPr="008B0151">
        <w:tab/>
        <w:t>(Francia)</w:t>
      </w:r>
    </w:p>
    <w:p w:rsidR="00EF17BD" w:rsidRPr="008B0151" w:rsidRDefault="00EF17BD" w:rsidP="00412124">
      <w:pPr>
        <w:ind w:left="2265" w:hanging="2265"/>
      </w:pPr>
      <w:r w:rsidRPr="008B0151">
        <w:t>Vicepresidentes:</w:t>
      </w:r>
      <w:r w:rsidRPr="008B0151">
        <w:tab/>
      </w:r>
      <w:r w:rsidRPr="008B0151">
        <w:tab/>
      </w:r>
      <w:r w:rsidRPr="008B0151">
        <w:tab/>
        <w:t>Dr</w:t>
      </w:r>
      <w:r w:rsidR="00995DE9">
        <w:t>.</w:t>
      </w:r>
      <w:r w:rsidRPr="008B0151">
        <w:t xml:space="preserve"> A. AL-ARAIMI</w:t>
      </w:r>
      <w:r w:rsidRPr="008B0151">
        <w:tab/>
      </w:r>
      <w:r w:rsidRPr="008B0151">
        <w:tab/>
      </w:r>
      <w:r w:rsidRPr="008B0151">
        <w:tab/>
        <w:t>(Sultanato de Omán)</w:t>
      </w:r>
      <w:r w:rsidRPr="008B0151">
        <w:br/>
        <w:t>Dr</w:t>
      </w:r>
      <w:r w:rsidR="00995DE9">
        <w:t>.</w:t>
      </w:r>
      <w:r w:rsidRPr="008B0151">
        <w:t xml:space="preserve"> H.-S. CHUNG</w:t>
      </w:r>
      <w:r w:rsidRPr="008B0151">
        <w:tab/>
      </w:r>
      <w:r w:rsidRPr="008B0151">
        <w:tab/>
      </w:r>
      <w:r w:rsidRPr="008B0151">
        <w:tab/>
        <w:t>(República de Corea</w:t>
      </w:r>
      <w:r>
        <w:t>)</w:t>
      </w:r>
      <w:r>
        <w:br/>
      </w:r>
      <w:r>
        <w:tab/>
        <w:t>S</w:t>
      </w:r>
      <w:r w:rsidRPr="008B0151">
        <w:t>r</w:t>
      </w:r>
      <w:r w:rsidR="00995DE9">
        <w:t>.</w:t>
      </w:r>
      <w:r w:rsidRPr="008B0151">
        <w:t xml:space="preserve"> U.K. SRIVASTAVA</w:t>
      </w:r>
      <w:r w:rsidRPr="008B0151">
        <w:tab/>
      </w:r>
      <w:r w:rsidRPr="008B0151">
        <w:tab/>
        <w:t>(Rep</w:t>
      </w:r>
      <w:r w:rsidR="00412124">
        <w:t>ú</w:t>
      </w:r>
      <w:r w:rsidRPr="008B0151">
        <w:t xml:space="preserve">blica de </w:t>
      </w:r>
      <w:r>
        <w:t>India)</w:t>
      </w:r>
      <w:r>
        <w:br/>
        <w:t>S</w:t>
      </w:r>
      <w:r w:rsidRPr="008B0151">
        <w:t>r</w:t>
      </w:r>
      <w:r w:rsidR="00995DE9">
        <w:t>.</w:t>
      </w:r>
      <w:r w:rsidRPr="008B0151">
        <w:t xml:space="preserve"> A.V. VASSILIEV</w:t>
      </w:r>
      <w:r w:rsidRPr="008B0151">
        <w:tab/>
      </w:r>
      <w:r w:rsidRPr="008B0151">
        <w:tab/>
        <w:t>(Federación de Rusia</w:t>
      </w:r>
      <w:r>
        <w:t>)</w:t>
      </w:r>
      <w:r>
        <w:br/>
        <w:t>S</w:t>
      </w:r>
      <w:r w:rsidRPr="008B0151">
        <w:t>r</w:t>
      </w:r>
      <w:r w:rsidR="00995DE9">
        <w:t>.</w:t>
      </w:r>
      <w:r w:rsidRPr="008B0151">
        <w:t xml:space="preserve"> J. ZUZEK</w:t>
      </w:r>
      <w:r w:rsidRPr="008B0151">
        <w:tab/>
      </w:r>
      <w:r w:rsidRPr="008B0151">
        <w:tab/>
      </w:r>
      <w:r w:rsidRPr="008B0151">
        <w:tab/>
      </w:r>
      <w:r>
        <w:tab/>
      </w:r>
      <w:r w:rsidRPr="008B0151">
        <w:t>(</w:t>
      </w:r>
      <w:r>
        <w:t>Estados Unidos de América</w:t>
      </w:r>
      <w:r w:rsidRPr="008B0151">
        <w:t>)</w:t>
      </w:r>
    </w:p>
    <w:p w:rsidR="00EF17BD" w:rsidRPr="002D0266" w:rsidRDefault="00EF17BD" w:rsidP="00200CD8">
      <w:r w:rsidRPr="002D0266">
        <w:t>A fin de realizar las tareas asignadas de forma eficaz, la CE 7 confía los estudios específicos a los cuatro Grupos de Trabajo (GT) siguientes</w:t>
      </w:r>
    </w:p>
    <w:p w:rsidR="00EF17BD" w:rsidRPr="002D0266" w:rsidRDefault="00EF17BD" w:rsidP="002D0266">
      <w:r w:rsidRPr="002D0266">
        <w:t>GT 7A – Emisiones de frecuencias patrón y señales horarias, presidido por Ronald BEARD (EE.UU.)</w:t>
      </w:r>
    </w:p>
    <w:p w:rsidR="00EF17BD" w:rsidRPr="002D0266" w:rsidRDefault="00EF17BD" w:rsidP="002D0266">
      <w:r w:rsidRPr="002D0266">
        <w:t>GT 7B – Aplicaciones de radiocomunicaciones espaciales, presidido por Bradford KAUFMAN (EE.UU.)</w:t>
      </w:r>
    </w:p>
    <w:p w:rsidR="00EF17BD" w:rsidRPr="002D0266" w:rsidRDefault="00412124" w:rsidP="002D0266">
      <w:r>
        <w:t>GT</w:t>
      </w:r>
      <w:r w:rsidR="00EF17BD" w:rsidRPr="002D0266">
        <w:t xml:space="preserve"> 7C – Sistemas de detección a distancia, presidido por Edoardo MARELLI (ESA)</w:t>
      </w:r>
    </w:p>
    <w:p w:rsidR="00EF17BD" w:rsidRPr="002D0266" w:rsidRDefault="00412124" w:rsidP="002D0266">
      <w:r>
        <w:t>GT</w:t>
      </w:r>
      <w:r w:rsidR="00EF17BD" w:rsidRPr="002D0266">
        <w:t xml:space="preserve"> 7D – Radioastronomía, presidido por Anastasios TZIOUMIS (AUS)</w:t>
      </w:r>
    </w:p>
    <w:p w:rsidR="00EF17BD" w:rsidRPr="002D0266" w:rsidRDefault="00EF17BD" w:rsidP="002D0266">
      <w:pPr>
        <w:pStyle w:val="Heading1"/>
      </w:pPr>
      <w:r w:rsidRPr="002D0266">
        <w:t>2</w:t>
      </w:r>
      <w:r w:rsidRPr="002D0266">
        <w:tab/>
        <w:t>Transparencia</w:t>
      </w:r>
    </w:p>
    <w:p w:rsidR="00EF17BD" w:rsidRPr="002D0266" w:rsidRDefault="00EF17BD" w:rsidP="002D0266">
      <w:r w:rsidRPr="002D0266">
        <w:t xml:space="preserve">El Grupo de Dirección de la CE supervisa la gestión de la propia CE. Dicho Grupo, formado por el Presidente y Vicepresidentes de la CE, y los Presidentes de los GT, recibe asesoramiento del </w:t>
      </w:r>
      <w:r w:rsidRPr="002D0266">
        <w:lastRenderedPageBreak/>
        <w:t xml:space="preserve">Consejero de la BR. Asimismo, presenta sus decisiones a la CE para obtener el acuerdo de los participantes. El Grupo se reúne al menos en una ocasión durante la reunión de la CE </w:t>
      </w:r>
      <w:r>
        <w:t xml:space="preserve">y las reuniones de los GT </w:t>
      </w:r>
      <w:r w:rsidRPr="002D0266">
        <w:t>y realiza parte de su trabajo preparatorio por medios electrónicos.</w:t>
      </w:r>
    </w:p>
    <w:p w:rsidR="00EF17BD" w:rsidRPr="002D0266" w:rsidRDefault="00EF17BD" w:rsidP="002D0266">
      <w:pPr>
        <w:pStyle w:val="Heading1"/>
      </w:pPr>
      <w:r w:rsidRPr="002D0266">
        <w:t>3</w:t>
      </w:r>
      <w:r w:rsidRPr="002D0266">
        <w:tab/>
        <w:t>Reuniones</w:t>
      </w:r>
    </w:p>
    <w:p w:rsidR="00EF17BD" w:rsidRPr="00EF17BD" w:rsidRDefault="00EF17BD" w:rsidP="00412124">
      <w:r w:rsidRPr="002D0266">
        <w:t>Durante el periodo abarcado por el Inform</w:t>
      </w:r>
      <w:r>
        <w:t>e (20 de enero de 2012 – 26 de octubre de 2015)</w:t>
      </w:r>
      <w:r w:rsidRPr="002D0266">
        <w:t xml:space="preserve">, la CE 7 ha celebrado </w:t>
      </w:r>
      <w:r>
        <w:t>cuatro</w:t>
      </w:r>
      <w:r w:rsidRPr="002D0266">
        <w:t xml:space="preserve"> reuniones </w:t>
      </w:r>
      <w:r>
        <w:t>(dos de un día</w:t>
      </w:r>
      <w:r w:rsidRPr="002D0266">
        <w:t xml:space="preserve"> de duración </w:t>
      </w:r>
      <w:r>
        <w:t>y dos de dos días de duración). Las reuniones de dos días de duración tuvieron lugar en</w:t>
      </w:r>
      <w:r w:rsidRPr="002D0266">
        <w:t xml:space="preserve"> dos días laborables no consecutivos, separados por reuniones de los </w:t>
      </w:r>
      <w:r>
        <w:t xml:space="preserve">Grupos de </w:t>
      </w:r>
      <w:r w:rsidR="00412124">
        <w:t>T</w:t>
      </w:r>
      <w:r>
        <w:t>rabajo</w:t>
      </w:r>
      <w:r w:rsidRPr="002D0266">
        <w:t>. Los motivos por los que se ha aplicado este método de trabajo se describen con detalle en el punto «</w:t>
      </w:r>
      <w:r>
        <w:t>Métodos de trabajo</w:t>
      </w:r>
      <w:r w:rsidRPr="002D0266">
        <w:t xml:space="preserve">» del presente documento. El </w:t>
      </w:r>
      <w:r>
        <w:t>resumen de las actas de</w:t>
      </w:r>
      <w:r w:rsidRPr="002D0266">
        <w:t xml:space="preserve"> cada una de estas reuniones puede consultarse en la siguiente dirección: </w:t>
      </w:r>
      <w:hyperlink r:id="rId9" w:history="1">
        <w:r w:rsidRPr="007B7AEC">
          <w:rPr>
            <w:rStyle w:val="Hyperlink"/>
            <w:u w:val="single"/>
          </w:rPr>
          <w:t>http://www.itu.int/md/R12-SG07-C/es</w:t>
        </w:r>
      </w:hyperlink>
      <w:r w:rsidRPr="002D0266">
        <w:t>.</w:t>
      </w:r>
    </w:p>
    <w:p w:rsidR="00EF17BD" w:rsidRDefault="00EF17BD" w:rsidP="00754A7F">
      <w:r>
        <w:t>Como se indica en el cuadro siguiente,</w:t>
      </w:r>
      <w:r w:rsidRPr="002D0266">
        <w:t xml:space="preserve"> durante este periodo, los GT </w:t>
      </w:r>
      <w:r w:rsidRPr="00754A7F">
        <w:t xml:space="preserve">7A, 7B, 7C </w:t>
      </w:r>
      <w:r>
        <w:t>y</w:t>
      </w:r>
      <w:r w:rsidRPr="00754A7F">
        <w:t xml:space="preserve"> 7D </w:t>
      </w:r>
      <w:r w:rsidRPr="002D0266">
        <w:t xml:space="preserve">se reunieron en </w:t>
      </w:r>
      <w:r>
        <w:t>seis</w:t>
      </w:r>
      <w:r w:rsidRPr="002D0266">
        <w:t xml:space="preserve"> ocasiones cada uno, una vez en 20</w:t>
      </w:r>
      <w:r>
        <w:t>12</w:t>
      </w:r>
      <w:r w:rsidRPr="002D0266">
        <w:t>, dos veces en 20</w:t>
      </w:r>
      <w:r>
        <w:t>13 y 2014 y una vez en 2015.</w:t>
      </w:r>
    </w:p>
    <w:p w:rsidR="00EF17BD" w:rsidRPr="001D7F74" w:rsidRDefault="00EF17BD" w:rsidP="00754A7F"/>
    <w:tbl>
      <w:tblPr>
        <w:tblW w:w="7797" w:type="dxa"/>
        <w:jc w:val="center"/>
        <w:tblCellMar>
          <w:left w:w="70" w:type="dxa"/>
          <w:right w:w="70" w:type="dxa"/>
        </w:tblCellMar>
        <w:tblLook w:val="0000" w:firstRow="0" w:lastRow="0" w:firstColumn="0" w:lastColumn="0" w:noHBand="0" w:noVBand="0"/>
      </w:tblPr>
      <w:tblGrid>
        <w:gridCol w:w="916"/>
        <w:gridCol w:w="851"/>
        <w:gridCol w:w="850"/>
        <w:gridCol w:w="851"/>
        <w:gridCol w:w="440"/>
        <w:gridCol w:w="494"/>
        <w:gridCol w:w="418"/>
        <w:gridCol w:w="818"/>
        <w:gridCol w:w="440"/>
        <w:gridCol w:w="440"/>
        <w:gridCol w:w="440"/>
        <w:gridCol w:w="440"/>
        <w:gridCol w:w="418"/>
      </w:tblGrid>
      <w:tr w:rsidR="00EF17BD" w:rsidRPr="001D7F74" w:rsidTr="00A81AFA">
        <w:trPr>
          <w:trHeight w:val="270"/>
          <w:jc w:val="center"/>
        </w:trPr>
        <w:tc>
          <w:tcPr>
            <w:tcW w:w="916" w:type="dxa"/>
            <w:tcBorders>
              <w:bottom w:val="nil"/>
              <w:right w:val="nil"/>
            </w:tcBorders>
            <w:shd w:val="clear" w:color="auto" w:fill="auto"/>
            <w:noWrap/>
            <w:vAlign w:val="bottom"/>
          </w:tcPr>
          <w:p w:rsidR="00EF17BD" w:rsidRPr="001D7F74" w:rsidRDefault="00EF17BD" w:rsidP="00A81AFA">
            <w:pPr>
              <w:pStyle w:val="Tabletext"/>
              <w:jc w:val="center"/>
            </w:pPr>
          </w:p>
        </w:tc>
        <w:tc>
          <w:tcPr>
            <w:tcW w:w="851"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sidRPr="001D7F74">
              <w:rPr>
                <w:b/>
                <w:sz w:val="20"/>
              </w:rPr>
              <w:t>May-12</w:t>
            </w:r>
          </w:p>
        </w:tc>
        <w:tc>
          <w:tcPr>
            <w:tcW w:w="850" w:type="dxa"/>
            <w:vMerge w:val="restart"/>
            <w:tcBorders>
              <w:top w:val="double" w:sz="6" w:space="0" w:color="auto"/>
              <w:left w:val="nil"/>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sidRPr="001D7F74">
              <w:rPr>
                <w:b/>
                <w:sz w:val="20"/>
              </w:rPr>
              <w:t>Sep-12</w:t>
            </w:r>
          </w:p>
        </w:tc>
        <w:tc>
          <w:tcPr>
            <w:tcW w:w="851"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noWrap/>
            <w:vAlign w:val="center"/>
          </w:tcPr>
          <w:p w:rsidR="00EF17BD" w:rsidRPr="001D7F74" w:rsidRDefault="00EF17BD" w:rsidP="00EF17BD">
            <w:pPr>
              <w:jc w:val="center"/>
              <w:rPr>
                <w:b/>
                <w:sz w:val="20"/>
              </w:rPr>
            </w:pPr>
            <w:r w:rsidRPr="001D7F74">
              <w:rPr>
                <w:b/>
                <w:sz w:val="20"/>
              </w:rPr>
              <w:t>A</w:t>
            </w:r>
            <w:r>
              <w:rPr>
                <w:b/>
                <w:sz w:val="20"/>
              </w:rPr>
              <w:t>b</w:t>
            </w:r>
            <w:r w:rsidRPr="001D7F74">
              <w:rPr>
                <w:b/>
                <w:sz w:val="20"/>
              </w:rPr>
              <w:t>r-13</w:t>
            </w:r>
          </w:p>
        </w:tc>
        <w:tc>
          <w:tcPr>
            <w:tcW w:w="1352" w:type="dxa"/>
            <w:gridSpan w:val="3"/>
            <w:tcBorders>
              <w:top w:val="double" w:sz="6" w:space="0" w:color="auto"/>
              <w:left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sidRPr="001D7F74">
              <w:rPr>
                <w:b/>
                <w:sz w:val="20"/>
              </w:rPr>
              <w:t>Sep-13</w:t>
            </w:r>
          </w:p>
        </w:tc>
        <w:tc>
          <w:tcPr>
            <w:tcW w:w="818"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vAlign w:val="center"/>
          </w:tcPr>
          <w:p w:rsidR="00EF17BD" w:rsidRPr="001D7F74" w:rsidRDefault="00EF17BD" w:rsidP="00A81AFA">
            <w:pPr>
              <w:jc w:val="center"/>
              <w:rPr>
                <w:b/>
                <w:sz w:val="20"/>
              </w:rPr>
            </w:pPr>
            <w:r w:rsidRPr="001D7F74">
              <w:rPr>
                <w:b/>
                <w:sz w:val="20"/>
              </w:rPr>
              <w:t>May-14</w:t>
            </w:r>
          </w:p>
          <w:p w:rsidR="00EF17BD" w:rsidRPr="001D7F74" w:rsidRDefault="00EF17BD" w:rsidP="00A81AFA">
            <w:pPr>
              <w:jc w:val="center"/>
              <w:rPr>
                <w:b/>
                <w:sz w:val="20"/>
              </w:rPr>
            </w:pPr>
          </w:p>
        </w:tc>
        <w:tc>
          <w:tcPr>
            <w:tcW w:w="1320" w:type="dxa"/>
            <w:gridSpan w:val="3"/>
            <w:tcBorders>
              <w:top w:val="double" w:sz="6" w:space="0" w:color="auto"/>
              <w:left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sidRPr="001D7F74">
              <w:rPr>
                <w:b/>
                <w:sz w:val="20"/>
              </w:rPr>
              <w:t>Oct-14</w:t>
            </w:r>
          </w:p>
        </w:tc>
        <w:tc>
          <w:tcPr>
            <w:tcW w:w="839" w:type="dxa"/>
            <w:gridSpan w:val="2"/>
            <w:tcBorders>
              <w:top w:val="double" w:sz="6" w:space="0" w:color="auto"/>
              <w:left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sidRPr="001D7F74">
              <w:rPr>
                <w:b/>
                <w:sz w:val="20"/>
              </w:rPr>
              <w:t>May-15</w:t>
            </w:r>
          </w:p>
        </w:tc>
      </w:tr>
      <w:tr w:rsidR="00EF17BD" w:rsidRPr="001D7F74" w:rsidTr="00A81AFA">
        <w:trPr>
          <w:trHeight w:val="270"/>
          <w:jc w:val="center"/>
        </w:trPr>
        <w:tc>
          <w:tcPr>
            <w:tcW w:w="916" w:type="dxa"/>
            <w:tcBorders>
              <w:top w:val="nil"/>
              <w:bottom w:val="nil"/>
              <w:right w:val="nil"/>
            </w:tcBorders>
            <w:shd w:val="clear" w:color="auto" w:fill="auto"/>
            <w:noWrap/>
            <w:vAlign w:val="bottom"/>
          </w:tcPr>
          <w:p w:rsidR="00EF17BD" w:rsidRPr="001D7F74" w:rsidRDefault="00EF17BD" w:rsidP="00A81AFA">
            <w:pPr>
              <w:pStyle w:val="Tabletext"/>
              <w:jc w:val="center"/>
            </w:pPr>
          </w:p>
        </w:tc>
        <w:tc>
          <w:tcPr>
            <w:tcW w:w="851" w:type="dxa"/>
            <w:vMerge/>
            <w:tcBorders>
              <w:left w:val="double" w:sz="6" w:space="0" w:color="auto"/>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p>
        </w:tc>
        <w:tc>
          <w:tcPr>
            <w:tcW w:w="850" w:type="dxa"/>
            <w:vMerge/>
            <w:tcBorders>
              <w:left w:val="nil"/>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p>
        </w:tc>
        <w:tc>
          <w:tcPr>
            <w:tcW w:w="851" w:type="dxa"/>
            <w:vMerge/>
            <w:tcBorders>
              <w:left w:val="double" w:sz="6" w:space="0" w:color="auto"/>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p>
        </w:tc>
        <w:tc>
          <w:tcPr>
            <w:tcW w:w="440" w:type="dxa"/>
            <w:tcBorders>
              <w:top w:val="nil"/>
              <w:left w:val="double" w:sz="6" w:space="0" w:color="auto"/>
              <w:bottom w:val="double" w:sz="6" w:space="0" w:color="auto"/>
            </w:tcBorders>
            <w:shd w:val="clear" w:color="auto" w:fill="FBD4B4" w:themeFill="accent6" w:themeFillTint="66"/>
            <w:noWrap/>
            <w:vAlign w:val="center"/>
          </w:tcPr>
          <w:p w:rsidR="00EF17BD" w:rsidRPr="001D7F74" w:rsidRDefault="00EF17BD" w:rsidP="00A81AFA">
            <w:pPr>
              <w:jc w:val="center"/>
              <w:rPr>
                <w:b/>
                <w:sz w:val="20"/>
              </w:rPr>
            </w:pPr>
            <w:r>
              <w:rPr>
                <w:b/>
                <w:sz w:val="20"/>
              </w:rPr>
              <w:t>CE</w:t>
            </w:r>
          </w:p>
        </w:tc>
        <w:tc>
          <w:tcPr>
            <w:tcW w:w="516" w:type="dxa"/>
            <w:tcBorders>
              <w:top w:val="nil"/>
              <w:bottom w:val="double" w:sz="6" w:space="0" w:color="auto"/>
            </w:tcBorders>
            <w:shd w:val="clear" w:color="auto" w:fill="FBD4B4" w:themeFill="accent6" w:themeFillTint="66"/>
            <w:vAlign w:val="center"/>
          </w:tcPr>
          <w:p w:rsidR="00EF17BD" w:rsidRPr="001D7F74" w:rsidRDefault="00EF17BD" w:rsidP="00A81AFA">
            <w:pPr>
              <w:jc w:val="center"/>
              <w:rPr>
                <w:b/>
                <w:sz w:val="20"/>
              </w:rPr>
            </w:pPr>
            <w:r>
              <w:rPr>
                <w:b/>
                <w:sz w:val="20"/>
              </w:rPr>
              <w:t>GT</w:t>
            </w:r>
          </w:p>
        </w:tc>
        <w:tc>
          <w:tcPr>
            <w:tcW w:w="396" w:type="dxa"/>
            <w:tcBorders>
              <w:top w:val="nil"/>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Pr>
                <w:b/>
                <w:sz w:val="20"/>
              </w:rPr>
              <w:t>CE</w:t>
            </w:r>
          </w:p>
        </w:tc>
        <w:tc>
          <w:tcPr>
            <w:tcW w:w="818" w:type="dxa"/>
            <w:vMerge/>
            <w:tcBorders>
              <w:left w:val="double" w:sz="6" w:space="0" w:color="auto"/>
              <w:bottom w:val="double" w:sz="6" w:space="0" w:color="auto"/>
              <w:right w:val="double" w:sz="6" w:space="0" w:color="auto"/>
            </w:tcBorders>
            <w:shd w:val="clear" w:color="auto" w:fill="FBD4B4" w:themeFill="accent6" w:themeFillTint="66"/>
            <w:vAlign w:val="center"/>
          </w:tcPr>
          <w:p w:rsidR="00EF17BD" w:rsidRPr="001D7F74" w:rsidRDefault="00EF17BD" w:rsidP="00A81AFA">
            <w:pPr>
              <w:jc w:val="center"/>
              <w:rPr>
                <w:b/>
                <w:sz w:val="20"/>
              </w:rPr>
            </w:pPr>
          </w:p>
        </w:tc>
        <w:tc>
          <w:tcPr>
            <w:tcW w:w="440" w:type="dxa"/>
            <w:tcBorders>
              <w:top w:val="nil"/>
              <w:left w:val="double" w:sz="6" w:space="0" w:color="auto"/>
              <w:bottom w:val="double" w:sz="6" w:space="0" w:color="auto"/>
            </w:tcBorders>
            <w:shd w:val="clear" w:color="auto" w:fill="FBD4B4" w:themeFill="accent6" w:themeFillTint="66"/>
            <w:noWrap/>
            <w:vAlign w:val="center"/>
          </w:tcPr>
          <w:p w:rsidR="00EF17BD" w:rsidRPr="001D7F74" w:rsidRDefault="00EF17BD" w:rsidP="00A81AFA">
            <w:pPr>
              <w:jc w:val="center"/>
              <w:rPr>
                <w:b/>
                <w:sz w:val="20"/>
              </w:rPr>
            </w:pPr>
            <w:r>
              <w:rPr>
                <w:b/>
                <w:sz w:val="20"/>
              </w:rPr>
              <w:t>CE</w:t>
            </w:r>
          </w:p>
        </w:tc>
        <w:tc>
          <w:tcPr>
            <w:tcW w:w="440" w:type="dxa"/>
            <w:tcBorders>
              <w:top w:val="nil"/>
              <w:bottom w:val="double" w:sz="6" w:space="0" w:color="auto"/>
            </w:tcBorders>
            <w:shd w:val="clear" w:color="auto" w:fill="FBD4B4" w:themeFill="accent6" w:themeFillTint="66"/>
            <w:vAlign w:val="center"/>
          </w:tcPr>
          <w:p w:rsidR="00EF17BD" w:rsidRPr="001D7F74" w:rsidRDefault="00EF17BD" w:rsidP="00A81AFA">
            <w:pPr>
              <w:jc w:val="center"/>
              <w:rPr>
                <w:b/>
                <w:sz w:val="20"/>
              </w:rPr>
            </w:pPr>
            <w:r>
              <w:rPr>
                <w:b/>
                <w:sz w:val="20"/>
              </w:rPr>
              <w:t>GT</w:t>
            </w:r>
          </w:p>
        </w:tc>
        <w:tc>
          <w:tcPr>
            <w:tcW w:w="440" w:type="dxa"/>
            <w:tcBorders>
              <w:top w:val="nil"/>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Pr>
                <w:b/>
                <w:sz w:val="20"/>
              </w:rPr>
              <w:t>CE</w:t>
            </w:r>
          </w:p>
        </w:tc>
        <w:tc>
          <w:tcPr>
            <w:tcW w:w="440" w:type="dxa"/>
            <w:tcBorders>
              <w:top w:val="nil"/>
              <w:left w:val="double" w:sz="6" w:space="0" w:color="auto"/>
              <w:bottom w:val="double" w:sz="6" w:space="0" w:color="auto"/>
            </w:tcBorders>
            <w:shd w:val="clear" w:color="auto" w:fill="FBD4B4" w:themeFill="accent6" w:themeFillTint="66"/>
            <w:noWrap/>
            <w:vAlign w:val="center"/>
          </w:tcPr>
          <w:p w:rsidR="00EF17BD" w:rsidRPr="001D7F74" w:rsidRDefault="00EF17BD" w:rsidP="00A81AFA">
            <w:pPr>
              <w:jc w:val="center"/>
              <w:rPr>
                <w:b/>
                <w:sz w:val="20"/>
              </w:rPr>
            </w:pPr>
            <w:r>
              <w:rPr>
                <w:b/>
                <w:sz w:val="20"/>
              </w:rPr>
              <w:t>GT</w:t>
            </w:r>
          </w:p>
        </w:tc>
        <w:tc>
          <w:tcPr>
            <w:tcW w:w="399" w:type="dxa"/>
            <w:tcBorders>
              <w:top w:val="nil"/>
              <w:bottom w:val="double" w:sz="6" w:space="0" w:color="auto"/>
              <w:right w:val="double" w:sz="6" w:space="0" w:color="auto"/>
            </w:tcBorders>
            <w:shd w:val="clear" w:color="auto" w:fill="FBD4B4" w:themeFill="accent6" w:themeFillTint="66"/>
            <w:noWrap/>
            <w:vAlign w:val="center"/>
          </w:tcPr>
          <w:p w:rsidR="00EF17BD" w:rsidRPr="001D7F74" w:rsidRDefault="00EF17BD" w:rsidP="00A81AFA">
            <w:pPr>
              <w:jc w:val="center"/>
              <w:rPr>
                <w:b/>
                <w:sz w:val="20"/>
              </w:rPr>
            </w:pPr>
            <w:r>
              <w:rPr>
                <w:b/>
                <w:sz w:val="20"/>
              </w:rPr>
              <w:t>CE</w:t>
            </w:r>
          </w:p>
        </w:tc>
      </w:tr>
      <w:tr w:rsidR="00EF17BD" w:rsidRPr="001D7F74" w:rsidTr="00A81AFA">
        <w:trPr>
          <w:trHeight w:val="270"/>
          <w:jc w:val="center"/>
        </w:trPr>
        <w:tc>
          <w:tcPr>
            <w:tcW w:w="916" w:type="dxa"/>
            <w:tcBorders>
              <w:top w:val="nil"/>
              <w:bottom w:val="nil"/>
              <w:right w:val="nil"/>
            </w:tcBorders>
            <w:shd w:val="clear" w:color="auto" w:fill="auto"/>
            <w:noWrap/>
            <w:vAlign w:val="bottom"/>
          </w:tcPr>
          <w:p w:rsidR="00EF17BD" w:rsidRPr="001D7F74" w:rsidRDefault="00EF17BD" w:rsidP="00A81AFA">
            <w:pPr>
              <w:pStyle w:val="Tabletext"/>
              <w:jc w:val="center"/>
            </w:pPr>
            <w:r>
              <w:t>CE</w:t>
            </w:r>
            <w:r w:rsidRPr="001D7F74">
              <w:t xml:space="preserve"> 7</w:t>
            </w:r>
          </w:p>
        </w:tc>
        <w:tc>
          <w:tcPr>
            <w:tcW w:w="851" w:type="dxa"/>
            <w:tcBorders>
              <w:top w:val="double" w:sz="6" w:space="0" w:color="auto"/>
              <w:left w:val="double" w:sz="6" w:space="0" w:color="auto"/>
              <w:bottom w:val="single" w:sz="4" w:space="0" w:color="auto"/>
              <w:right w:val="double" w:sz="6" w:space="0" w:color="auto"/>
            </w:tcBorders>
            <w:shd w:val="clear" w:color="auto" w:fill="00FF00"/>
            <w:noWrap/>
            <w:vAlign w:val="center"/>
          </w:tcPr>
          <w:p w:rsidR="00EF17BD" w:rsidRPr="001D7F74" w:rsidRDefault="00EF17BD" w:rsidP="00A81AFA">
            <w:pPr>
              <w:jc w:val="center"/>
            </w:pPr>
          </w:p>
        </w:tc>
        <w:tc>
          <w:tcPr>
            <w:tcW w:w="850" w:type="dxa"/>
            <w:tcBorders>
              <w:top w:val="double" w:sz="6" w:space="0" w:color="auto"/>
              <w:left w:val="nil"/>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851" w:type="dxa"/>
            <w:tcBorders>
              <w:top w:val="double" w:sz="6" w:space="0" w:color="auto"/>
              <w:left w:val="double" w:sz="6"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00FF00"/>
            <w:noWrap/>
            <w:vAlign w:val="center"/>
          </w:tcPr>
          <w:p w:rsidR="00EF17BD" w:rsidRPr="001D7F74" w:rsidRDefault="00EF17BD" w:rsidP="00A81AFA">
            <w:pPr>
              <w:jc w:val="center"/>
            </w:pPr>
          </w:p>
        </w:tc>
        <w:tc>
          <w:tcPr>
            <w:tcW w:w="516" w:type="dxa"/>
            <w:tcBorders>
              <w:top w:val="double" w:sz="6" w:space="0" w:color="auto"/>
              <w:left w:val="single" w:sz="4" w:space="0" w:color="auto"/>
              <w:bottom w:val="single" w:sz="4" w:space="0" w:color="auto"/>
              <w:right w:val="single" w:sz="4" w:space="0" w:color="auto"/>
            </w:tcBorders>
            <w:shd w:val="clear" w:color="auto" w:fill="FFFF99"/>
            <w:vAlign w:val="center"/>
          </w:tcPr>
          <w:p w:rsidR="00EF17BD" w:rsidRPr="001D7F74" w:rsidRDefault="00EF17BD" w:rsidP="00A81AFA">
            <w:pPr>
              <w:jc w:val="center"/>
            </w:pPr>
          </w:p>
        </w:tc>
        <w:tc>
          <w:tcPr>
            <w:tcW w:w="396" w:type="dxa"/>
            <w:tcBorders>
              <w:top w:val="double" w:sz="6" w:space="0" w:color="auto"/>
              <w:left w:val="single" w:sz="4" w:space="0" w:color="auto"/>
              <w:bottom w:val="single" w:sz="4" w:space="0" w:color="auto"/>
              <w:right w:val="double" w:sz="6" w:space="0" w:color="auto"/>
            </w:tcBorders>
            <w:shd w:val="clear" w:color="auto" w:fill="00FF00"/>
            <w:noWrap/>
            <w:vAlign w:val="center"/>
          </w:tcPr>
          <w:p w:rsidR="00EF17BD" w:rsidRPr="001D7F74" w:rsidRDefault="00EF17BD" w:rsidP="00A81AFA">
            <w:pPr>
              <w:jc w:val="center"/>
            </w:pPr>
          </w:p>
        </w:tc>
        <w:tc>
          <w:tcPr>
            <w:tcW w:w="818" w:type="dxa"/>
            <w:tcBorders>
              <w:top w:val="double" w:sz="6" w:space="0" w:color="auto"/>
              <w:left w:val="double" w:sz="6" w:space="0" w:color="auto"/>
              <w:bottom w:val="single" w:sz="4" w:space="0" w:color="auto"/>
              <w:right w:val="double" w:sz="6" w:space="0" w:color="auto"/>
            </w:tcBorders>
            <w:shd w:val="clear" w:color="auto" w:fill="FFFF99"/>
            <w:vAlign w:val="center"/>
          </w:tcPr>
          <w:p w:rsidR="00EF17BD" w:rsidRPr="001D7F74" w:rsidRDefault="00EF17BD" w:rsidP="00A81AFA">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00FF00"/>
            <w:noWrap/>
            <w:vAlign w:val="center"/>
          </w:tcPr>
          <w:p w:rsidR="00EF17BD" w:rsidRPr="001D7F74" w:rsidRDefault="00EF17BD" w:rsidP="00A81AFA">
            <w:pPr>
              <w:jc w:val="center"/>
            </w:pPr>
          </w:p>
        </w:tc>
        <w:tc>
          <w:tcPr>
            <w:tcW w:w="440" w:type="dxa"/>
            <w:tcBorders>
              <w:top w:val="double" w:sz="6" w:space="0" w:color="auto"/>
              <w:left w:val="single" w:sz="4" w:space="0" w:color="auto"/>
              <w:bottom w:val="single" w:sz="4" w:space="0" w:color="auto"/>
              <w:right w:val="single" w:sz="4" w:space="0" w:color="auto"/>
            </w:tcBorders>
            <w:shd w:val="clear" w:color="auto" w:fill="FFFF99"/>
            <w:vAlign w:val="center"/>
          </w:tcPr>
          <w:p w:rsidR="00EF17BD" w:rsidRPr="001D7F74" w:rsidRDefault="00EF17BD" w:rsidP="00A81AFA">
            <w:pPr>
              <w:jc w:val="center"/>
            </w:pPr>
          </w:p>
        </w:tc>
        <w:tc>
          <w:tcPr>
            <w:tcW w:w="440" w:type="dxa"/>
            <w:tcBorders>
              <w:top w:val="double" w:sz="6" w:space="0" w:color="auto"/>
              <w:left w:val="single" w:sz="4" w:space="0" w:color="auto"/>
              <w:bottom w:val="single" w:sz="4" w:space="0" w:color="auto"/>
              <w:right w:val="double" w:sz="6" w:space="0" w:color="auto"/>
            </w:tcBorders>
            <w:shd w:val="clear" w:color="auto" w:fill="00FF00"/>
            <w:noWrap/>
            <w:vAlign w:val="center"/>
          </w:tcPr>
          <w:p w:rsidR="00EF17BD" w:rsidRPr="001D7F74" w:rsidRDefault="00EF17BD" w:rsidP="00A81AFA">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FFFF99"/>
            <w:noWrap/>
            <w:vAlign w:val="center"/>
          </w:tcPr>
          <w:p w:rsidR="00EF17BD" w:rsidRPr="001D7F74" w:rsidRDefault="00EF17BD" w:rsidP="00A81AFA">
            <w:pPr>
              <w:jc w:val="center"/>
            </w:pPr>
          </w:p>
        </w:tc>
        <w:tc>
          <w:tcPr>
            <w:tcW w:w="399" w:type="dxa"/>
            <w:tcBorders>
              <w:top w:val="double" w:sz="6" w:space="0" w:color="auto"/>
              <w:left w:val="nil"/>
              <w:bottom w:val="single" w:sz="4" w:space="0" w:color="auto"/>
              <w:right w:val="double" w:sz="6" w:space="0" w:color="auto"/>
            </w:tcBorders>
            <w:shd w:val="clear" w:color="auto" w:fill="00FF00"/>
            <w:noWrap/>
            <w:vAlign w:val="center"/>
          </w:tcPr>
          <w:p w:rsidR="00EF17BD" w:rsidRPr="001D7F74" w:rsidRDefault="00EF17BD" w:rsidP="00A81AFA">
            <w:pPr>
              <w:jc w:val="center"/>
            </w:pPr>
          </w:p>
        </w:tc>
      </w:tr>
      <w:tr w:rsidR="00EF17BD" w:rsidRPr="001D7F74" w:rsidTr="00A81AFA">
        <w:trPr>
          <w:trHeight w:val="255"/>
          <w:jc w:val="center"/>
        </w:trPr>
        <w:tc>
          <w:tcPr>
            <w:tcW w:w="916" w:type="dxa"/>
            <w:tcBorders>
              <w:top w:val="nil"/>
              <w:bottom w:val="nil"/>
              <w:right w:val="nil"/>
            </w:tcBorders>
            <w:shd w:val="clear" w:color="auto" w:fill="auto"/>
            <w:noWrap/>
            <w:vAlign w:val="bottom"/>
          </w:tcPr>
          <w:p w:rsidR="00EF17BD" w:rsidRPr="001D7F74" w:rsidRDefault="00EF17BD" w:rsidP="00A81AFA">
            <w:pPr>
              <w:pStyle w:val="Tabletext"/>
              <w:jc w:val="center"/>
            </w:pPr>
            <w:r>
              <w:t>GT</w:t>
            </w:r>
            <w:r w:rsidRPr="001D7F74">
              <w:t xml:space="preserve"> 7A</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EF17BD" w:rsidRPr="001D7F74" w:rsidRDefault="00EF17BD" w:rsidP="00A81AFA">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EF17BD" w:rsidRPr="001D7F74" w:rsidRDefault="00EF17BD" w:rsidP="00A81AFA">
            <w:pPr>
              <w:jc w:val="center"/>
            </w:pPr>
          </w:p>
        </w:tc>
        <w:tc>
          <w:tcPr>
            <w:tcW w:w="516" w:type="dxa"/>
            <w:tcBorders>
              <w:top w:val="single" w:sz="4" w:space="0" w:color="auto"/>
              <w:left w:val="single" w:sz="4" w:space="0" w:color="auto"/>
              <w:bottom w:val="single" w:sz="4" w:space="0" w:color="auto"/>
              <w:right w:val="single" w:sz="4" w:space="0" w:color="auto"/>
            </w:tcBorders>
            <w:shd w:val="clear" w:color="auto" w:fill="00FF00"/>
            <w:vAlign w:val="center"/>
          </w:tcPr>
          <w:p w:rsidR="00EF17BD" w:rsidRPr="001D7F74" w:rsidRDefault="00EF17BD" w:rsidP="00A81AFA">
            <w:pPr>
              <w:jc w:val="center"/>
            </w:pPr>
          </w:p>
        </w:tc>
        <w:tc>
          <w:tcPr>
            <w:tcW w:w="396"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noWrap/>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EF17BD" w:rsidRPr="001D7F74" w:rsidRDefault="00EF17BD" w:rsidP="00A81AFA">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EF17BD" w:rsidRPr="001D7F74" w:rsidRDefault="00EF17BD" w:rsidP="00A81AFA">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EF17BD" w:rsidRPr="001D7F74" w:rsidRDefault="00EF17BD" w:rsidP="00A81AFA">
            <w:pPr>
              <w:jc w:val="center"/>
            </w:pPr>
          </w:p>
        </w:tc>
        <w:tc>
          <w:tcPr>
            <w:tcW w:w="399" w:type="dxa"/>
            <w:tcBorders>
              <w:top w:val="single" w:sz="4" w:space="0" w:color="auto"/>
              <w:left w:val="nil"/>
              <w:bottom w:val="single" w:sz="4" w:space="0" w:color="auto"/>
              <w:right w:val="double" w:sz="6" w:space="0" w:color="auto"/>
            </w:tcBorders>
            <w:shd w:val="clear" w:color="auto" w:fill="FFFF99"/>
            <w:noWrap/>
            <w:vAlign w:val="center"/>
          </w:tcPr>
          <w:p w:rsidR="00EF17BD" w:rsidRPr="001D7F74" w:rsidRDefault="00EF17BD" w:rsidP="00A81AFA">
            <w:pPr>
              <w:jc w:val="center"/>
            </w:pPr>
          </w:p>
        </w:tc>
      </w:tr>
      <w:tr w:rsidR="00EF17BD" w:rsidRPr="001D7F74" w:rsidTr="00A81AFA">
        <w:trPr>
          <w:trHeight w:val="255"/>
          <w:jc w:val="center"/>
        </w:trPr>
        <w:tc>
          <w:tcPr>
            <w:tcW w:w="916" w:type="dxa"/>
            <w:tcBorders>
              <w:top w:val="nil"/>
              <w:bottom w:val="nil"/>
              <w:right w:val="nil"/>
            </w:tcBorders>
            <w:shd w:val="clear" w:color="auto" w:fill="auto"/>
            <w:noWrap/>
            <w:vAlign w:val="bottom"/>
          </w:tcPr>
          <w:p w:rsidR="00EF17BD" w:rsidRPr="001D7F74" w:rsidRDefault="00EF17BD" w:rsidP="00A81AFA">
            <w:pPr>
              <w:pStyle w:val="Tabletext"/>
              <w:jc w:val="center"/>
            </w:pPr>
            <w:r>
              <w:t>GT</w:t>
            </w:r>
            <w:r w:rsidRPr="001D7F74">
              <w:t xml:space="preserve"> 7B</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EF17BD" w:rsidRPr="001D7F74" w:rsidRDefault="00EF17BD" w:rsidP="00A81AFA">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EF17BD" w:rsidRPr="001D7F74" w:rsidRDefault="00EF17BD" w:rsidP="00A81AFA">
            <w:pPr>
              <w:jc w:val="center"/>
            </w:pPr>
          </w:p>
        </w:tc>
        <w:tc>
          <w:tcPr>
            <w:tcW w:w="516" w:type="dxa"/>
            <w:tcBorders>
              <w:top w:val="single" w:sz="4" w:space="0" w:color="auto"/>
              <w:left w:val="single" w:sz="4" w:space="0" w:color="auto"/>
              <w:bottom w:val="single" w:sz="4" w:space="0" w:color="auto"/>
              <w:right w:val="single" w:sz="4" w:space="0" w:color="auto"/>
            </w:tcBorders>
            <w:shd w:val="clear" w:color="auto" w:fill="00FF00"/>
            <w:vAlign w:val="center"/>
          </w:tcPr>
          <w:p w:rsidR="00EF17BD" w:rsidRPr="001D7F74" w:rsidRDefault="00EF17BD" w:rsidP="00A81AFA">
            <w:pPr>
              <w:jc w:val="center"/>
            </w:pPr>
          </w:p>
        </w:tc>
        <w:tc>
          <w:tcPr>
            <w:tcW w:w="396"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EF17BD" w:rsidRPr="001D7F74" w:rsidRDefault="00EF17BD" w:rsidP="00A81AFA">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EF17BD" w:rsidRPr="001D7F74" w:rsidRDefault="00EF17BD" w:rsidP="00A81AFA">
            <w:pPr>
              <w:jc w:val="center"/>
            </w:pPr>
          </w:p>
        </w:tc>
        <w:tc>
          <w:tcPr>
            <w:tcW w:w="399" w:type="dxa"/>
            <w:tcBorders>
              <w:top w:val="single" w:sz="4" w:space="0" w:color="auto"/>
              <w:left w:val="nil"/>
              <w:bottom w:val="single" w:sz="4" w:space="0" w:color="auto"/>
              <w:right w:val="double" w:sz="6" w:space="0" w:color="auto"/>
            </w:tcBorders>
            <w:shd w:val="clear" w:color="auto" w:fill="FFFF99"/>
            <w:noWrap/>
            <w:vAlign w:val="center"/>
          </w:tcPr>
          <w:p w:rsidR="00EF17BD" w:rsidRPr="001D7F74" w:rsidRDefault="00EF17BD" w:rsidP="00A81AFA">
            <w:pPr>
              <w:jc w:val="center"/>
            </w:pPr>
          </w:p>
        </w:tc>
      </w:tr>
      <w:tr w:rsidR="00EF17BD" w:rsidRPr="001D7F74" w:rsidTr="00A81AFA">
        <w:trPr>
          <w:trHeight w:val="255"/>
          <w:jc w:val="center"/>
        </w:trPr>
        <w:tc>
          <w:tcPr>
            <w:tcW w:w="916" w:type="dxa"/>
            <w:tcBorders>
              <w:top w:val="nil"/>
              <w:bottom w:val="nil"/>
              <w:right w:val="nil"/>
            </w:tcBorders>
            <w:shd w:val="clear" w:color="auto" w:fill="auto"/>
            <w:noWrap/>
            <w:vAlign w:val="bottom"/>
          </w:tcPr>
          <w:p w:rsidR="00EF17BD" w:rsidRPr="001D7F74" w:rsidRDefault="00EF17BD" w:rsidP="00A81AFA">
            <w:pPr>
              <w:pStyle w:val="Tabletext"/>
              <w:jc w:val="center"/>
            </w:pPr>
            <w:r>
              <w:t>GT</w:t>
            </w:r>
            <w:r w:rsidRPr="001D7F74">
              <w:t xml:space="preserve"> 7C</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EF17BD" w:rsidRPr="001D7F74" w:rsidRDefault="00EF17BD" w:rsidP="00A81AFA">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EF17BD" w:rsidRPr="001D7F74" w:rsidRDefault="00EF17BD" w:rsidP="00A81AFA">
            <w:pPr>
              <w:jc w:val="center"/>
            </w:pPr>
          </w:p>
        </w:tc>
        <w:tc>
          <w:tcPr>
            <w:tcW w:w="516" w:type="dxa"/>
            <w:tcBorders>
              <w:top w:val="single" w:sz="4" w:space="0" w:color="auto"/>
              <w:left w:val="single" w:sz="4" w:space="0" w:color="auto"/>
              <w:bottom w:val="single" w:sz="4" w:space="0" w:color="auto"/>
              <w:right w:val="single" w:sz="4" w:space="0" w:color="auto"/>
            </w:tcBorders>
            <w:shd w:val="clear" w:color="auto" w:fill="00FF00"/>
            <w:vAlign w:val="center"/>
          </w:tcPr>
          <w:p w:rsidR="00EF17BD" w:rsidRPr="001D7F74" w:rsidRDefault="00EF17BD" w:rsidP="00A81AFA">
            <w:pPr>
              <w:jc w:val="center"/>
            </w:pPr>
          </w:p>
        </w:tc>
        <w:tc>
          <w:tcPr>
            <w:tcW w:w="396"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EF17BD" w:rsidRPr="001D7F74" w:rsidRDefault="00EF17BD" w:rsidP="00A81AFA">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EF17BD" w:rsidRPr="001D7F74" w:rsidRDefault="00EF17BD" w:rsidP="00A81AFA">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EF17BD" w:rsidRPr="001D7F74" w:rsidRDefault="00EF17BD" w:rsidP="00A81AFA">
            <w:pPr>
              <w:jc w:val="center"/>
            </w:pPr>
          </w:p>
        </w:tc>
        <w:tc>
          <w:tcPr>
            <w:tcW w:w="399" w:type="dxa"/>
            <w:tcBorders>
              <w:top w:val="single" w:sz="4" w:space="0" w:color="auto"/>
              <w:left w:val="nil"/>
              <w:bottom w:val="single" w:sz="4" w:space="0" w:color="auto"/>
              <w:right w:val="double" w:sz="6" w:space="0" w:color="auto"/>
            </w:tcBorders>
            <w:shd w:val="clear" w:color="auto" w:fill="FFFF99"/>
            <w:noWrap/>
            <w:vAlign w:val="center"/>
          </w:tcPr>
          <w:p w:rsidR="00EF17BD" w:rsidRPr="001D7F74" w:rsidRDefault="00EF17BD" w:rsidP="00A81AFA">
            <w:pPr>
              <w:jc w:val="center"/>
            </w:pPr>
          </w:p>
        </w:tc>
      </w:tr>
      <w:tr w:rsidR="00EF17BD" w:rsidRPr="001D7F74" w:rsidTr="00A81AFA">
        <w:trPr>
          <w:trHeight w:val="270"/>
          <w:jc w:val="center"/>
        </w:trPr>
        <w:tc>
          <w:tcPr>
            <w:tcW w:w="916" w:type="dxa"/>
            <w:tcBorders>
              <w:top w:val="nil"/>
              <w:right w:val="nil"/>
            </w:tcBorders>
            <w:shd w:val="clear" w:color="auto" w:fill="auto"/>
            <w:noWrap/>
            <w:vAlign w:val="bottom"/>
          </w:tcPr>
          <w:p w:rsidR="00EF17BD" w:rsidRPr="001D7F74" w:rsidRDefault="00EF17BD" w:rsidP="00A81AFA">
            <w:pPr>
              <w:pStyle w:val="Tabletext"/>
              <w:jc w:val="center"/>
            </w:pPr>
            <w:r>
              <w:t>GT</w:t>
            </w:r>
            <w:r w:rsidRPr="001D7F74">
              <w:t xml:space="preserve"> 7D</w:t>
            </w:r>
          </w:p>
        </w:tc>
        <w:tc>
          <w:tcPr>
            <w:tcW w:w="851" w:type="dxa"/>
            <w:tcBorders>
              <w:top w:val="single" w:sz="4" w:space="0" w:color="auto"/>
              <w:left w:val="double" w:sz="6" w:space="0" w:color="auto"/>
              <w:bottom w:val="double" w:sz="6" w:space="0" w:color="auto"/>
              <w:right w:val="double" w:sz="6" w:space="0" w:color="auto"/>
            </w:tcBorders>
            <w:shd w:val="clear" w:color="auto" w:fill="FFFF99"/>
            <w:noWrap/>
            <w:vAlign w:val="center"/>
          </w:tcPr>
          <w:p w:rsidR="00EF17BD" w:rsidRPr="001D7F74" w:rsidRDefault="00EF17BD" w:rsidP="00A81AFA">
            <w:pPr>
              <w:jc w:val="center"/>
            </w:pPr>
          </w:p>
        </w:tc>
        <w:tc>
          <w:tcPr>
            <w:tcW w:w="850" w:type="dxa"/>
            <w:tcBorders>
              <w:top w:val="single" w:sz="4" w:space="0" w:color="auto"/>
              <w:left w:val="nil"/>
              <w:bottom w:val="double" w:sz="6" w:space="0" w:color="auto"/>
              <w:right w:val="double" w:sz="6" w:space="0" w:color="auto"/>
            </w:tcBorders>
            <w:shd w:val="clear" w:color="auto" w:fill="00FF00"/>
            <w:noWrap/>
            <w:vAlign w:val="center"/>
          </w:tcPr>
          <w:p w:rsidR="00EF17BD" w:rsidRPr="001D7F74" w:rsidRDefault="00EF17BD" w:rsidP="00A81AFA">
            <w:pPr>
              <w:jc w:val="center"/>
            </w:pPr>
          </w:p>
        </w:tc>
        <w:tc>
          <w:tcPr>
            <w:tcW w:w="851" w:type="dxa"/>
            <w:tcBorders>
              <w:top w:val="single" w:sz="4" w:space="0" w:color="auto"/>
              <w:left w:val="double" w:sz="6" w:space="0" w:color="auto"/>
              <w:bottom w:val="double" w:sz="6" w:space="0" w:color="auto"/>
              <w:right w:val="double" w:sz="6" w:space="0" w:color="auto"/>
            </w:tcBorders>
            <w:shd w:val="clear" w:color="auto" w:fill="00FF00"/>
            <w:vAlign w:val="center"/>
          </w:tcPr>
          <w:p w:rsidR="00EF17BD" w:rsidRPr="001D7F74" w:rsidRDefault="00EF17BD" w:rsidP="00A81AFA">
            <w:pPr>
              <w:jc w:val="center"/>
            </w:pPr>
          </w:p>
        </w:tc>
        <w:tc>
          <w:tcPr>
            <w:tcW w:w="440"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EF17BD" w:rsidRPr="001D7F74" w:rsidRDefault="00EF17BD" w:rsidP="00A81AFA">
            <w:pPr>
              <w:jc w:val="center"/>
            </w:pPr>
          </w:p>
        </w:tc>
        <w:tc>
          <w:tcPr>
            <w:tcW w:w="516" w:type="dxa"/>
            <w:tcBorders>
              <w:top w:val="single" w:sz="4" w:space="0" w:color="auto"/>
              <w:left w:val="single" w:sz="4" w:space="0" w:color="auto"/>
              <w:bottom w:val="double" w:sz="6" w:space="0" w:color="auto"/>
              <w:right w:val="single" w:sz="4" w:space="0" w:color="auto"/>
            </w:tcBorders>
            <w:shd w:val="clear" w:color="auto" w:fill="00FF00"/>
            <w:vAlign w:val="center"/>
          </w:tcPr>
          <w:p w:rsidR="00EF17BD" w:rsidRPr="001D7F74" w:rsidRDefault="00EF17BD" w:rsidP="00A81AFA">
            <w:r w:rsidRPr="001D7F74">
              <w:t> </w:t>
            </w:r>
          </w:p>
        </w:tc>
        <w:tc>
          <w:tcPr>
            <w:tcW w:w="396" w:type="dxa"/>
            <w:tcBorders>
              <w:top w:val="single" w:sz="4" w:space="0" w:color="auto"/>
              <w:left w:val="single" w:sz="4" w:space="0" w:color="auto"/>
              <w:bottom w:val="double" w:sz="6" w:space="0" w:color="auto"/>
              <w:right w:val="double" w:sz="6" w:space="0" w:color="auto"/>
            </w:tcBorders>
            <w:shd w:val="clear" w:color="auto" w:fill="FFFF99"/>
            <w:noWrap/>
            <w:vAlign w:val="center"/>
          </w:tcPr>
          <w:p w:rsidR="00EF17BD" w:rsidRPr="001D7F74" w:rsidRDefault="00EF17BD" w:rsidP="00A81AFA">
            <w:r w:rsidRPr="001D7F74">
              <w:t> </w:t>
            </w:r>
          </w:p>
        </w:tc>
        <w:tc>
          <w:tcPr>
            <w:tcW w:w="818" w:type="dxa"/>
            <w:tcBorders>
              <w:top w:val="single" w:sz="4" w:space="0" w:color="auto"/>
              <w:left w:val="double" w:sz="6" w:space="0" w:color="auto"/>
              <w:bottom w:val="double" w:sz="6" w:space="0" w:color="auto"/>
              <w:right w:val="double" w:sz="6" w:space="0" w:color="auto"/>
            </w:tcBorders>
            <w:shd w:val="clear" w:color="auto" w:fill="00FF00"/>
            <w:noWrap/>
            <w:vAlign w:val="center"/>
          </w:tcPr>
          <w:p w:rsidR="00EF17BD" w:rsidRPr="001D7F74" w:rsidRDefault="00EF17BD" w:rsidP="00A81AFA">
            <w:r w:rsidRPr="001D7F74">
              <w:t> </w:t>
            </w:r>
          </w:p>
        </w:tc>
        <w:tc>
          <w:tcPr>
            <w:tcW w:w="440"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EF17BD" w:rsidRPr="001D7F74" w:rsidRDefault="00EF17BD" w:rsidP="00A81AFA">
            <w:r w:rsidRPr="001D7F74">
              <w:t> </w:t>
            </w:r>
          </w:p>
        </w:tc>
        <w:tc>
          <w:tcPr>
            <w:tcW w:w="440" w:type="dxa"/>
            <w:tcBorders>
              <w:top w:val="single" w:sz="4" w:space="0" w:color="auto"/>
              <w:left w:val="single" w:sz="4" w:space="0" w:color="auto"/>
              <w:bottom w:val="double" w:sz="6" w:space="0" w:color="auto"/>
              <w:right w:val="single" w:sz="4" w:space="0" w:color="auto"/>
            </w:tcBorders>
            <w:shd w:val="clear" w:color="auto" w:fill="00FF00"/>
            <w:noWrap/>
            <w:vAlign w:val="center"/>
          </w:tcPr>
          <w:p w:rsidR="00EF17BD" w:rsidRPr="001D7F74" w:rsidRDefault="00EF17BD" w:rsidP="00A81AFA">
            <w:pPr>
              <w:jc w:val="center"/>
            </w:pPr>
          </w:p>
        </w:tc>
        <w:tc>
          <w:tcPr>
            <w:tcW w:w="440" w:type="dxa"/>
            <w:tcBorders>
              <w:top w:val="single" w:sz="4" w:space="0" w:color="auto"/>
              <w:left w:val="single" w:sz="4" w:space="0" w:color="auto"/>
              <w:bottom w:val="double" w:sz="6" w:space="0" w:color="auto"/>
              <w:right w:val="double" w:sz="6" w:space="0" w:color="auto"/>
            </w:tcBorders>
            <w:shd w:val="clear" w:color="auto" w:fill="FFFF99"/>
            <w:noWrap/>
            <w:vAlign w:val="center"/>
          </w:tcPr>
          <w:p w:rsidR="00EF17BD" w:rsidRPr="001D7F74" w:rsidRDefault="00EF17BD" w:rsidP="00A81AFA">
            <w:pPr>
              <w:jc w:val="center"/>
            </w:pPr>
          </w:p>
        </w:tc>
        <w:tc>
          <w:tcPr>
            <w:tcW w:w="440" w:type="dxa"/>
            <w:tcBorders>
              <w:top w:val="single" w:sz="4" w:space="0" w:color="auto"/>
              <w:left w:val="double" w:sz="6" w:space="0" w:color="auto"/>
              <w:bottom w:val="double" w:sz="6" w:space="0" w:color="auto"/>
              <w:right w:val="single" w:sz="4" w:space="0" w:color="auto"/>
            </w:tcBorders>
            <w:shd w:val="clear" w:color="auto" w:fill="00FF00"/>
            <w:noWrap/>
            <w:vAlign w:val="center"/>
          </w:tcPr>
          <w:p w:rsidR="00EF17BD" w:rsidRPr="001D7F74" w:rsidRDefault="00EF17BD" w:rsidP="00A81AFA">
            <w:pPr>
              <w:jc w:val="center"/>
            </w:pPr>
          </w:p>
        </w:tc>
        <w:tc>
          <w:tcPr>
            <w:tcW w:w="399" w:type="dxa"/>
            <w:tcBorders>
              <w:top w:val="single" w:sz="4" w:space="0" w:color="auto"/>
              <w:left w:val="nil"/>
              <w:bottom w:val="double" w:sz="6" w:space="0" w:color="auto"/>
              <w:right w:val="double" w:sz="6" w:space="0" w:color="auto"/>
            </w:tcBorders>
            <w:shd w:val="clear" w:color="auto" w:fill="FFFF99"/>
            <w:noWrap/>
            <w:vAlign w:val="center"/>
          </w:tcPr>
          <w:p w:rsidR="00EF17BD" w:rsidRPr="001D7F74" w:rsidRDefault="00EF17BD" w:rsidP="00A81AFA">
            <w:pPr>
              <w:jc w:val="center"/>
            </w:pPr>
          </w:p>
        </w:tc>
      </w:tr>
    </w:tbl>
    <w:p w:rsidR="00EF17BD" w:rsidRPr="001D7F74" w:rsidRDefault="00EF17BD" w:rsidP="00754A7F">
      <w:pPr>
        <w:pStyle w:val="Heading1"/>
      </w:pPr>
      <w:r w:rsidRPr="001D7F74">
        <w:t>4</w:t>
      </w:r>
      <w:r w:rsidRPr="001D7F74">
        <w:tab/>
        <w:t>Participa</w:t>
      </w:r>
      <w:r>
        <w:t>ción</w:t>
      </w:r>
    </w:p>
    <w:p w:rsidR="00EF17BD" w:rsidRDefault="00EF17BD" w:rsidP="00F161D7">
      <w:r>
        <w:t xml:space="preserve">Excepto en el caso de la primera reunión celebrada en mayo de 2012, el número de participantes en las reuniones de la CE 7 osciló entre 50 y 70. El objetivo de la breve reunión de mayo de 2012 fue constituir el nuevo equipo y establecer los objetivos para todos los periodos de trabajo; la reunión, en la que participaron unas 25 personas, no estuvo condicionada al resto de las reuniones del GT. </w:t>
      </w:r>
    </w:p>
    <w:p w:rsidR="00EF17BD" w:rsidRPr="00754A7F" w:rsidRDefault="00EF17BD" w:rsidP="00412124">
      <w:r w:rsidRPr="00754A7F">
        <w:t>La asistencia a las reuniones de los GT varió entre 40</w:t>
      </w:r>
      <w:r>
        <w:t xml:space="preserve"> ó 50</w:t>
      </w:r>
      <w:r w:rsidRPr="00754A7F">
        <w:t xml:space="preserve"> participantes en los GT 7A y 7D</w:t>
      </w:r>
      <w:r>
        <w:t>,</w:t>
      </w:r>
      <w:r w:rsidRPr="00754A7F">
        <w:t xml:space="preserve"> </w:t>
      </w:r>
      <w:r>
        <w:t>y</w:t>
      </w:r>
      <w:r w:rsidRPr="00754A7F">
        <w:t xml:space="preserve"> 6</w:t>
      </w:r>
      <w:r w:rsidR="00412124">
        <w:t>0</w:t>
      </w:r>
      <w:r>
        <w:t xml:space="preserve"> ó 70 </w:t>
      </w:r>
      <w:r w:rsidRPr="00754A7F">
        <w:t>participantes en los GT 7B y 7C.</w:t>
      </w:r>
    </w:p>
    <w:p w:rsidR="00EF17BD" w:rsidRPr="00EE60C7" w:rsidRDefault="00EF17BD" w:rsidP="00754A7F">
      <w:pPr>
        <w:pStyle w:val="Heading1"/>
      </w:pPr>
      <w:r w:rsidRPr="00EE60C7">
        <w:t>5</w:t>
      </w:r>
      <w:r w:rsidRPr="00EE60C7">
        <w:tab/>
        <w:t>Productividad</w:t>
      </w:r>
    </w:p>
    <w:p w:rsidR="00EF17BD" w:rsidRPr="00F161D7" w:rsidRDefault="00EF17BD" w:rsidP="00403956">
      <w:r w:rsidRPr="00EE60C7">
        <w:t>La Asamblea de Radiocomunicaciones de 2012 asign</w:t>
      </w:r>
      <w:r>
        <w:t>ó 35 Cuestiones a la CE 7. Durante el per</w:t>
      </w:r>
      <w:r w:rsidR="00403956">
        <w:t>i</w:t>
      </w:r>
      <w:r>
        <w:t>odo de la CE se revisó una Cuestión, se suprimieron dos Cuestiones y se elaboró el proyecto de tres nuevas Cuestiones.</w:t>
      </w:r>
    </w:p>
    <w:p w:rsidR="00EF17BD" w:rsidRPr="00DB5E50" w:rsidRDefault="00EF17BD" w:rsidP="00412124">
      <w:r w:rsidRPr="00DB5E50">
        <w:t xml:space="preserve">Además, la CE se encarga de mantener </w:t>
      </w:r>
      <w:r>
        <w:t>1</w:t>
      </w:r>
      <w:r w:rsidR="00412124">
        <w:t>38</w:t>
      </w:r>
      <w:r w:rsidRPr="00DB5E50">
        <w:t xml:space="preserve"> Recomendaciones del UIT-R, las cuales se publican en cuatro </w:t>
      </w:r>
      <w:r w:rsidR="00412124">
        <w:t>s</w:t>
      </w:r>
      <w:r w:rsidRPr="00DB5E50">
        <w:t xml:space="preserve">eries de Recomendaciones, a saber: </w:t>
      </w:r>
    </w:p>
    <w:p w:rsidR="00EF17BD" w:rsidRPr="00F161D7" w:rsidRDefault="00EF17BD" w:rsidP="00412124">
      <w:pPr>
        <w:pStyle w:val="enumlev1"/>
      </w:pPr>
      <w:r w:rsidRPr="00F161D7">
        <w:t>•</w:t>
      </w:r>
      <w:r w:rsidRPr="00F161D7">
        <w:tab/>
        <w:t xml:space="preserve">la </w:t>
      </w:r>
      <w:r w:rsidR="00412124">
        <w:t>s</w:t>
      </w:r>
      <w:r w:rsidRPr="00F161D7">
        <w:t>erie RA, relativa a la radioastronomía y la astronomía por radar (14</w:t>
      </w:r>
      <w:r w:rsidR="007B7AEC">
        <w:t> </w:t>
      </w:r>
      <w:r w:rsidRPr="00F161D7">
        <w:t>Recom</w:t>
      </w:r>
      <w:r>
        <w:t>endaciones</w:t>
      </w:r>
      <w:r w:rsidRPr="00F161D7">
        <w:t>);</w:t>
      </w:r>
    </w:p>
    <w:p w:rsidR="00EF17BD" w:rsidRPr="00DB5E50" w:rsidRDefault="00EF17BD" w:rsidP="00412124">
      <w:pPr>
        <w:pStyle w:val="enumlev1"/>
      </w:pPr>
      <w:r w:rsidRPr="00DB5E50">
        <w:t>•</w:t>
      </w:r>
      <w:r w:rsidRPr="00DB5E50">
        <w:tab/>
        <w:t xml:space="preserve">la </w:t>
      </w:r>
      <w:r w:rsidR="00412124">
        <w:t>s</w:t>
      </w:r>
      <w:r w:rsidRPr="00DB5E50">
        <w:t>erie SA, relativa a las aplicaciones de radiocomunicaciones espaciales (65</w:t>
      </w:r>
      <w:r w:rsidR="007B7AEC">
        <w:t> </w:t>
      </w:r>
      <w:r w:rsidRPr="00DB5E50">
        <w:t>Recomendaciones);</w:t>
      </w:r>
    </w:p>
    <w:p w:rsidR="00EF17BD" w:rsidRPr="00DB5E50" w:rsidRDefault="00EF17BD" w:rsidP="00412124">
      <w:pPr>
        <w:pStyle w:val="enumlev1"/>
      </w:pPr>
      <w:r w:rsidRPr="00DB5E50">
        <w:t>•</w:t>
      </w:r>
      <w:r w:rsidRPr="00DB5E50">
        <w:tab/>
        <w:t xml:space="preserve">la </w:t>
      </w:r>
      <w:r w:rsidR="00412124">
        <w:t>s</w:t>
      </w:r>
      <w:r w:rsidRPr="00DB5E50">
        <w:t xml:space="preserve">erie RS, relativa a los sistemas de detección a distancia (36 Recomendaciones); </w:t>
      </w:r>
      <w:r>
        <w:t>y</w:t>
      </w:r>
      <w:r w:rsidRPr="00DB5E50">
        <w:t xml:space="preserve"> </w:t>
      </w:r>
    </w:p>
    <w:p w:rsidR="00EF17BD" w:rsidRPr="00DB5E50" w:rsidRDefault="00EF17BD" w:rsidP="00403956">
      <w:pPr>
        <w:pStyle w:val="enumlev1"/>
      </w:pPr>
      <w:r w:rsidRPr="00DB5E50">
        <w:lastRenderedPageBreak/>
        <w:t>•</w:t>
      </w:r>
      <w:r w:rsidRPr="00DB5E50">
        <w:tab/>
        <w:t xml:space="preserve">la </w:t>
      </w:r>
      <w:r w:rsidR="00403956">
        <w:t>s</w:t>
      </w:r>
      <w:r w:rsidRPr="00DB5E50">
        <w:t>erie TF, relativa a las emisiones de frecuencias patrón y señales horarias (23 Recomendaciones).</w:t>
      </w:r>
    </w:p>
    <w:p w:rsidR="00EF17BD" w:rsidRDefault="00EF17BD" w:rsidP="00412124">
      <w:r w:rsidRPr="00DB5E50">
        <w:t>Durante el periodo</w:t>
      </w:r>
      <w:r>
        <w:t xml:space="preserve"> del informe, la</w:t>
      </w:r>
      <w:r w:rsidRPr="00DB5E50">
        <w:t xml:space="preserve"> CE ha adoptado 12 Recomendaciones </w:t>
      </w:r>
      <w:r>
        <w:t>revisadas y 11 nuevas Recomendaciones</w:t>
      </w:r>
      <w:r w:rsidRPr="00DB5E50">
        <w:t xml:space="preserve"> del UIT-R, aprobadas por los Estados Miembros, y ha</w:t>
      </w:r>
      <w:r>
        <w:t xml:space="preserve"> suprimido 2</w:t>
      </w:r>
      <w:r w:rsidR="00412124">
        <w:t> </w:t>
      </w:r>
      <w:r>
        <w:t xml:space="preserve">Recomendaciones. </w:t>
      </w:r>
    </w:p>
    <w:p w:rsidR="00EF17BD" w:rsidRDefault="00EF17BD" w:rsidP="00E5265A">
      <w:r>
        <w:t xml:space="preserve">La CE también revisó 4 </w:t>
      </w:r>
      <w:r w:rsidR="00412124">
        <w:t>I</w:t>
      </w:r>
      <w:r>
        <w:t xml:space="preserve">nformes del UIT-R y elaboró y aprobó 25 nuevos </w:t>
      </w:r>
      <w:r w:rsidR="00412124">
        <w:t>I</w:t>
      </w:r>
      <w:r>
        <w:t xml:space="preserve">nformes del UIT-R. Cuatro de esos </w:t>
      </w:r>
      <w:r w:rsidR="00E5265A">
        <w:t>I</w:t>
      </w:r>
      <w:r>
        <w:t xml:space="preserve">nformes fueron elaboraros por el GMTE 4-5-6-7 y aprobados por la CE 7. </w:t>
      </w:r>
    </w:p>
    <w:p w:rsidR="00EF17BD" w:rsidRPr="00DB5E50" w:rsidRDefault="00EF17BD" w:rsidP="00412124">
      <w:r>
        <w:t xml:space="preserve">Algunas de las nuevas Recomendaciones y algunos de los nuevos </w:t>
      </w:r>
      <w:r w:rsidR="00412124">
        <w:t>I</w:t>
      </w:r>
      <w:r>
        <w:t>nformes g</w:t>
      </w:r>
      <w:r w:rsidRPr="00DB5E50">
        <w:t>uardan relación con punto</w:t>
      </w:r>
      <w:r>
        <w:t>s del orden del día de la CMR-15.</w:t>
      </w:r>
    </w:p>
    <w:p w:rsidR="00EF17BD" w:rsidRPr="001D7F74" w:rsidRDefault="00EF17BD" w:rsidP="00200C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1"/>
      </w:tblGrid>
      <w:tr w:rsidR="00EF17BD" w:rsidRPr="00900429" w:rsidTr="002B7311">
        <w:tc>
          <w:tcPr>
            <w:tcW w:w="3259" w:type="dxa"/>
            <w:shd w:val="clear" w:color="auto" w:fill="auto"/>
          </w:tcPr>
          <w:p w:rsidR="00EF17BD" w:rsidRPr="00900429" w:rsidRDefault="00EF17BD" w:rsidP="002B7311">
            <w:pPr>
              <w:pStyle w:val="Tablehead"/>
              <w:rPr>
                <w:lang w:val="es-ES"/>
              </w:rPr>
            </w:pPr>
            <w:r w:rsidRPr="00900429">
              <w:rPr>
                <w:lang w:val="es-ES"/>
              </w:rPr>
              <w:t>Cuestiones revisadas</w:t>
            </w:r>
          </w:p>
        </w:tc>
        <w:tc>
          <w:tcPr>
            <w:tcW w:w="3260" w:type="dxa"/>
            <w:shd w:val="clear" w:color="auto" w:fill="auto"/>
          </w:tcPr>
          <w:p w:rsidR="00EF17BD" w:rsidRPr="00900429" w:rsidRDefault="00EF17BD" w:rsidP="00900429">
            <w:pPr>
              <w:pStyle w:val="Tablehead"/>
              <w:rPr>
                <w:lang w:val="es-ES"/>
              </w:rPr>
            </w:pPr>
            <w:r w:rsidRPr="00900429">
              <w:rPr>
                <w:lang w:val="es-ES"/>
              </w:rPr>
              <w:t>Nuevas cuestiones</w:t>
            </w:r>
          </w:p>
        </w:tc>
        <w:tc>
          <w:tcPr>
            <w:tcW w:w="3260" w:type="dxa"/>
            <w:shd w:val="clear" w:color="auto" w:fill="auto"/>
          </w:tcPr>
          <w:p w:rsidR="00EF17BD" w:rsidRPr="00900429" w:rsidRDefault="00EF17BD" w:rsidP="002B7311">
            <w:pPr>
              <w:pStyle w:val="Tablehead"/>
              <w:rPr>
                <w:lang w:val="es-ES"/>
              </w:rPr>
            </w:pPr>
            <w:r w:rsidRPr="00900429">
              <w:rPr>
                <w:lang w:val="es-ES"/>
              </w:rPr>
              <w:t>Cuestiones suprimidas</w:t>
            </w:r>
          </w:p>
        </w:tc>
      </w:tr>
      <w:tr w:rsidR="00EF17BD" w:rsidRPr="00900429" w:rsidTr="002B7311">
        <w:tc>
          <w:tcPr>
            <w:tcW w:w="3259" w:type="dxa"/>
            <w:shd w:val="clear" w:color="auto" w:fill="auto"/>
            <w:vAlign w:val="center"/>
          </w:tcPr>
          <w:p w:rsidR="00EF17BD" w:rsidRPr="00900429" w:rsidRDefault="00EF17BD" w:rsidP="002B7311">
            <w:pPr>
              <w:pStyle w:val="Tabletext"/>
              <w:jc w:val="center"/>
              <w:rPr>
                <w:lang w:val="es-ES"/>
              </w:rPr>
            </w:pPr>
            <w:r w:rsidRPr="00900429">
              <w:rPr>
                <w:lang w:val="es-ES"/>
              </w:rPr>
              <w:t>236-1/7</w:t>
            </w:r>
          </w:p>
        </w:tc>
        <w:tc>
          <w:tcPr>
            <w:tcW w:w="3260" w:type="dxa"/>
            <w:shd w:val="clear" w:color="auto" w:fill="auto"/>
            <w:vAlign w:val="center"/>
          </w:tcPr>
          <w:p w:rsidR="00EF17BD" w:rsidRPr="00900429" w:rsidRDefault="00EF17BD" w:rsidP="002B7311">
            <w:pPr>
              <w:pStyle w:val="Tabletext"/>
              <w:jc w:val="center"/>
              <w:rPr>
                <w:lang w:val="es-ES"/>
              </w:rPr>
            </w:pPr>
            <w:r w:rsidRPr="00900429">
              <w:rPr>
                <w:lang w:val="es-ES"/>
              </w:rPr>
              <w:t>254/7, 255/7, 256/7</w:t>
            </w:r>
          </w:p>
        </w:tc>
        <w:tc>
          <w:tcPr>
            <w:tcW w:w="3260" w:type="dxa"/>
            <w:shd w:val="clear" w:color="auto" w:fill="auto"/>
            <w:vAlign w:val="center"/>
          </w:tcPr>
          <w:p w:rsidR="00EF17BD" w:rsidRPr="00900429" w:rsidRDefault="00EF17BD" w:rsidP="002B7311">
            <w:pPr>
              <w:pStyle w:val="Tabletext"/>
              <w:jc w:val="center"/>
              <w:rPr>
                <w:lang w:val="es-ES"/>
              </w:rPr>
            </w:pPr>
            <w:r w:rsidRPr="00900429">
              <w:rPr>
                <w:lang w:val="es-ES"/>
              </w:rPr>
              <w:t>149-1/7, 235-1/7</w:t>
            </w:r>
          </w:p>
        </w:tc>
      </w:tr>
    </w:tbl>
    <w:p w:rsidR="00EF17BD" w:rsidRPr="001D7F74" w:rsidRDefault="00EF17BD" w:rsidP="00200C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10"/>
        <w:gridCol w:w="3210"/>
      </w:tblGrid>
      <w:tr w:rsidR="00EF17BD" w:rsidRPr="001B14B6" w:rsidTr="002B7311">
        <w:tc>
          <w:tcPr>
            <w:tcW w:w="3259" w:type="dxa"/>
            <w:shd w:val="clear" w:color="auto" w:fill="auto"/>
            <w:vAlign w:val="center"/>
          </w:tcPr>
          <w:p w:rsidR="00EF17BD" w:rsidRPr="001B14B6" w:rsidRDefault="00EF17BD" w:rsidP="001B14B6">
            <w:pPr>
              <w:pStyle w:val="Tablehead"/>
              <w:rPr>
                <w:lang w:val="es-ES"/>
              </w:rPr>
            </w:pPr>
            <w:r w:rsidRPr="001B14B6">
              <w:rPr>
                <w:lang w:val="es-ES"/>
              </w:rPr>
              <w:t xml:space="preserve">Recomendaciones revisadas </w:t>
            </w:r>
          </w:p>
        </w:tc>
        <w:tc>
          <w:tcPr>
            <w:tcW w:w="3260" w:type="dxa"/>
            <w:shd w:val="clear" w:color="auto" w:fill="auto"/>
            <w:vAlign w:val="center"/>
          </w:tcPr>
          <w:p w:rsidR="00EF17BD" w:rsidRPr="001B14B6" w:rsidRDefault="00EF17BD" w:rsidP="002B7311">
            <w:pPr>
              <w:pStyle w:val="Tablehead"/>
              <w:rPr>
                <w:lang w:val="es-ES"/>
              </w:rPr>
            </w:pPr>
            <w:r w:rsidRPr="001B14B6">
              <w:rPr>
                <w:lang w:val="es-ES"/>
              </w:rPr>
              <w:t>Nuevas Recomendaciones</w:t>
            </w:r>
          </w:p>
        </w:tc>
        <w:tc>
          <w:tcPr>
            <w:tcW w:w="3260" w:type="dxa"/>
            <w:shd w:val="clear" w:color="auto" w:fill="auto"/>
            <w:vAlign w:val="center"/>
          </w:tcPr>
          <w:p w:rsidR="00EF17BD" w:rsidRPr="001B14B6" w:rsidRDefault="00EF17BD" w:rsidP="002B7311">
            <w:pPr>
              <w:pStyle w:val="Tablehead"/>
              <w:rPr>
                <w:lang w:val="es-ES"/>
              </w:rPr>
            </w:pPr>
            <w:r w:rsidRPr="001B14B6">
              <w:rPr>
                <w:lang w:val="es-ES"/>
              </w:rPr>
              <w:t>Recomendaciones suprimidas</w:t>
            </w:r>
          </w:p>
        </w:tc>
      </w:tr>
      <w:tr w:rsidR="00EF17BD" w:rsidRPr="001B14B6" w:rsidTr="002B7311">
        <w:tc>
          <w:tcPr>
            <w:tcW w:w="3259" w:type="dxa"/>
            <w:shd w:val="clear" w:color="auto" w:fill="auto"/>
            <w:vAlign w:val="center"/>
          </w:tcPr>
          <w:p w:rsidR="00EF17BD" w:rsidRPr="001B14B6" w:rsidRDefault="00EF17BD" w:rsidP="002B7311">
            <w:pPr>
              <w:pStyle w:val="Tabletext"/>
              <w:jc w:val="center"/>
              <w:rPr>
                <w:lang w:val="es-ES"/>
              </w:rPr>
            </w:pPr>
            <w:r w:rsidRPr="001B14B6">
              <w:rPr>
                <w:lang w:val="es-ES"/>
              </w:rPr>
              <w:t>RA.1417-1, RA.1513-2</w:t>
            </w:r>
          </w:p>
        </w:tc>
        <w:tc>
          <w:tcPr>
            <w:tcW w:w="3260" w:type="dxa"/>
            <w:shd w:val="clear" w:color="auto" w:fill="auto"/>
            <w:vAlign w:val="center"/>
          </w:tcPr>
          <w:p w:rsidR="00EF17BD" w:rsidRPr="001B14B6" w:rsidRDefault="00EF17BD" w:rsidP="002B7311">
            <w:pPr>
              <w:pStyle w:val="Tabletext"/>
              <w:jc w:val="center"/>
              <w:rPr>
                <w:lang w:val="es-ES"/>
              </w:rPr>
            </w:pPr>
          </w:p>
        </w:tc>
        <w:tc>
          <w:tcPr>
            <w:tcW w:w="3260" w:type="dxa"/>
            <w:shd w:val="clear" w:color="auto" w:fill="auto"/>
            <w:vAlign w:val="center"/>
          </w:tcPr>
          <w:p w:rsidR="00EF17BD" w:rsidRPr="001B14B6" w:rsidRDefault="00EF17BD" w:rsidP="002B7311">
            <w:pPr>
              <w:pStyle w:val="Tabletext"/>
              <w:jc w:val="center"/>
              <w:rPr>
                <w:lang w:val="es-ES"/>
              </w:rPr>
            </w:pPr>
          </w:p>
        </w:tc>
      </w:tr>
      <w:tr w:rsidR="00EF17BD" w:rsidRPr="001B14B6" w:rsidTr="002B7311">
        <w:tc>
          <w:tcPr>
            <w:tcW w:w="3259" w:type="dxa"/>
            <w:shd w:val="clear" w:color="auto" w:fill="auto"/>
            <w:vAlign w:val="center"/>
          </w:tcPr>
          <w:p w:rsidR="00EF17BD" w:rsidRPr="00EF17BD" w:rsidRDefault="00EF17BD" w:rsidP="002B7311">
            <w:pPr>
              <w:pStyle w:val="Tabletext"/>
              <w:jc w:val="center"/>
              <w:rPr>
                <w:lang w:val="fr-CH"/>
              </w:rPr>
            </w:pPr>
            <w:r w:rsidRPr="00EF17BD">
              <w:rPr>
                <w:lang w:val="fr-CH"/>
              </w:rPr>
              <w:t>SA.509-3, SA.1155-1, SA.1275-4, SA.1276-4, SA.1414-1, SA.1626-1</w:t>
            </w:r>
          </w:p>
        </w:tc>
        <w:tc>
          <w:tcPr>
            <w:tcW w:w="3260" w:type="dxa"/>
            <w:shd w:val="clear" w:color="auto" w:fill="auto"/>
            <w:vAlign w:val="center"/>
          </w:tcPr>
          <w:p w:rsidR="00EF17BD" w:rsidRPr="001B14B6" w:rsidRDefault="00EF17BD" w:rsidP="00E90846">
            <w:pPr>
              <w:pStyle w:val="Tabletext"/>
              <w:jc w:val="center"/>
              <w:rPr>
                <w:lang w:val="es-ES"/>
              </w:rPr>
            </w:pPr>
            <w:r w:rsidRPr="001B14B6">
              <w:rPr>
                <w:lang w:val="es-ES"/>
              </w:rPr>
              <w:t xml:space="preserve">SA.2044-0, SA.2045-0, </w:t>
            </w:r>
            <w:r w:rsidRPr="001B14B6">
              <w:rPr>
                <w:lang w:val="es-ES"/>
              </w:rPr>
              <w:br/>
              <w:t>SA.2078-0, SA.2079-0</w:t>
            </w:r>
          </w:p>
        </w:tc>
        <w:tc>
          <w:tcPr>
            <w:tcW w:w="3260" w:type="dxa"/>
            <w:shd w:val="clear" w:color="auto" w:fill="auto"/>
            <w:vAlign w:val="center"/>
          </w:tcPr>
          <w:p w:rsidR="00EF17BD" w:rsidRPr="001B14B6" w:rsidRDefault="00EF17BD" w:rsidP="002B7311">
            <w:pPr>
              <w:pStyle w:val="Tabletext"/>
              <w:jc w:val="center"/>
              <w:rPr>
                <w:lang w:val="es-ES"/>
              </w:rPr>
            </w:pPr>
          </w:p>
        </w:tc>
      </w:tr>
      <w:tr w:rsidR="00EF17BD" w:rsidRPr="001B14B6" w:rsidTr="002B7311">
        <w:tc>
          <w:tcPr>
            <w:tcW w:w="3259" w:type="dxa"/>
            <w:shd w:val="clear" w:color="auto" w:fill="auto"/>
            <w:vAlign w:val="center"/>
          </w:tcPr>
          <w:p w:rsidR="00EF17BD" w:rsidRPr="001B14B6" w:rsidRDefault="00EF17BD" w:rsidP="002B7311">
            <w:pPr>
              <w:pStyle w:val="Tabletext"/>
              <w:jc w:val="center"/>
              <w:rPr>
                <w:lang w:val="es-ES"/>
              </w:rPr>
            </w:pPr>
            <w:r w:rsidRPr="001B14B6">
              <w:rPr>
                <w:lang w:val="es-ES"/>
              </w:rPr>
              <w:t>RS.515-5</w:t>
            </w:r>
          </w:p>
        </w:tc>
        <w:tc>
          <w:tcPr>
            <w:tcW w:w="3260" w:type="dxa"/>
            <w:shd w:val="clear" w:color="auto" w:fill="auto"/>
            <w:vAlign w:val="center"/>
          </w:tcPr>
          <w:p w:rsidR="00EF17BD" w:rsidRPr="00EF17BD" w:rsidRDefault="00EF17BD" w:rsidP="002B7311">
            <w:pPr>
              <w:pStyle w:val="Tabletext"/>
              <w:jc w:val="center"/>
              <w:rPr>
                <w:lang w:val="fr-CH"/>
              </w:rPr>
            </w:pPr>
            <w:r w:rsidRPr="00EF17BD">
              <w:rPr>
                <w:lang w:val="fr-CH"/>
              </w:rPr>
              <w:t>RS.2017-0, RS.2042-0, RS.2043-0, RS.2064-0, RS.2065-0, RS.2066-0</w:t>
            </w:r>
          </w:p>
        </w:tc>
        <w:tc>
          <w:tcPr>
            <w:tcW w:w="3260" w:type="dxa"/>
            <w:shd w:val="clear" w:color="auto" w:fill="auto"/>
            <w:vAlign w:val="center"/>
          </w:tcPr>
          <w:p w:rsidR="00EF17BD" w:rsidRPr="001B14B6" w:rsidRDefault="00EF17BD" w:rsidP="002B7311">
            <w:pPr>
              <w:pStyle w:val="Tabletext"/>
              <w:jc w:val="center"/>
              <w:rPr>
                <w:lang w:val="es-ES"/>
              </w:rPr>
            </w:pPr>
            <w:r w:rsidRPr="001B14B6">
              <w:rPr>
                <w:lang w:val="es-ES"/>
              </w:rPr>
              <w:t>RS.1028-3, RS.1029-3</w:t>
            </w:r>
          </w:p>
        </w:tc>
      </w:tr>
      <w:tr w:rsidR="00EF17BD" w:rsidRPr="001B14B6" w:rsidTr="002B7311">
        <w:tc>
          <w:tcPr>
            <w:tcW w:w="3259" w:type="dxa"/>
            <w:shd w:val="clear" w:color="auto" w:fill="auto"/>
            <w:vAlign w:val="center"/>
          </w:tcPr>
          <w:p w:rsidR="00EF17BD" w:rsidRPr="001B14B6" w:rsidRDefault="00EF17BD" w:rsidP="002B7311">
            <w:pPr>
              <w:pStyle w:val="Tabletext"/>
              <w:jc w:val="center"/>
              <w:rPr>
                <w:lang w:val="es-ES"/>
              </w:rPr>
            </w:pPr>
            <w:r w:rsidRPr="001B14B6">
              <w:rPr>
                <w:lang w:val="es-ES"/>
              </w:rPr>
              <w:t>TF.374-6, TF.686-3, TF.1153-4</w:t>
            </w:r>
          </w:p>
        </w:tc>
        <w:tc>
          <w:tcPr>
            <w:tcW w:w="3260" w:type="dxa"/>
            <w:shd w:val="clear" w:color="auto" w:fill="auto"/>
            <w:vAlign w:val="center"/>
          </w:tcPr>
          <w:p w:rsidR="00EF17BD" w:rsidRPr="001B14B6" w:rsidRDefault="00EF17BD" w:rsidP="002B7311">
            <w:pPr>
              <w:pStyle w:val="Tabletext"/>
              <w:jc w:val="center"/>
              <w:rPr>
                <w:lang w:val="es-ES"/>
              </w:rPr>
            </w:pPr>
            <w:r w:rsidRPr="001B14B6">
              <w:rPr>
                <w:lang w:val="es-ES"/>
              </w:rPr>
              <w:t>TF.2018-0</w:t>
            </w:r>
          </w:p>
        </w:tc>
        <w:tc>
          <w:tcPr>
            <w:tcW w:w="3260" w:type="dxa"/>
            <w:shd w:val="clear" w:color="auto" w:fill="auto"/>
            <w:vAlign w:val="center"/>
          </w:tcPr>
          <w:p w:rsidR="00EF17BD" w:rsidRPr="001B14B6" w:rsidRDefault="00EF17BD" w:rsidP="002B7311">
            <w:pPr>
              <w:pStyle w:val="Tabletext"/>
              <w:jc w:val="center"/>
              <w:rPr>
                <w:lang w:val="es-ES"/>
              </w:rPr>
            </w:pPr>
          </w:p>
        </w:tc>
      </w:tr>
    </w:tbl>
    <w:p w:rsidR="00EF17BD" w:rsidRPr="001D7F74" w:rsidRDefault="00EF17BD" w:rsidP="00200CD8"/>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tblGrid>
      <w:tr w:rsidR="00EF17BD" w:rsidRPr="001B14B6" w:rsidTr="002B7311">
        <w:tc>
          <w:tcPr>
            <w:tcW w:w="3261" w:type="dxa"/>
            <w:shd w:val="clear" w:color="auto" w:fill="auto"/>
            <w:vAlign w:val="center"/>
          </w:tcPr>
          <w:p w:rsidR="00EF17BD" w:rsidRPr="001B14B6" w:rsidRDefault="00EF17BD" w:rsidP="002B7311">
            <w:pPr>
              <w:pStyle w:val="Tablehead"/>
              <w:rPr>
                <w:lang w:val="es-ES"/>
              </w:rPr>
            </w:pPr>
            <w:r w:rsidRPr="001B14B6">
              <w:rPr>
                <w:lang w:val="es-ES"/>
              </w:rPr>
              <w:t>Informes revisados</w:t>
            </w:r>
          </w:p>
        </w:tc>
        <w:tc>
          <w:tcPr>
            <w:tcW w:w="3260" w:type="dxa"/>
            <w:shd w:val="clear" w:color="auto" w:fill="auto"/>
            <w:vAlign w:val="center"/>
          </w:tcPr>
          <w:p w:rsidR="00EF17BD" w:rsidRPr="001B14B6" w:rsidRDefault="00EF17BD" w:rsidP="00E5265A">
            <w:pPr>
              <w:pStyle w:val="Tablehead"/>
              <w:rPr>
                <w:lang w:val="es-ES"/>
              </w:rPr>
            </w:pPr>
            <w:r w:rsidRPr="001B14B6">
              <w:rPr>
                <w:lang w:val="es-ES"/>
              </w:rPr>
              <w:t xml:space="preserve">Nuevos </w:t>
            </w:r>
            <w:r w:rsidR="00E5265A">
              <w:rPr>
                <w:lang w:val="es-ES"/>
              </w:rPr>
              <w:t>I</w:t>
            </w:r>
            <w:r w:rsidRPr="001B14B6">
              <w:rPr>
                <w:lang w:val="es-ES"/>
              </w:rPr>
              <w:t>nformes</w:t>
            </w:r>
          </w:p>
        </w:tc>
      </w:tr>
      <w:tr w:rsidR="00EF17BD" w:rsidRPr="001B14B6" w:rsidTr="002B7311">
        <w:tc>
          <w:tcPr>
            <w:tcW w:w="3261" w:type="dxa"/>
            <w:shd w:val="clear" w:color="auto" w:fill="auto"/>
            <w:vAlign w:val="center"/>
          </w:tcPr>
          <w:p w:rsidR="00EF17BD" w:rsidRPr="001B14B6" w:rsidRDefault="00EF17BD" w:rsidP="002B7311">
            <w:pPr>
              <w:pStyle w:val="Tabletext"/>
              <w:jc w:val="center"/>
              <w:rPr>
                <w:lang w:val="es-ES"/>
              </w:rPr>
            </w:pPr>
            <w:r w:rsidRPr="001B14B6">
              <w:rPr>
                <w:lang w:val="es-ES"/>
              </w:rPr>
              <w:t>RA.2099-1, RA.2126-1</w:t>
            </w:r>
          </w:p>
        </w:tc>
        <w:tc>
          <w:tcPr>
            <w:tcW w:w="3260" w:type="dxa"/>
            <w:shd w:val="clear" w:color="auto" w:fill="auto"/>
            <w:vAlign w:val="center"/>
          </w:tcPr>
          <w:p w:rsidR="00EF17BD" w:rsidRPr="001B14B6" w:rsidRDefault="00EF17BD" w:rsidP="002B7311">
            <w:pPr>
              <w:pStyle w:val="Tabletext"/>
              <w:jc w:val="center"/>
              <w:rPr>
                <w:lang w:val="es-ES"/>
              </w:rPr>
            </w:pPr>
            <w:r w:rsidRPr="001B14B6">
              <w:rPr>
                <w:lang w:val="es-ES"/>
              </w:rPr>
              <w:t>RA.2259-0, RA.2332-0</w:t>
            </w:r>
          </w:p>
        </w:tc>
      </w:tr>
      <w:tr w:rsidR="00EF17BD" w:rsidRPr="00EF17BD" w:rsidTr="002B7311">
        <w:tc>
          <w:tcPr>
            <w:tcW w:w="3261" w:type="dxa"/>
            <w:shd w:val="clear" w:color="auto" w:fill="auto"/>
            <w:vAlign w:val="center"/>
          </w:tcPr>
          <w:p w:rsidR="00EF17BD" w:rsidRPr="001B14B6" w:rsidRDefault="00EF17BD" w:rsidP="002B7311">
            <w:pPr>
              <w:pStyle w:val="Tabletext"/>
              <w:jc w:val="center"/>
              <w:rPr>
                <w:lang w:val="es-ES"/>
              </w:rPr>
            </w:pPr>
            <w:r w:rsidRPr="001B14B6">
              <w:rPr>
                <w:lang w:val="es-ES"/>
              </w:rPr>
              <w:t>SA.2164-1</w:t>
            </w:r>
          </w:p>
        </w:tc>
        <w:tc>
          <w:tcPr>
            <w:tcW w:w="3260" w:type="dxa"/>
            <w:shd w:val="clear" w:color="auto" w:fill="auto"/>
            <w:vAlign w:val="center"/>
          </w:tcPr>
          <w:p w:rsidR="00EF17BD" w:rsidRPr="00EF17BD" w:rsidRDefault="00EF17BD" w:rsidP="002B7311">
            <w:pPr>
              <w:pStyle w:val="Tabletext"/>
              <w:jc w:val="center"/>
              <w:rPr>
                <w:lang w:val="fr-CH"/>
              </w:rPr>
            </w:pPr>
            <w:r w:rsidRPr="00EF17BD">
              <w:rPr>
                <w:lang w:val="fr-CH"/>
              </w:rPr>
              <w:t>SA.2271-0, SA.2272-0, SA.2275-0, SA.2276-1, SA.2277-0, SA.2307-0, SA.2309-0, SA.2312-0, SA.2325-0, SA.2329-0, SA.2348-0, SA.2349-0</w:t>
            </w:r>
          </w:p>
        </w:tc>
      </w:tr>
      <w:tr w:rsidR="00EF17BD" w:rsidRPr="00EF17BD" w:rsidTr="002B7311">
        <w:tc>
          <w:tcPr>
            <w:tcW w:w="3261" w:type="dxa"/>
            <w:shd w:val="clear" w:color="auto" w:fill="auto"/>
            <w:vAlign w:val="center"/>
          </w:tcPr>
          <w:p w:rsidR="00EF17BD" w:rsidRPr="001B14B6" w:rsidRDefault="00EF17BD" w:rsidP="002B7311">
            <w:pPr>
              <w:pStyle w:val="Tabletext"/>
              <w:jc w:val="center"/>
              <w:rPr>
                <w:lang w:val="es-ES"/>
              </w:rPr>
            </w:pPr>
            <w:r w:rsidRPr="001B14B6">
              <w:rPr>
                <w:lang w:val="es-ES"/>
              </w:rPr>
              <w:t>RS.2068-1</w:t>
            </w:r>
          </w:p>
        </w:tc>
        <w:tc>
          <w:tcPr>
            <w:tcW w:w="3260" w:type="dxa"/>
            <w:shd w:val="clear" w:color="auto" w:fill="auto"/>
            <w:vAlign w:val="center"/>
          </w:tcPr>
          <w:p w:rsidR="00EF17BD" w:rsidRPr="00EF17BD" w:rsidRDefault="00EF17BD" w:rsidP="002B7311">
            <w:pPr>
              <w:pStyle w:val="Tabletext"/>
              <w:jc w:val="center"/>
              <w:rPr>
                <w:lang w:val="fr-CH"/>
              </w:rPr>
            </w:pPr>
            <w:r w:rsidRPr="00EF17BD">
              <w:rPr>
                <w:lang w:val="fr-CH"/>
              </w:rPr>
              <w:t xml:space="preserve">RS.2260-0, RS.2273-0, RS.2274-0, RS.2308-0, RS.2310-1, RS.2311-0, RS.2313-0, RS.2314-0, RS.2315-0, RS.2336-0, RS.2350-0, </w:t>
            </w:r>
          </w:p>
        </w:tc>
      </w:tr>
    </w:tbl>
    <w:p w:rsidR="00EF17BD" w:rsidRPr="001B14B6" w:rsidRDefault="00EF17BD" w:rsidP="001B14B6">
      <w:r>
        <w:t>L</w:t>
      </w:r>
      <w:r w:rsidRPr="001B14B6">
        <w:t xml:space="preserve">a CE 7 dispone actualmente de seis Manuales, dos de los cuales se han </w:t>
      </w:r>
      <w:r>
        <w:t>editado</w:t>
      </w:r>
      <w:r w:rsidRPr="001B14B6">
        <w:t xml:space="preserve"> durante este </w:t>
      </w:r>
      <w:r>
        <w:t>periodo</w:t>
      </w:r>
      <w:r w:rsidRPr="001B14B6">
        <w:t>:</w:t>
      </w:r>
    </w:p>
    <w:p w:rsidR="00EF17BD" w:rsidRPr="001B14B6" w:rsidRDefault="00EF17BD" w:rsidP="001B14B6">
      <w:pPr>
        <w:rPr>
          <w:b/>
          <w:bCs/>
        </w:rPr>
      </w:pPr>
      <w:r w:rsidRPr="001B14B6">
        <w:rPr>
          <w:b/>
          <w:bCs/>
        </w:rPr>
        <w:t xml:space="preserve">Utilización del espectro radioeléctrico </w:t>
      </w:r>
      <w:r>
        <w:rPr>
          <w:b/>
          <w:bCs/>
        </w:rPr>
        <w:t xml:space="preserve">para la observación </w:t>
      </w:r>
      <w:r w:rsidRPr="001B14B6">
        <w:rPr>
          <w:b/>
          <w:bCs/>
        </w:rPr>
        <w:t>y predicción de los fenómenos meteorológicos</w:t>
      </w:r>
      <w:r>
        <w:rPr>
          <w:b/>
          <w:bCs/>
        </w:rPr>
        <w:t>,</w:t>
      </w:r>
      <w:r w:rsidRPr="001B14B6">
        <w:rPr>
          <w:b/>
          <w:bCs/>
        </w:rPr>
        <w:t xml:space="preserve"> de los recursos hídricos</w:t>
      </w:r>
      <w:r>
        <w:rPr>
          <w:b/>
          <w:bCs/>
        </w:rPr>
        <w:t xml:space="preserve"> y del clima</w:t>
      </w:r>
      <w:r w:rsidRPr="007B7AEC">
        <w:t xml:space="preserve"> </w:t>
      </w:r>
      <w:r w:rsidRPr="001B14B6">
        <w:t>– Segunda edición del Manual de meteorología publicado conjuntamente por la UIT y la OMM en 2008 y firmado por los Secretarios Generales de estas dos Organizaciones de las Naciones Unidas, la UIT y la OMM</w:t>
      </w:r>
      <w:r w:rsidR="007B7AEC">
        <w:t>.</w:t>
      </w:r>
    </w:p>
    <w:p w:rsidR="00EF17BD" w:rsidRPr="001B14B6" w:rsidRDefault="00EF17BD" w:rsidP="007B7AEC">
      <w:r>
        <w:rPr>
          <w:b/>
          <w:bCs/>
        </w:rPr>
        <w:t>R</w:t>
      </w:r>
      <w:r w:rsidRPr="001B14B6">
        <w:rPr>
          <w:b/>
          <w:bCs/>
        </w:rPr>
        <w:t>adioastronomía</w:t>
      </w:r>
      <w:r w:rsidRPr="007B7AEC">
        <w:t xml:space="preserve"> – </w:t>
      </w:r>
      <w:r>
        <w:t>Tercera</w:t>
      </w:r>
      <w:r w:rsidRPr="001B14B6">
        <w:t xml:space="preserve"> edición del Manual de radioastronomía, revisado </w:t>
      </w:r>
      <w:r>
        <w:t>ampliamente en</w:t>
      </w:r>
      <w:r w:rsidR="007B7AEC">
        <w:t> </w:t>
      </w:r>
      <w:r>
        <w:t>2013</w:t>
      </w:r>
      <w:r w:rsidRPr="001B14B6">
        <w:t>.</w:t>
      </w:r>
    </w:p>
    <w:p w:rsidR="00EF17BD" w:rsidRDefault="00EF17BD" w:rsidP="0035453D">
      <w:r w:rsidRPr="0035453D">
        <w:rPr>
          <w:b/>
          <w:bCs/>
        </w:rPr>
        <w:t xml:space="preserve">Selección y utilización de sistemas de frecuencia y de tiempo </w:t>
      </w:r>
      <w:r>
        <w:rPr>
          <w:b/>
          <w:bCs/>
        </w:rPr>
        <w:t>de</w:t>
      </w:r>
      <w:r w:rsidRPr="0035453D">
        <w:rPr>
          <w:b/>
          <w:bCs/>
        </w:rPr>
        <w:t xml:space="preserve"> precisión</w:t>
      </w:r>
      <w:r w:rsidRPr="007B7AEC">
        <w:t xml:space="preserve"> </w:t>
      </w:r>
      <w:r w:rsidRPr="0035453D">
        <w:t xml:space="preserve">– Primera edición del Manual de Selección y utilización de sistemas de frecuencia y de tiempo </w:t>
      </w:r>
      <w:r>
        <w:t>de</w:t>
      </w:r>
      <w:r w:rsidRPr="0035453D">
        <w:t xml:space="preserve"> precisión, elaborado por el Grupo de Trabajo 7A y publicado en 1997</w:t>
      </w:r>
      <w:r w:rsidR="007B7AEC">
        <w:t>.</w:t>
      </w:r>
    </w:p>
    <w:p w:rsidR="00EF17BD" w:rsidRPr="0035453D" w:rsidRDefault="00EF17BD" w:rsidP="0035453D">
      <w:r w:rsidRPr="0035453D">
        <w:rPr>
          <w:b/>
          <w:bCs/>
        </w:rPr>
        <w:t>Comunicaciones para la investigación espacial</w:t>
      </w:r>
      <w:r w:rsidRPr="0035453D">
        <w:t xml:space="preserve"> – </w:t>
      </w:r>
      <w:r>
        <w:t>Segunda</w:t>
      </w:r>
      <w:r w:rsidRPr="0035453D">
        <w:t xml:space="preserve"> edición del Manual de Comunicaciones para la investigación espacial, publicado en 20</w:t>
      </w:r>
      <w:r>
        <w:t>14</w:t>
      </w:r>
      <w:r w:rsidRPr="0035453D">
        <w:t>.</w:t>
      </w:r>
    </w:p>
    <w:p w:rsidR="00EF17BD" w:rsidRPr="0035453D" w:rsidRDefault="00EF17BD" w:rsidP="00403956">
      <w:r w:rsidRPr="0035453D">
        <w:rPr>
          <w:b/>
          <w:bCs/>
        </w:rPr>
        <w:lastRenderedPageBreak/>
        <w:t>Transferencia y difusión por satélite de señales horarias y frecuencias</w:t>
      </w:r>
      <w:r w:rsidRPr="0035453D">
        <w:t xml:space="preserve"> – Primera edici</w:t>
      </w:r>
      <w:r>
        <w:t xml:space="preserve">ón de este manual elaborado por el Grupo de </w:t>
      </w:r>
      <w:r w:rsidR="00403956">
        <w:t>T</w:t>
      </w:r>
      <w:r>
        <w:t>rabajo 7A y publicado en</w:t>
      </w:r>
      <w:r w:rsidRPr="0035453D">
        <w:t xml:space="preserve"> 2010.</w:t>
      </w:r>
    </w:p>
    <w:p w:rsidR="00EF17BD" w:rsidRPr="00F97382" w:rsidRDefault="00EF17BD" w:rsidP="00F97382">
      <w:r w:rsidRPr="0035453D">
        <w:rPr>
          <w:b/>
          <w:bCs/>
        </w:rPr>
        <w:t xml:space="preserve">Manual </w:t>
      </w:r>
      <w:r>
        <w:rPr>
          <w:b/>
          <w:bCs/>
        </w:rPr>
        <w:t>de E</w:t>
      </w:r>
      <w:r w:rsidRPr="0035453D">
        <w:rPr>
          <w:b/>
          <w:bCs/>
        </w:rPr>
        <w:t>xploración de la Tierra por satélite</w:t>
      </w:r>
      <w:r w:rsidRPr="0035453D">
        <w:t xml:space="preserve"> – </w:t>
      </w:r>
      <w:r>
        <w:t>Nuevo manual publicado en</w:t>
      </w:r>
      <w:r w:rsidRPr="0035453D">
        <w:t xml:space="preserve"> 2011</w:t>
      </w:r>
      <w:r>
        <w:t>, reconocido asimismo en la Resolución</w:t>
      </w:r>
      <w:r w:rsidRPr="00F97382">
        <w:t xml:space="preserve"> </w:t>
      </w:r>
      <w:r w:rsidRPr="00F97382">
        <w:rPr>
          <w:b/>
        </w:rPr>
        <w:t>673 (Rev.</w:t>
      </w:r>
      <w:r>
        <w:rPr>
          <w:b/>
        </w:rPr>
        <w:t>CMR</w:t>
      </w:r>
      <w:r w:rsidRPr="00F97382">
        <w:rPr>
          <w:b/>
        </w:rPr>
        <w:t>-12)</w:t>
      </w:r>
      <w:r w:rsidRPr="00F97382">
        <w:rPr>
          <w:bCs/>
        </w:rPr>
        <w:t>.</w:t>
      </w:r>
    </w:p>
    <w:p w:rsidR="00EF17BD" w:rsidRPr="00F161D7" w:rsidRDefault="00EF17BD" w:rsidP="00F161D7">
      <w:pPr>
        <w:pStyle w:val="Heading1"/>
      </w:pPr>
      <w:r w:rsidRPr="00F161D7">
        <w:t>6</w:t>
      </w:r>
      <w:r w:rsidRPr="00F161D7">
        <w:tab/>
        <w:t>Preparación de las conferencias de radiocomunicaciones</w:t>
      </w:r>
    </w:p>
    <w:p w:rsidR="00EF17BD" w:rsidRPr="00F97382" w:rsidRDefault="00EF17BD" w:rsidP="00F97382">
      <w:r w:rsidRPr="00F97382">
        <w:t>El orden del día de la Conferencia Mundial de Radiocomunicaciones de 201</w:t>
      </w:r>
      <w:r>
        <w:t>5</w:t>
      </w:r>
      <w:r w:rsidRPr="00F97382">
        <w:t xml:space="preserve"> ha </w:t>
      </w:r>
      <w:r>
        <w:t>servido de punto de partida para numerosas actividades de</w:t>
      </w:r>
      <w:r w:rsidRPr="00F97382">
        <w:t xml:space="preserve"> la CE 7 y sus </w:t>
      </w:r>
      <w:r>
        <w:t>Grupos de Trabajo desde 2012</w:t>
      </w:r>
      <w:r w:rsidRPr="00F97382">
        <w:t xml:space="preserve">. </w:t>
      </w:r>
    </w:p>
    <w:p w:rsidR="00EF17BD" w:rsidRPr="00717EB4" w:rsidRDefault="00EF17BD" w:rsidP="00717EB4">
      <w:r w:rsidRPr="00717EB4">
        <w:t xml:space="preserve">Los </w:t>
      </w:r>
      <w:r>
        <w:t>Grupos de Trabajo</w:t>
      </w:r>
      <w:r w:rsidRPr="00717EB4">
        <w:t xml:space="preserve"> de la CE 7</w:t>
      </w:r>
      <w:r w:rsidR="00995DE9">
        <w:t xml:space="preserve"> </w:t>
      </w:r>
      <w:r w:rsidRPr="00717EB4">
        <w:t xml:space="preserve">han aportado contribuciones </w:t>
      </w:r>
      <w:r>
        <w:t>relativas a los puntos</w:t>
      </w:r>
      <w:r w:rsidRPr="00717EB4">
        <w:t xml:space="preserve"> 1.1, 1.6, 1.9, 1.0, 1.17, 1.18 </w:t>
      </w:r>
      <w:r>
        <w:t>y 9.1.1 del orden del día</w:t>
      </w:r>
      <w:r w:rsidR="00E5265A">
        <w:t>.</w:t>
      </w:r>
    </w:p>
    <w:p w:rsidR="00EF17BD" w:rsidRDefault="00EF17BD" w:rsidP="00E5265A">
      <w:r>
        <w:t>El</w:t>
      </w:r>
      <w:r w:rsidRPr="00A54491">
        <w:t xml:space="preserve"> GT 7</w:t>
      </w:r>
      <w:r>
        <w:t>A estuvo encargado del punto 1.4 del orden del día, en lo concerniente a la posibilidad de fijar</w:t>
      </w:r>
      <w:r w:rsidRPr="00A54491">
        <w:t xml:space="preserve"> una escala de tiempo de referencia continua</w:t>
      </w:r>
      <w:r>
        <w:t xml:space="preserve">. Este punto del orden del día se estableció a raíz del debate que tuvo lugar en la AR-12 sobre la aprobación de las modificaciones propuestas de las Recomendaciones UIT-R TF.460-6. Dichas modificaciones trataban sobre la supresión del segundo intercalar en la definición de la </w:t>
      </w:r>
      <w:r w:rsidRPr="000C62EF">
        <w:t>escala de tiempo de referencia continua</w:t>
      </w:r>
      <w:r>
        <w:t xml:space="preserve"> (UTC). Puesto que no se alcanzó ningún consenso y no hubo ninguna posibilidad de adoptar la Recomendación en el marco de la CE, el </w:t>
      </w:r>
      <w:r w:rsidR="00E5265A">
        <w:t>P</w:t>
      </w:r>
      <w:r>
        <w:t xml:space="preserve">residente de la CE 7 decidió presentarla a la AR, si bien como consecuencia de la falta de conocimientos y la postura de numerosas administraciones se decidió que tuviera una mayor audiencia como punto del orden del día de la CMR-15. </w:t>
      </w:r>
    </w:p>
    <w:p w:rsidR="00EF17BD" w:rsidRPr="000C62EF" w:rsidRDefault="00EF17BD" w:rsidP="000C62EF">
      <w:r w:rsidRPr="000C62EF">
        <w:t xml:space="preserve">El GT 7B </w:t>
      </w:r>
      <w:r>
        <w:t>estuvo encargado de los puntos</w:t>
      </w:r>
      <w:r w:rsidRPr="000C62EF">
        <w:t xml:space="preserve"> 1.11, 1.13 </w:t>
      </w:r>
      <w:r>
        <w:t>y</w:t>
      </w:r>
      <w:r w:rsidRPr="000C62EF">
        <w:t xml:space="preserve"> 9.1.8</w:t>
      </w:r>
      <w:r>
        <w:t xml:space="preserve"> del orden del día</w:t>
      </w:r>
      <w:r w:rsidRPr="000C62EF">
        <w:t xml:space="preserve">. </w:t>
      </w:r>
    </w:p>
    <w:p w:rsidR="00EF17BD" w:rsidRPr="0000550F" w:rsidRDefault="007B7AEC" w:rsidP="007F43CE">
      <w:pPr>
        <w:pStyle w:val="enumlev1"/>
      </w:pPr>
      <w:r>
        <w:t>•</w:t>
      </w:r>
      <w:r>
        <w:tab/>
      </w:r>
      <w:r w:rsidR="00EF17BD" w:rsidRPr="0000550F">
        <w:t>El punto 1.11 trata sobre una nueva atribución al SETS (</w:t>
      </w:r>
      <w:r w:rsidR="007F43CE">
        <w:t>T</w:t>
      </w:r>
      <w:r w:rsidR="00EF17BD" w:rsidRPr="0000550F">
        <w:t>ier</w:t>
      </w:r>
      <w:r w:rsidR="007F43CE">
        <w:t>r</w:t>
      </w:r>
      <w:r w:rsidR="00EF17BD" w:rsidRPr="0000550F">
        <w:t xml:space="preserve">a-espacio) </w:t>
      </w:r>
      <w:r w:rsidR="00EF17BD">
        <w:t>en la gama</w:t>
      </w:r>
      <w:r>
        <w:t> </w:t>
      </w:r>
      <w:r w:rsidR="00EF17BD" w:rsidRPr="0000550F">
        <w:t>7</w:t>
      </w:r>
      <w:r>
        <w:noBreakHyphen/>
      </w:r>
      <w:r w:rsidR="00EF17BD" w:rsidRPr="0000550F">
        <w:t>8</w:t>
      </w:r>
      <w:r>
        <w:t> </w:t>
      </w:r>
      <w:r w:rsidR="00EF17BD" w:rsidRPr="0000550F">
        <w:t>GHz</w:t>
      </w:r>
      <w:r w:rsidR="00EF17BD">
        <w:t>, para la que el GT 7B elaboró 5 nuevos informes</w:t>
      </w:r>
      <w:r w:rsidR="00EF17BD" w:rsidRPr="0000550F">
        <w:t xml:space="preserve">. </w:t>
      </w:r>
    </w:p>
    <w:p w:rsidR="00EF17BD" w:rsidRPr="0000550F" w:rsidRDefault="007B7AEC" w:rsidP="007B7AEC">
      <w:pPr>
        <w:pStyle w:val="enumlev1"/>
      </w:pPr>
      <w:r>
        <w:t>•</w:t>
      </w:r>
      <w:r>
        <w:tab/>
      </w:r>
      <w:r w:rsidR="00EF17BD" w:rsidRPr="0000550F">
        <w:t>El punto 1.13 trata sobre la posibilidad de aumentar la limitación de distancia de 5 km para el servicio de investigación espacial (</w:t>
      </w:r>
      <w:r w:rsidR="00EF17BD">
        <w:t>espacio-espacio</w:t>
      </w:r>
      <w:r w:rsidR="00EF17BD" w:rsidRPr="0000550F">
        <w:t>)</w:t>
      </w:r>
      <w:r w:rsidR="00EF17BD">
        <w:t>, con objeto de permitir la utilización de la banda</w:t>
      </w:r>
      <w:r w:rsidR="00EF17BD" w:rsidRPr="0000550F">
        <w:t xml:space="preserve"> 401-420 MHz </w:t>
      </w:r>
      <w:r w:rsidR="00EF17BD">
        <w:t>para operaciones de proximidad en la comunicación de vehículos espaciales con aeronaves espaciales tripuladas</w:t>
      </w:r>
      <w:r w:rsidR="00EF17BD" w:rsidRPr="0000550F">
        <w:t xml:space="preserve">; </w:t>
      </w:r>
      <w:r w:rsidR="00EF17BD">
        <w:t>este punto del orden del día dio lugar a la elaboración de un nuevo informe</w:t>
      </w:r>
      <w:r w:rsidR="00EF17BD" w:rsidRPr="0000550F">
        <w:t>.</w:t>
      </w:r>
    </w:p>
    <w:p w:rsidR="00EF17BD" w:rsidRPr="0000550F" w:rsidRDefault="007B7AEC" w:rsidP="007B7AEC">
      <w:pPr>
        <w:pStyle w:val="enumlev1"/>
      </w:pPr>
      <w:r>
        <w:t>•</w:t>
      </w:r>
      <w:r>
        <w:tab/>
      </w:r>
      <w:r w:rsidR="00EF17BD" w:rsidRPr="0000550F">
        <w:t>El punto 9.1.8 trata sobre los aspectos reglamentarios de los nanosatélites y los picosatélite</w:t>
      </w:r>
      <w:r w:rsidR="00EF17BD">
        <w:t>s, tema de un informe del GT 7B</w:t>
      </w:r>
      <w:r w:rsidR="00EF17BD" w:rsidRPr="0000550F">
        <w:t>.</w:t>
      </w:r>
    </w:p>
    <w:p w:rsidR="00EF17BD" w:rsidRPr="00734151" w:rsidRDefault="00EF17BD" w:rsidP="00734151">
      <w:r w:rsidRPr="00734151">
        <w:t>El GT 7C estuvo encargado del punto 1.12 del orden del d</w:t>
      </w:r>
      <w:r>
        <w:t xml:space="preserve">ía relativo a la ampliación del SETS (banda activa </w:t>
      </w:r>
      <w:r w:rsidRPr="00734151">
        <w:t>9 300</w:t>
      </w:r>
      <w:r w:rsidRPr="00734151">
        <w:noBreakHyphen/>
        <w:t xml:space="preserve">9 900 MHz </w:t>
      </w:r>
      <w:r>
        <w:t>hasta</w:t>
      </w:r>
      <w:r w:rsidRPr="00734151">
        <w:t xml:space="preserve"> 600 MHz</w:t>
      </w:r>
      <w:r>
        <w:t xml:space="preserve">). El GT 7C elaboró tres Recomendaciones y cuatro Informes al respecto. </w:t>
      </w:r>
    </w:p>
    <w:p w:rsidR="00EF17BD" w:rsidRPr="00734151" w:rsidRDefault="00EF17BD" w:rsidP="000C62EF">
      <w:pPr>
        <w:pStyle w:val="Heading1"/>
      </w:pPr>
      <w:r w:rsidRPr="00734151">
        <w:t>7</w:t>
      </w:r>
      <w:r w:rsidRPr="00734151">
        <w:tab/>
        <w:t>Personal</w:t>
      </w:r>
    </w:p>
    <w:p w:rsidR="00EF17BD" w:rsidRPr="00734151" w:rsidRDefault="00EF17BD" w:rsidP="00E5265A">
      <w:r w:rsidRPr="00734151">
        <w:t>El equipo establecido al comienzo del per</w:t>
      </w:r>
      <w:r w:rsidR="00E5265A">
        <w:t>i</w:t>
      </w:r>
      <w:r>
        <w:t>odo de estudios permaneció invariable hasta el final de dicho per</w:t>
      </w:r>
      <w:r w:rsidR="00E5265A">
        <w:t>i</w:t>
      </w:r>
      <w:r>
        <w:t xml:space="preserve">odo. La labor de la CE y de los GT se realizó bajo la eficiente presidencia de las personas mencionadas en la Sección 1 del presente </w:t>
      </w:r>
      <w:r w:rsidR="00E5265A">
        <w:t>I</w:t>
      </w:r>
      <w:r>
        <w:t>nforme, y con la ayuda y buena voluntad de cooperación de todos los delegados que participaron en las a</w:t>
      </w:r>
      <w:r w:rsidR="007B7AEC">
        <w:t>ctividades de la CE 7 y sus GT.</w:t>
      </w:r>
    </w:p>
    <w:p w:rsidR="00EF17BD" w:rsidRPr="00734151" w:rsidRDefault="00EF17BD" w:rsidP="00E5265A">
      <w:r w:rsidRPr="00734151">
        <w:t xml:space="preserve">Como </w:t>
      </w:r>
      <w:r w:rsidR="00E5265A">
        <w:t>P</w:t>
      </w:r>
      <w:r w:rsidRPr="00734151">
        <w:t xml:space="preserve">residente de la CE 7, deseo manifestar mi gratitud </w:t>
      </w:r>
      <w:r>
        <w:t xml:space="preserve">a todas las personas que han participado durante casi cuatro años de intensa labor. </w:t>
      </w:r>
    </w:p>
    <w:p w:rsidR="00EF17BD" w:rsidRPr="002B7311" w:rsidRDefault="00EF17BD" w:rsidP="00E5265A">
      <w:r w:rsidRPr="00734151">
        <w:t>El Sr</w:t>
      </w:r>
      <w:r w:rsidR="007F43CE">
        <w:t>.</w:t>
      </w:r>
      <w:r w:rsidRPr="00734151">
        <w:t xml:space="preserve"> MARELLI, </w:t>
      </w:r>
      <w:r w:rsidR="00E5265A">
        <w:t>P</w:t>
      </w:r>
      <w:r w:rsidRPr="00734151">
        <w:t>resident</w:t>
      </w:r>
      <w:r>
        <w:t>e</w:t>
      </w:r>
      <w:r w:rsidRPr="00734151">
        <w:t xml:space="preserve"> del GT 7C,</w:t>
      </w:r>
      <w:r>
        <w:t xml:space="preserve"> mencionó su próxima jubilación, y el nuevo equipo decidirá cómo se organizará el trabajo, en el que al menos un presidente del GT será sustituido. </w:t>
      </w:r>
      <w:r w:rsidRPr="002B7311">
        <w:t>Quisiera agradecer sinceramente al Sr. MARELLI su labor como Presidente del GT 7C.</w:t>
      </w:r>
    </w:p>
    <w:p w:rsidR="00EF17BD" w:rsidRPr="002B7311" w:rsidRDefault="00EF17BD" w:rsidP="002B7311">
      <w:pPr>
        <w:pStyle w:val="Heading1"/>
      </w:pPr>
      <w:r w:rsidRPr="002B7311">
        <w:lastRenderedPageBreak/>
        <w:t>8</w:t>
      </w:r>
      <w:r w:rsidRPr="002B7311">
        <w:tab/>
        <w:t>Método de trabajo</w:t>
      </w:r>
    </w:p>
    <w:p w:rsidR="00EF17BD" w:rsidRPr="002B7311" w:rsidRDefault="00EF17BD" w:rsidP="002B7311">
      <w:pPr>
        <w:pStyle w:val="Heading2"/>
      </w:pPr>
      <w:r w:rsidRPr="002B7311">
        <w:t>8.1</w:t>
      </w:r>
      <w:r w:rsidRPr="002B7311">
        <w:tab/>
        <w:t xml:space="preserve">Reuniones </w:t>
      </w:r>
    </w:p>
    <w:p w:rsidR="00EF17BD" w:rsidRPr="002B7311" w:rsidRDefault="00EF17BD" w:rsidP="00BB7EAC">
      <w:r>
        <w:t>Ha existido una estrecha</w:t>
      </w:r>
      <w:r w:rsidRPr="002B7311">
        <w:t xml:space="preserve"> sincronía entre el número y la duración de las reuniones de la CE y la obtención de resultados en los GT. Es conveniente planificar las fechas de la reunión anual de la CE con un año de antelación</w:t>
      </w:r>
      <w:r>
        <w:t>, aproximadamente,</w:t>
      </w:r>
      <w:r w:rsidRPr="002B7311">
        <w:t xml:space="preserve"> de modo que pueda cancelarse </w:t>
      </w:r>
      <w:r>
        <w:t xml:space="preserve">una reunión </w:t>
      </w:r>
      <w:r w:rsidRPr="002B7311">
        <w:t xml:space="preserve">seis meses antes de la fecha o fechas previstas si los GT indican que no disponen de documentos suficientes para </w:t>
      </w:r>
      <w:r>
        <w:t>el debate</w:t>
      </w:r>
      <w:r w:rsidRPr="002B7311">
        <w:t xml:space="preserve">. A la vista del resultado de las reuniones del Grupo de Dirección, se tomó la decisión de no celebrar reuniones de la CE </w:t>
      </w:r>
      <w:r>
        <w:t>cada año</w:t>
      </w:r>
      <w:r w:rsidRPr="002B7311">
        <w:t>.</w:t>
      </w:r>
    </w:p>
    <w:p w:rsidR="00EF17BD" w:rsidRPr="00BB7EAC" w:rsidRDefault="00EF17BD" w:rsidP="00BB7EAC">
      <w:r w:rsidRPr="00BB7EAC">
        <w:t xml:space="preserve">Las reuniones de la CE se celebraron </w:t>
      </w:r>
      <w:r>
        <w:t xml:space="preserve">en dos ocasiones </w:t>
      </w:r>
      <w:r w:rsidRPr="00BB7EAC">
        <w:t xml:space="preserve">en dos días laborables no consecutivos, </w:t>
      </w:r>
      <w:r>
        <w:t>entre</w:t>
      </w:r>
      <w:r w:rsidRPr="00BB7EAC">
        <w:t xml:space="preserve"> las reuniones del Grupo de Trabajo. De este modo, en caso de dificultades en la adopción o aprobación de una Recomendación, Informe o Cuestión, cabía la posibilidad de </w:t>
      </w:r>
      <w:r>
        <w:t xml:space="preserve">retener el documento </w:t>
      </w:r>
      <w:r w:rsidRPr="00BB7EAC">
        <w:t>en la CE para celebrar debates oficiosos a fin de resolver los problemas durante el segundo día de la reunión. En muchos casos, este método de trabajo</w:t>
      </w:r>
      <w:r>
        <w:t xml:space="preserve"> </w:t>
      </w:r>
      <w:r w:rsidRPr="00BB7EAC">
        <w:t>ha demostrado ser una herramienta muy útil para superar estas dificultades.</w:t>
      </w:r>
    </w:p>
    <w:p w:rsidR="00EF17BD" w:rsidRPr="00BB7EAC" w:rsidRDefault="00EF17BD" w:rsidP="00BB7EAC">
      <w:r w:rsidRPr="00BB7EAC">
        <w:t xml:space="preserve">Los cuatro Grupos de Trabajo se reunieron </w:t>
      </w:r>
      <w:r>
        <w:t>simultáneamente; no obstante,</w:t>
      </w:r>
      <w:r w:rsidRPr="00BB7EAC">
        <w:t xml:space="preserve"> </w:t>
      </w:r>
      <w:r>
        <w:t>a fin de</w:t>
      </w:r>
      <w:r w:rsidRPr="00BB7EAC">
        <w:t xml:space="preserve"> facilitar la plena participación de las delegaciones </w:t>
      </w:r>
      <w:r>
        <w:t>de menor tamaño</w:t>
      </w:r>
      <w:r w:rsidRPr="00BB7EAC">
        <w:t xml:space="preserve"> en los debates y </w:t>
      </w:r>
      <w:r>
        <w:t xml:space="preserve">las </w:t>
      </w:r>
      <w:r w:rsidRPr="00BB7EAC">
        <w:t xml:space="preserve">decisiones </w:t>
      </w:r>
      <w:r>
        <w:t>de su interés</w:t>
      </w:r>
      <w:r w:rsidRPr="00BB7EAC">
        <w:t xml:space="preserve">, la apertura y la clausura de las reuniones de los GT se escalonaron en la medida de lo posible </w:t>
      </w:r>
      <w:r>
        <w:t>para</w:t>
      </w:r>
      <w:r w:rsidRPr="00BB7EAC">
        <w:t xml:space="preserve"> mejorar el acceso y adaptarse a las necesidades del Consejero de la BR, en caso de necesidad.</w:t>
      </w:r>
    </w:p>
    <w:p w:rsidR="00EF17BD" w:rsidRPr="00EC542F" w:rsidRDefault="00EF17BD" w:rsidP="00EC542F">
      <w:pPr>
        <w:pStyle w:val="Heading2"/>
      </w:pPr>
      <w:r w:rsidRPr="00EC542F">
        <w:t>8.2</w:t>
      </w:r>
      <w:r w:rsidRPr="00EC542F">
        <w:tab/>
      </w:r>
      <w:r>
        <w:t>Lista de consentimiento</w:t>
      </w:r>
    </w:p>
    <w:p w:rsidR="00EF17BD" w:rsidRPr="00EC542F" w:rsidRDefault="00EF17BD" w:rsidP="00D22CE5">
      <w:r>
        <w:t>S</w:t>
      </w:r>
      <w:r w:rsidRPr="00EC542F">
        <w:t>e prevé celebrar la reunión de la CE dos días discontinuos, separados por una reunión de cuatro días de los GT. En el primer día de reunión de la CE, se examinan los documentos que figuran en el orden del día publicado, uno por uno. Si no se reciben objeciones al texto de un determinado documento, se «acuerda» (no adopta), junto con el método de presentación utilizado, para someterlo a la aprobación de los Estados Miembros. Todos los documentos con «texto acordado» se anexan a una lista de consentimiento que se examina previamente en bloque, en la apertura del segundo día de reunión de la CE. La lista de consentimiento se publica en la dirección web de la UIT en el plazo de 24 horas, con el fin de facilitar la tarea de los miembros/las delegaciones que no pueden prescindir de sus directivos durante seis días o más, y deciden participar únicamente el segundo día de la reunión de la CE.</w:t>
      </w:r>
    </w:p>
    <w:p w:rsidR="00EF17BD" w:rsidRPr="00EC542F" w:rsidRDefault="00EF17BD" w:rsidP="00EC542F">
      <w:r w:rsidRPr="00EC542F">
        <w:t>En el caso de presentarse objeciones o suscitar debates durante el primer día de la reunión, se abrevia el análisis y el documento se devuelve al GT de que se trate para que se estudie con detenimiento y se introduzcan las modificaciones pertinentes. El GT puede aprovechar la presencia de los autores de las objeciones para resolver los problemas.</w:t>
      </w:r>
    </w:p>
    <w:p w:rsidR="00EF17BD" w:rsidRPr="00EC542F" w:rsidRDefault="00EF17BD" w:rsidP="00EC542F">
      <w:r w:rsidRPr="00EC542F">
        <w:t>La lista de consentimiento se inscribe en uno de los primeros puntos del orden del día del segundo día de reunión de la CE. La lista de documentos (lista de consentimiento) se lee en bloque y, de quedar acordada, se consideran adoptados todos los elementos de la lista. Cualquier objeción que se presente a un elemento de la lista de consentimiento equivale a suprimir dicho elemento de la lista y examinarlo con mayor detenimiento más adelante ese mismo día.</w:t>
      </w:r>
    </w:p>
    <w:p w:rsidR="00EF17BD" w:rsidRDefault="00EF17BD" w:rsidP="00EC542F">
      <w:r w:rsidRPr="00EC542F">
        <w:t>El resto del segundo día de reunión de la CE se dedica a someter a consideración los documentos que no se han acordado el primer día (siempre y cuando los problemas se hayan resuelto amistosamente) y los nuevos elementos procedentes de la reunión del GT que: a) estén en su «punto de madurez», como se describe anteriormente, o b) se requieran urgentemente (por ejemplo, para una CMR). Estos elementos nuevos no se adoptarían, sino que se someterían a una adopción y aprobación simultáneas.</w:t>
      </w:r>
    </w:p>
    <w:p w:rsidR="00EF17BD" w:rsidRPr="00EC542F" w:rsidRDefault="00EF17BD" w:rsidP="00BA70DF">
      <w:r w:rsidRPr="001622D9">
        <w:lastRenderedPageBreak/>
        <w:t>En el caso de Recomendaciones cuya discusión estaba prevista para el segundo día de reunión de la</w:t>
      </w:r>
      <w:r w:rsidR="00BA70DF">
        <w:t> </w:t>
      </w:r>
      <w:r w:rsidRPr="001622D9">
        <w:t>CE, se someterían, si así lo acordara la CE, a adopción por correspondencia y posteriormente a aprobación por correspondencia.</w:t>
      </w:r>
    </w:p>
    <w:p w:rsidR="00EF17BD" w:rsidRPr="00EC542F" w:rsidRDefault="00EF17BD" w:rsidP="00995DE9">
      <w:r w:rsidRPr="00EC542F">
        <w:t>Este método, que se ha empleado durante el presente periodo, ha permitido mejorar la eficacia de la</w:t>
      </w:r>
      <w:r w:rsidR="00995DE9">
        <w:t> </w:t>
      </w:r>
      <w:r w:rsidRPr="00EC542F">
        <w:t>CE.</w:t>
      </w:r>
    </w:p>
    <w:p w:rsidR="00EF17BD" w:rsidRPr="001622D9" w:rsidRDefault="00EF17BD" w:rsidP="001622D9">
      <w:pPr>
        <w:pStyle w:val="Heading1"/>
      </w:pPr>
      <w:r w:rsidRPr="001622D9">
        <w:t>9</w:t>
      </w:r>
      <w:r w:rsidRPr="001622D9">
        <w:tab/>
        <w:t>Propuesta de modificación del Apéndice 7</w:t>
      </w:r>
    </w:p>
    <w:p w:rsidR="00EF17BD" w:rsidRPr="00A1115F" w:rsidRDefault="00EF17BD" w:rsidP="00E5265A">
      <w:r w:rsidRPr="001622D9">
        <w:t>En el actual per</w:t>
      </w:r>
      <w:r w:rsidR="007B7AEC">
        <w:t>i</w:t>
      </w:r>
      <w:r w:rsidRPr="001622D9">
        <w:t xml:space="preserve">odo de estudios, el Grupo de </w:t>
      </w:r>
      <w:r w:rsidR="00E5265A">
        <w:t>T</w:t>
      </w:r>
      <w:r w:rsidRPr="001622D9">
        <w:t>rabajo 7B ha elaborado un informe sobre la protecci</w:t>
      </w:r>
      <w:r>
        <w:t xml:space="preserve">ón de las estaciones terrenas del SETS de las estaciones de aeronave en la banda </w:t>
      </w:r>
      <w:r w:rsidR="00E5265A" w:rsidRPr="002E6FFE">
        <w:t>2</w:t>
      </w:r>
      <w:r w:rsidR="00E5265A">
        <w:t> </w:t>
      </w:r>
      <w:r w:rsidR="00E5265A" w:rsidRPr="002E6FFE">
        <w:t>200</w:t>
      </w:r>
      <w:r w:rsidR="00E5265A">
        <w:noBreakHyphen/>
      </w:r>
      <w:r w:rsidR="00E5265A" w:rsidRPr="002E6FFE">
        <w:t xml:space="preserve">2 290 </w:t>
      </w:r>
      <w:r w:rsidRPr="00A1115F">
        <w:t xml:space="preserve">MHz (Informe UIT-R </w:t>
      </w:r>
      <w:hyperlink r:id="rId10" w:history="1">
        <w:r w:rsidRPr="00E5265A">
          <w:t>SA.2276</w:t>
        </w:r>
      </w:hyperlink>
      <w:r w:rsidRPr="00A1115F">
        <w:t xml:space="preserve">), </w:t>
      </w:r>
      <w:r>
        <w:t>que fue adoptado posteriormente por la Comisión de Estudio</w:t>
      </w:r>
      <w:r w:rsidR="007B7AEC">
        <w:t> </w:t>
      </w:r>
      <w:r>
        <w:t xml:space="preserve">7. En este </w:t>
      </w:r>
      <w:r w:rsidR="00E5265A">
        <w:t>I</w:t>
      </w:r>
      <w:r>
        <w:t xml:space="preserve">nforme se proporcionan las distancias de separación entre las estaciones de aeronave y varias estaciones terrenas del SETS con respecto a la altitud de la aeronave con objeto de proteger las estaciones terrenas del SETS. </w:t>
      </w:r>
      <w:r w:rsidRPr="00A1115F">
        <w:t xml:space="preserve">Los resultados demuestran que la actual distancia de coordinación </w:t>
      </w:r>
      <w:r>
        <w:t>predeterminada</w:t>
      </w:r>
      <w:r w:rsidRPr="00A1115F">
        <w:t xml:space="preserve"> </w:t>
      </w:r>
      <w:r>
        <w:t>de</w:t>
      </w:r>
      <w:r w:rsidRPr="00A1115F">
        <w:t xml:space="preserve"> 500 km</w:t>
      </w:r>
      <w:r>
        <w:t xml:space="preserve"> que figura</w:t>
      </w:r>
      <w:r w:rsidRPr="00A1115F">
        <w:t xml:space="preserve"> </w:t>
      </w:r>
      <w:r>
        <w:t>en el Cuadro 10</w:t>
      </w:r>
      <w:r w:rsidR="00E5265A">
        <w:t xml:space="preserve">, </w:t>
      </w:r>
      <w:r>
        <w:t>Anexo 7</w:t>
      </w:r>
      <w:r w:rsidR="00E5265A">
        <w:t xml:space="preserve">, </w:t>
      </w:r>
      <w:r>
        <w:t xml:space="preserve">Apéndice </w:t>
      </w:r>
      <w:r w:rsidRPr="00E5265A">
        <w:rPr>
          <w:b/>
        </w:rPr>
        <w:t>7</w:t>
      </w:r>
      <w:r>
        <w:t xml:space="preserve"> del Reglamento de Radiocomunicaciones (RR), no es suficiente para proteger las estaciones terrenas del SETS, y que actualmente se necesitarían </w:t>
      </w:r>
      <w:r w:rsidR="007B7AEC">
        <w:t xml:space="preserve">880 </w:t>
      </w:r>
      <w:r w:rsidR="00E5265A">
        <w:t>km</w:t>
      </w:r>
      <w:r w:rsidR="007B7AEC">
        <w:t xml:space="preserve"> para dicha protección. </w:t>
      </w:r>
      <w:r>
        <w:t xml:space="preserve">Sobre la base de este informe, la Comisión de Estudio 7 ha aprobado la Recomendación UIT-R </w:t>
      </w:r>
      <w:r w:rsidRPr="00A1115F">
        <w:t>SA.2078-0</w:t>
      </w:r>
      <w:r>
        <w:t xml:space="preserve">, en la que se recomienda utilizar una distancia de coordinación de 880 </w:t>
      </w:r>
      <w:r w:rsidR="00E5265A">
        <w:t>km</w:t>
      </w:r>
      <w:r>
        <w:t xml:space="preserve"> entre las estaciones terrenas del SETS y las estaciones de aeronave. </w:t>
      </w:r>
    </w:p>
    <w:p w:rsidR="00EF17BD" w:rsidRPr="002E6FFE" w:rsidRDefault="00EF17BD" w:rsidP="00BA70DF">
      <w:r>
        <w:t>En la última fila del Cuadro 10</w:t>
      </w:r>
      <w:r w:rsidR="00BA70DF">
        <w:t xml:space="preserve">, </w:t>
      </w:r>
      <w:r>
        <w:t>Anexo 7</w:t>
      </w:r>
      <w:r w:rsidR="00BA70DF">
        <w:t xml:space="preserve">, </w:t>
      </w:r>
      <w:r>
        <w:t xml:space="preserve">Apéndice </w:t>
      </w:r>
      <w:r w:rsidRPr="005A009E">
        <w:rPr>
          <w:b/>
          <w:bCs/>
        </w:rPr>
        <w:t>7</w:t>
      </w:r>
      <w:r>
        <w:t xml:space="preserve"> del actual Reglamento de Radiocomunicaciones se especifica una distancia de coordinación predeterminada de 500 </w:t>
      </w:r>
      <w:r w:rsidR="00E5265A">
        <w:t>km</w:t>
      </w:r>
      <w:r>
        <w:t xml:space="preserve"> entre las estaciones móviles (de aeronave) y las estaciones terrenas en las bandas en las que </w:t>
      </w:r>
      <w:r w:rsidRPr="002E6FFE">
        <w:t xml:space="preserve">la compartición de frecuencias no </w:t>
      </w:r>
      <w:r>
        <w:t>se observa en otras filas. Puesto que en el actual Cuadro 10 no se incluye ninguna fila en la que se especifique la distancia de coordinación necesaria entre las estaciones del servicio de investigación espacial y las estaciones móviles (de aeronave) en la banda</w:t>
      </w:r>
      <w:r w:rsidR="00BA70DF">
        <w:t> </w:t>
      </w:r>
      <w:r w:rsidRPr="002E6FFE">
        <w:t>2 200-2 290 MHz</w:t>
      </w:r>
      <w:r>
        <w:t>, las administraciones pueden utilizar una dist</w:t>
      </w:r>
      <w:r w:rsidR="00E5265A">
        <w:t>ancia de coordinación de 500</w:t>
      </w:r>
      <w:r w:rsidR="00BA70DF">
        <w:t> </w:t>
      </w:r>
      <w:r w:rsidR="00E5265A">
        <w:t>km</w:t>
      </w:r>
      <w:r>
        <w:t xml:space="preserve"> entre dicha estaciones. </w:t>
      </w:r>
    </w:p>
    <w:p w:rsidR="00EF17BD" w:rsidRPr="002E6FFE" w:rsidRDefault="00EF17BD" w:rsidP="002E6FFE">
      <w:r w:rsidRPr="002E6FFE">
        <w:t xml:space="preserve">En el </w:t>
      </w:r>
      <w:hyperlink r:id="rId11" w:history="1">
        <w:r w:rsidRPr="00336B11">
          <w:rPr>
            <w:rStyle w:val="Hyperlink"/>
            <w:u w:val="single"/>
          </w:rPr>
          <w:t>Docume</w:t>
        </w:r>
        <w:r w:rsidRPr="00336B11">
          <w:rPr>
            <w:rStyle w:val="Hyperlink"/>
            <w:u w:val="single"/>
          </w:rPr>
          <w:t>n</w:t>
        </w:r>
        <w:r w:rsidRPr="00336B11">
          <w:rPr>
            <w:rStyle w:val="Hyperlink"/>
            <w:u w:val="single"/>
          </w:rPr>
          <w:t>to 7/1005</w:t>
        </w:r>
      </w:hyperlink>
      <w:r w:rsidRPr="002E6FFE">
        <w:t>, en consecuencia,</w:t>
      </w:r>
      <w:r>
        <w:t xml:space="preserve"> se propone añadir una nueva fila al Cuadro 10, Anexo 7 en el Apéndice </w:t>
      </w:r>
      <w:r w:rsidRPr="00E5265A">
        <w:rPr>
          <w:b/>
        </w:rPr>
        <w:t>7</w:t>
      </w:r>
      <w:r>
        <w:t xml:space="preserve"> del RR, para especificar la distancia de coordinación necesaria entre las estaciones de aeronave y las estaciones terrenas del SETS en la banda </w:t>
      </w:r>
      <w:r w:rsidRPr="002E6FFE">
        <w:t>2 200-2 290 MHz</w:t>
      </w:r>
      <w:r>
        <w:t xml:space="preserve">. </w:t>
      </w:r>
    </w:p>
    <w:p w:rsidR="00EF17BD" w:rsidRPr="001D7F74" w:rsidRDefault="00EF17BD" w:rsidP="00E5265A">
      <w:r w:rsidRPr="002E6FFE">
        <w:t xml:space="preserve">De conformidad con la Resolución </w:t>
      </w:r>
      <w:r w:rsidRPr="00E5265A">
        <w:rPr>
          <w:b/>
          <w:bCs/>
        </w:rPr>
        <w:t>74 (Rev.CMR-03)</w:t>
      </w:r>
      <w:r>
        <w:t xml:space="preserve">, en la que se reseña el proceso de retención de las bases técnicas del actual Apéndice </w:t>
      </w:r>
      <w:r w:rsidRPr="00E5265A">
        <w:rPr>
          <w:b/>
          <w:bCs/>
        </w:rPr>
        <w:t>7</w:t>
      </w:r>
      <w:r>
        <w:t xml:space="preserve">, la Comisión de Estudio 7 solicita la opinión de la </w:t>
      </w:r>
      <w:r w:rsidR="00E5265A">
        <w:t>A</w:t>
      </w:r>
      <w:r>
        <w:t xml:space="preserve">samblea de Radiocomunicaciones en relación con la confirmación de la necesidad de modificar los parámetros de coordinación del Apéndice </w:t>
      </w:r>
      <w:r w:rsidRPr="00BA70DF">
        <w:rPr>
          <w:b/>
          <w:bCs/>
        </w:rPr>
        <w:t>7</w:t>
      </w:r>
      <w:r>
        <w:t xml:space="preserve">. </w:t>
      </w:r>
      <w:r w:rsidRPr="00A76AF5">
        <w:t xml:space="preserve">Con arreglo al </w:t>
      </w:r>
      <w:r w:rsidR="00E5265A" w:rsidRPr="00E5265A">
        <w:rPr>
          <w:i/>
          <w:iCs/>
        </w:rPr>
        <w:t>r</w:t>
      </w:r>
      <w:r w:rsidRPr="00E5265A">
        <w:rPr>
          <w:i/>
          <w:iCs/>
        </w:rPr>
        <w:t>esue</w:t>
      </w:r>
      <w:r w:rsidR="007B7AEC" w:rsidRPr="00E5265A">
        <w:rPr>
          <w:i/>
          <w:iCs/>
        </w:rPr>
        <w:t>lve</w:t>
      </w:r>
      <w:r w:rsidR="007B7AEC">
        <w:t xml:space="preserve"> 2 de la Resolución </w:t>
      </w:r>
      <w:r w:rsidR="007B7AEC" w:rsidRPr="00E5265A">
        <w:rPr>
          <w:b/>
          <w:bCs/>
        </w:rPr>
        <w:t>74 (Rev.</w:t>
      </w:r>
      <w:r w:rsidRPr="00E5265A">
        <w:rPr>
          <w:b/>
          <w:bCs/>
        </w:rPr>
        <w:t>CMR-03)</w:t>
      </w:r>
      <w:r w:rsidRPr="00A76AF5">
        <w:t>, el Director de la Oficina de</w:t>
      </w:r>
      <w:r>
        <w:t xml:space="preserve"> Radiocomunicaciones abordará la cuestión en el in</w:t>
      </w:r>
      <w:r w:rsidR="007B7AEC">
        <w:t>forme del Director a la CMR-15.</w:t>
      </w:r>
    </w:p>
    <w:p w:rsidR="00EF17BD" w:rsidRPr="00A76AF5" w:rsidRDefault="00EF17BD" w:rsidP="00200CD8">
      <w:pPr>
        <w:pStyle w:val="Heading1"/>
      </w:pPr>
      <w:r w:rsidRPr="00A76AF5">
        <w:t>10</w:t>
      </w:r>
      <w:r w:rsidRPr="00A76AF5">
        <w:tab/>
        <w:t>Conclusiones</w:t>
      </w:r>
    </w:p>
    <w:p w:rsidR="00EF17BD" w:rsidRPr="00A76AF5" w:rsidRDefault="00EF17BD" w:rsidP="00E5265A">
      <w:r w:rsidRPr="00A76AF5">
        <w:t>La CE ha trabajado intensamente durante este periodo</w:t>
      </w:r>
      <w:r>
        <w:t xml:space="preserve"> de estudios</w:t>
      </w:r>
      <w:r w:rsidRPr="00A76AF5">
        <w:t>. Ha completado su labor en lo relativo a la preparación de la CMR-1</w:t>
      </w:r>
      <w:r>
        <w:t>5</w:t>
      </w:r>
      <w:r w:rsidRPr="00A76AF5">
        <w:t xml:space="preserve">, adoptando y aprobando todos los Informes y Recomendaciones considerados fundamentales en los métodos propuestos que se describían en el Informe de la RPC. La colaboración entre todas las administraciones y </w:t>
      </w:r>
      <w:r w:rsidR="00E5265A">
        <w:t>M</w:t>
      </w:r>
      <w:r w:rsidRPr="00A76AF5">
        <w:t>iembros del Sector ha sido ejemplar.</w:t>
      </w:r>
    </w:p>
    <w:p w:rsidR="00EF17BD" w:rsidRPr="00A76AF5" w:rsidRDefault="00EF17BD" w:rsidP="00A76AF5">
      <w:r w:rsidRPr="00A76AF5">
        <w:t xml:space="preserve">La revisión de las Recomendaciones y Cuestiones liderada por los Vicepresidentes y por los Presidentes de los GT </w:t>
      </w:r>
      <w:r>
        <w:t>conllevó</w:t>
      </w:r>
      <w:r w:rsidRPr="00A76AF5">
        <w:t xml:space="preserve"> la supresión de varias Recomendaciones, y su sustitución por Informes más adecuados, hecho que ha conducido a un mejor equilibrio en la distribución de </w:t>
      </w:r>
      <w:r w:rsidRPr="00A76AF5">
        <w:lastRenderedPageBreak/>
        <w:t>Recomendaciones e Informes y que ha permitido, al mismo tiempo, que estudios con información valiosa sigan siendo competencia de la CE.</w:t>
      </w:r>
    </w:p>
    <w:p w:rsidR="00EF17BD" w:rsidRPr="00A76AF5" w:rsidRDefault="00EF17BD" w:rsidP="00A76AF5">
      <w:pPr>
        <w:pStyle w:val="Heading1"/>
      </w:pPr>
      <w:r w:rsidRPr="00A76AF5">
        <w:t>11</w:t>
      </w:r>
      <w:r w:rsidRPr="00A76AF5">
        <w:tab/>
        <w:t>Clausura</w:t>
      </w:r>
    </w:p>
    <w:p w:rsidR="00EF17BD" w:rsidRPr="00A76AF5" w:rsidRDefault="00EF17BD" w:rsidP="00200CD8">
      <w:r w:rsidRPr="00A76AF5">
        <w:t>En calidad de Presidente de la Comisión de Estudio 7, quisiera expresar mi más sincero agradecimiento a los Presidentes de los Grupos de Trabajo que han dirigido los estudios durante los últimos cuatro años. Su labor ha sido ejemplar y toda la Comisión de Estudio ha valorado su liderazgo. También quisiera dar las gracias a los Vicepresidentes de la Comisión de Estudio, cuya colaboración ha sido muy valiosa y su estudio de las tareas asignadas, diligente. El asesoramiento que han brindado en el marco del Grupo de Dirección ha sido muy importante en muchos casos y ha permitido a la Comisión de Estudio alcanzar sus objetivos.</w:t>
      </w:r>
    </w:p>
    <w:p w:rsidR="00EF17BD" w:rsidRPr="00A76AF5" w:rsidRDefault="00EF17BD" w:rsidP="00A76AF5">
      <w:r w:rsidRPr="00A76AF5">
        <w:t xml:space="preserve">No puedo expresar suficientemente mi respeto y admiración por el personal de la Oficina de Radiocomunicaciones, en todos los niveles de la jerarquía. </w:t>
      </w:r>
      <w:r>
        <w:t>He</w:t>
      </w:r>
      <w:r w:rsidRPr="00A76AF5">
        <w:t xml:space="preserve"> tenido el privilegio de trabajar con </w:t>
      </w:r>
      <w:r>
        <w:t>el Sr.</w:t>
      </w:r>
      <w:r w:rsidRPr="00A76AF5">
        <w:t xml:space="preserve"> Vadim NOZDRIN</w:t>
      </w:r>
      <w:r>
        <w:t xml:space="preserve"> en calidad de consejero</w:t>
      </w:r>
      <w:r w:rsidRPr="00A76AF5">
        <w:t xml:space="preserve">. Ha sido un auténtico placer trabajar con </w:t>
      </w:r>
      <w:r>
        <w:t>él</w:t>
      </w:r>
      <w:r w:rsidRPr="00A76AF5">
        <w:t>.</w:t>
      </w:r>
    </w:p>
    <w:p w:rsidR="00EF17BD" w:rsidRDefault="00EF17BD" w:rsidP="00200CD8">
      <w:r w:rsidRPr="00A76AF5">
        <w:t>Quiero expresar mi más sincero agradecimiento a todos los participantes en la Comisión de Estudio. Ha sido un honor y un privilegio servirles en los últimos cuatro años.</w:t>
      </w:r>
    </w:p>
    <w:p w:rsidR="007B7AEC" w:rsidRDefault="007B7AEC" w:rsidP="0032202E">
      <w:pPr>
        <w:pStyle w:val="Reasons"/>
      </w:pPr>
    </w:p>
    <w:p w:rsidR="007B7AEC" w:rsidRDefault="007B7AEC">
      <w:pPr>
        <w:jc w:val="center"/>
      </w:pPr>
      <w:r>
        <w:t>______________</w:t>
      </w:r>
      <w:bookmarkStart w:id="11" w:name="_GoBack"/>
      <w:bookmarkEnd w:id="11"/>
    </w:p>
    <w:sectPr w:rsidR="007B7AE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7B" w:rsidRDefault="00AC547B">
      <w:r>
        <w:separator/>
      </w:r>
    </w:p>
  </w:endnote>
  <w:endnote w:type="continuationSeparator" w:id="0">
    <w:p w:rsidR="00AC547B" w:rsidRDefault="00AC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44429F">
      <w:rPr>
        <w:noProof/>
        <w:lang w:val="en-US"/>
      </w:rPr>
      <w:t>P:\ESP\ITU-R\SG-R\SG07\1000\1001S.docx</w:t>
    </w:r>
    <w:r>
      <w:fldChar w:fldCharType="end"/>
    </w:r>
    <w:r>
      <w:rPr>
        <w:lang w:val="en-US"/>
      </w:rPr>
      <w:tab/>
    </w:r>
    <w:r>
      <w:fldChar w:fldCharType="begin"/>
    </w:r>
    <w:r>
      <w:instrText xml:space="preserve"> SAVEDATE \@ DD.MM.YY </w:instrText>
    </w:r>
    <w:r>
      <w:fldChar w:fldCharType="separate"/>
    </w:r>
    <w:r w:rsidR="0044429F">
      <w:rPr>
        <w:noProof/>
      </w:rPr>
      <w:t>16.10.15</w:t>
    </w:r>
    <w:r>
      <w:fldChar w:fldCharType="end"/>
    </w:r>
    <w:r>
      <w:rPr>
        <w:lang w:val="en-US"/>
      </w:rPr>
      <w:tab/>
    </w:r>
    <w:r>
      <w:fldChar w:fldCharType="begin"/>
    </w:r>
    <w:r>
      <w:instrText xml:space="preserve"> PRINTDATE \@ DD.MM.YY </w:instrText>
    </w:r>
    <w:r>
      <w:fldChar w:fldCharType="separate"/>
    </w:r>
    <w:r w:rsidR="0044429F">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7B7AEC" w:rsidRDefault="007B7AEC" w:rsidP="007B7AEC">
    <w:pPr>
      <w:pStyle w:val="Footer"/>
    </w:pPr>
    <w:fldSimple w:instr=" FILENAME \p  \* MERGEFORMAT ">
      <w:r w:rsidR="0044429F">
        <w:t>P:\ESP\ITU-R\SG-R\SG07\1000\1001S.docx</w:t>
      </w:r>
    </w:fldSimple>
    <w:r>
      <w:t xml:space="preserve"> (383155)</w:t>
    </w:r>
    <w:r>
      <w:tab/>
    </w:r>
    <w:r>
      <w:fldChar w:fldCharType="begin"/>
    </w:r>
    <w:r>
      <w:instrText xml:space="preserve"> SAVEDATE \@ DD.MM.YY </w:instrText>
    </w:r>
    <w:r>
      <w:fldChar w:fldCharType="separate"/>
    </w:r>
    <w:r w:rsidR="0044429F">
      <w:t>16.10.15</w:t>
    </w:r>
    <w:r>
      <w:fldChar w:fldCharType="end"/>
    </w:r>
    <w:r>
      <w:tab/>
    </w:r>
    <w:r>
      <w:fldChar w:fldCharType="begin"/>
    </w:r>
    <w:r>
      <w:instrText xml:space="preserve"> PRINTDATE \@ DD.MM.YY </w:instrText>
    </w:r>
    <w:r>
      <w:fldChar w:fldCharType="separate"/>
    </w:r>
    <w:r w:rsidR="0044429F">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7B7AEC" w:rsidRDefault="007B7AEC" w:rsidP="007B7AEC">
    <w:pPr>
      <w:pStyle w:val="Footer"/>
    </w:pPr>
    <w:r>
      <w:fldChar w:fldCharType="begin"/>
    </w:r>
    <w:r>
      <w:instrText xml:space="preserve"> FILENAME \p  \* MERGEFORMAT </w:instrText>
    </w:r>
    <w:r>
      <w:fldChar w:fldCharType="separate"/>
    </w:r>
    <w:r w:rsidR="0044429F">
      <w:t>P:\ESP\ITU-R\SG-R\SG07\1000\1001S.docx</w:t>
    </w:r>
    <w:r>
      <w:fldChar w:fldCharType="end"/>
    </w:r>
    <w:r>
      <w:t xml:space="preserve"> (383155)</w:t>
    </w:r>
    <w:r>
      <w:tab/>
    </w:r>
    <w:r>
      <w:fldChar w:fldCharType="begin"/>
    </w:r>
    <w:r>
      <w:instrText xml:space="preserve"> SAVEDATE \@ DD.MM.YY </w:instrText>
    </w:r>
    <w:r>
      <w:fldChar w:fldCharType="separate"/>
    </w:r>
    <w:r w:rsidR="0044429F">
      <w:t>16.10.15</w:t>
    </w:r>
    <w:r>
      <w:fldChar w:fldCharType="end"/>
    </w:r>
    <w:r>
      <w:tab/>
    </w:r>
    <w:r>
      <w:fldChar w:fldCharType="begin"/>
    </w:r>
    <w:r>
      <w:instrText xml:space="preserve"> PRINTDATE \@ DD.MM.YY </w:instrText>
    </w:r>
    <w:r>
      <w:fldChar w:fldCharType="separate"/>
    </w:r>
    <w:r w:rsidR="0044429F">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7B" w:rsidRDefault="00AC547B">
      <w:r>
        <w:rPr>
          <w:b/>
        </w:rPr>
        <w:t>_______________</w:t>
      </w:r>
    </w:p>
  </w:footnote>
  <w:footnote w:type="continuationSeparator" w:id="0">
    <w:p w:rsidR="00AC547B" w:rsidRDefault="00AC5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7B" w:rsidRDefault="00AC547B">
    <w:pPr>
      <w:pStyle w:val="Header"/>
    </w:pPr>
    <w:r>
      <w:t xml:space="preserve">- </w:t>
    </w:r>
    <w:r>
      <w:fldChar w:fldCharType="begin"/>
    </w:r>
    <w:r>
      <w:instrText xml:space="preserve"> PAGE  \* MERGEFORMAT </w:instrText>
    </w:r>
    <w:r>
      <w:fldChar w:fldCharType="separate"/>
    </w:r>
    <w:r w:rsidR="00FB3A4B">
      <w:rPr>
        <w:noProof/>
      </w:rPr>
      <w:t>7</w:t>
    </w:r>
    <w:r>
      <w:fldChar w:fldCharType="end"/>
    </w:r>
    <w:r>
      <w:t xml:space="preserve"> -</w:t>
    </w:r>
  </w:p>
  <w:p w:rsidR="00AC547B" w:rsidRDefault="00AC547B">
    <w:pPr>
      <w:pStyle w:val="Header"/>
    </w:pPr>
    <w:r>
      <w:t>7</w:t>
    </w:r>
    <w:r w:rsidR="00EF17BD">
      <w:t>/1001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8EF6E11"/>
    <w:multiLevelType w:val="hybridMultilevel"/>
    <w:tmpl w:val="B7B2A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7B"/>
    <w:rsid w:val="00012B52"/>
    <w:rsid w:val="00016A7C"/>
    <w:rsid w:val="00020ACE"/>
    <w:rsid w:val="001721DD"/>
    <w:rsid w:val="002334F2"/>
    <w:rsid w:val="002B6243"/>
    <w:rsid w:val="00336B11"/>
    <w:rsid w:val="00403956"/>
    <w:rsid w:val="00412124"/>
    <w:rsid w:val="0044429F"/>
    <w:rsid w:val="00466F3C"/>
    <w:rsid w:val="005335D1"/>
    <w:rsid w:val="005648DF"/>
    <w:rsid w:val="005A009E"/>
    <w:rsid w:val="005C4F7E"/>
    <w:rsid w:val="006050EE"/>
    <w:rsid w:val="00693CB4"/>
    <w:rsid w:val="007B7AEC"/>
    <w:rsid w:val="007F43CE"/>
    <w:rsid w:val="008246E6"/>
    <w:rsid w:val="008E02B6"/>
    <w:rsid w:val="009630C4"/>
    <w:rsid w:val="00995DE9"/>
    <w:rsid w:val="00AC547B"/>
    <w:rsid w:val="00AF7660"/>
    <w:rsid w:val="00BA70DF"/>
    <w:rsid w:val="00BF1023"/>
    <w:rsid w:val="00C278F8"/>
    <w:rsid w:val="00DE35E9"/>
    <w:rsid w:val="00E01901"/>
    <w:rsid w:val="00E5265A"/>
    <w:rsid w:val="00EB5C7B"/>
    <w:rsid w:val="00EF17BD"/>
    <w:rsid w:val="00FB3A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3DE66DA-5E62-48D6-A462-C2B9686D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rsid w:val="00EF17BD"/>
    <w:rPr>
      <w:color w:val="0000FF"/>
      <w:u w:val="none"/>
    </w:rPr>
  </w:style>
  <w:style w:type="paragraph" w:styleId="ListParagraph">
    <w:name w:val="List Paragraph"/>
    <w:basedOn w:val="Normal"/>
    <w:uiPriority w:val="34"/>
    <w:qFormat/>
    <w:rsid w:val="00EF17BD"/>
    <w:pPr>
      <w:ind w:left="720"/>
      <w:contextualSpacing/>
    </w:pPr>
    <w:rPr>
      <w:lang w:val="en-GB"/>
    </w:rPr>
  </w:style>
  <w:style w:type="character" w:styleId="FollowedHyperlink">
    <w:name w:val="FollowedHyperlink"/>
    <w:basedOn w:val="DefaultParagraphFont"/>
    <w:semiHidden/>
    <w:unhideWhenUsed/>
    <w:rsid w:val="00EF1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7-RP-1005/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pub/R-REP-SA.2276-2013/es" TargetMode="External"/><Relationship Id="rId4" Type="http://schemas.openxmlformats.org/officeDocument/2006/relationships/settings" Target="settings.xml"/><Relationship Id="rId9" Type="http://schemas.openxmlformats.org/officeDocument/2006/relationships/hyperlink" Target="http://www.itu.int/md/R12-SG07-C/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C4E8-CB25-46B8-8BFC-0520D61B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82</TotalTime>
  <Pages>7</Pages>
  <Words>2987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18495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7</cp:revision>
  <cp:lastPrinted>2015-10-16T07:46:00Z</cp:lastPrinted>
  <dcterms:created xsi:type="dcterms:W3CDTF">2015-10-16T07:08:00Z</dcterms:created>
  <dcterms:modified xsi:type="dcterms:W3CDTF">2015-10-16T09:33:00Z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