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57735F">
        <w:trPr>
          <w:cantSplit/>
        </w:trPr>
        <w:tc>
          <w:tcPr>
            <w:tcW w:w="6468" w:type="dxa"/>
          </w:tcPr>
          <w:p w:rsidR="00703FFC" w:rsidRPr="0057735F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57735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57735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57735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57735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57735F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57735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57735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57735F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57735F">
              <w:rPr>
                <w:lang w:val="ru-RU" w:eastAsia="zh-CN"/>
              </w:rPr>
              <w:drawing>
                <wp:inline distT="0" distB="0" distL="0" distR="0" wp14:anchorId="349BDBA6" wp14:editId="5A46339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57735F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57735F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57735F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57735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57735F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57735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57735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57735F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57735F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57735F" w:rsidRDefault="00AD4505" w:rsidP="0058095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58095A"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</w:t>
            </w:r>
            <w:r w:rsidR="003E26B6"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58095A"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1001</w:t>
            </w:r>
            <w:r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57735F">
        <w:trPr>
          <w:cantSplit/>
          <w:trHeight w:val="23"/>
        </w:trPr>
        <w:tc>
          <w:tcPr>
            <w:tcW w:w="6468" w:type="dxa"/>
            <w:vMerge/>
          </w:tcPr>
          <w:p w:rsidR="00943EBD" w:rsidRPr="0057735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57735F" w:rsidRDefault="0058095A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 сентября</w:t>
            </w:r>
            <w:r w:rsidR="00AD4505"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57735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57735F">
        <w:trPr>
          <w:cantSplit/>
          <w:trHeight w:val="23"/>
        </w:trPr>
        <w:tc>
          <w:tcPr>
            <w:tcW w:w="6468" w:type="dxa"/>
            <w:vMerge/>
          </w:tcPr>
          <w:p w:rsidR="00943EBD" w:rsidRPr="0057735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57735F" w:rsidRDefault="00943EBD" w:rsidP="000433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58095A" w:rsidRPr="0057735F">
        <w:trPr>
          <w:cantSplit/>
        </w:trPr>
        <w:tc>
          <w:tcPr>
            <w:tcW w:w="10031" w:type="dxa"/>
            <w:gridSpan w:val="2"/>
          </w:tcPr>
          <w:p w:rsidR="0058095A" w:rsidRPr="0057735F" w:rsidRDefault="0058095A" w:rsidP="0058095A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57735F">
              <w:rPr>
                <w:lang w:val="ru-RU"/>
              </w:rPr>
              <w:t>Председатель 7-й Исследовательской комиссии по радиосвязи</w:t>
            </w:r>
          </w:p>
        </w:tc>
      </w:tr>
      <w:tr w:rsidR="0058095A" w:rsidRPr="0057735F">
        <w:trPr>
          <w:cantSplit/>
        </w:trPr>
        <w:tc>
          <w:tcPr>
            <w:tcW w:w="10031" w:type="dxa"/>
            <w:gridSpan w:val="2"/>
          </w:tcPr>
          <w:p w:rsidR="0058095A" w:rsidRPr="0057735F" w:rsidRDefault="0058095A" w:rsidP="0058095A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57735F">
              <w:rPr>
                <w:lang w:val="ru-RU"/>
              </w:rPr>
              <w:t>отчет председателя</w:t>
            </w:r>
          </w:p>
        </w:tc>
      </w:tr>
      <w:tr w:rsidR="0058095A" w:rsidRPr="0057735F">
        <w:trPr>
          <w:cantSplit/>
        </w:trPr>
        <w:tc>
          <w:tcPr>
            <w:tcW w:w="10031" w:type="dxa"/>
            <w:gridSpan w:val="2"/>
          </w:tcPr>
          <w:p w:rsidR="0058095A" w:rsidRPr="0057735F" w:rsidRDefault="0058095A" w:rsidP="0058095A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57735F">
              <w:rPr>
                <w:lang w:val="ru-RU" w:eastAsia="zh-CN"/>
              </w:rPr>
              <w:t>научные службы</w:t>
            </w:r>
          </w:p>
        </w:tc>
      </w:tr>
      <w:tr w:rsidR="00943EBD" w:rsidRPr="0057735F">
        <w:trPr>
          <w:cantSplit/>
        </w:trPr>
        <w:tc>
          <w:tcPr>
            <w:tcW w:w="10031" w:type="dxa"/>
            <w:gridSpan w:val="2"/>
          </w:tcPr>
          <w:p w:rsidR="00943EBD" w:rsidRPr="0057735F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58095A" w:rsidRPr="0057735F" w:rsidRDefault="0058095A" w:rsidP="007D1C8C">
      <w:pPr>
        <w:pStyle w:val="Heading1"/>
        <w:spacing w:before="120"/>
        <w:rPr>
          <w:sz w:val="24"/>
          <w:szCs w:val="24"/>
          <w:lang w:val="ru-RU"/>
        </w:rPr>
      </w:pPr>
      <w:r w:rsidRPr="0057735F">
        <w:rPr>
          <w:sz w:val="24"/>
          <w:szCs w:val="24"/>
          <w:lang w:val="ru-RU"/>
        </w:rPr>
        <w:t>1</w:t>
      </w:r>
      <w:r w:rsidRPr="0057735F">
        <w:rPr>
          <w:sz w:val="24"/>
          <w:szCs w:val="24"/>
          <w:lang w:val="ru-RU"/>
        </w:rPr>
        <w:tab/>
        <w:t>Введение</w:t>
      </w:r>
    </w:p>
    <w:p w:rsidR="0058095A" w:rsidRPr="0057735F" w:rsidRDefault="0058095A" w:rsidP="00853F66">
      <w:pPr>
        <w:rPr>
          <w:lang w:val="ru-RU"/>
        </w:rPr>
      </w:pPr>
      <w:r w:rsidRPr="0057735F">
        <w:rPr>
          <w:lang w:val="ru-RU"/>
        </w:rPr>
        <w:t>В соответствии с Резолюцией МСЭ-R 4-6 7-я Исследовательская комиссия МСЭ-R (</w:t>
      </w:r>
      <w:proofErr w:type="spellStart"/>
      <w:r w:rsidRPr="0057735F">
        <w:rPr>
          <w:lang w:val="ru-RU"/>
        </w:rPr>
        <w:t>ИК7</w:t>
      </w:r>
      <w:bookmarkStart w:id="11" w:name="_GoBack"/>
      <w:bookmarkEnd w:id="11"/>
      <w:proofErr w:type="spellEnd"/>
      <w:r w:rsidRPr="0057735F">
        <w:rPr>
          <w:lang w:val="ru-RU"/>
        </w:rPr>
        <w:t xml:space="preserve">) изучает темы, имеющие значение и представляющие интерес для научных служб, к которым относятся служба передачи сигналов времени и </w:t>
      </w:r>
      <w:r w:rsidR="00853F66" w:rsidRPr="0057735F">
        <w:rPr>
          <w:lang w:val="ru-RU"/>
        </w:rPr>
        <w:t xml:space="preserve">стандартных </w:t>
      </w:r>
      <w:r w:rsidRPr="0057735F">
        <w:rPr>
          <w:lang w:val="ru-RU"/>
        </w:rPr>
        <w:t xml:space="preserve">частот, служба космических исследований, спутниковая служба исследования Земли, служба космической эксплуатации, </w:t>
      </w:r>
      <w:r w:rsidR="00853F66" w:rsidRPr="0057735F">
        <w:rPr>
          <w:lang w:val="ru-RU"/>
        </w:rPr>
        <w:t xml:space="preserve">метеорологическая </w:t>
      </w:r>
      <w:r w:rsidRPr="0057735F">
        <w:rPr>
          <w:lang w:val="ru-RU"/>
        </w:rPr>
        <w:t>служба, радиоастрономическая служба и служба радиолокационной астрономии. Избранными должностными лицами ИК являются:</w:t>
      </w:r>
    </w:p>
    <w:p w:rsidR="0058095A" w:rsidRPr="0057735F" w:rsidRDefault="0058095A" w:rsidP="00DD7119">
      <w:pPr>
        <w:tabs>
          <w:tab w:val="clear" w:pos="1134"/>
          <w:tab w:val="clear" w:pos="1871"/>
          <w:tab w:val="clear" w:pos="2268"/>
          <w:tab w:val="left" w:pos="2835"/>
          <w:tab w:val="left" w:pos="5387"/>
        </w:tabs>
        <w:rPr>
          <w:lang w:val="ru-RU"/>
        </w:rPr>
      </w:pPr>
      <w:proofErr w:type="gramStart"/>
      <w:r w:rsidRPr="0057735F">
        <w:rPr>
          <w:lang w:val="ru-RU"/>
        </w:rPr>
        <w:t>Председатель:</w:t>
      </w:r>
      <w:r w:rsidRPr="0057735F">
        <w:rPr>
          <w:lang w:val="ru-RU"/>
        </w:rPr>
        <w:tab/>
      </w:r>
      <w:proofErr w:type="gramEnd"/>
      <w:r w:rsidRPr="0057735F">
        <w:rPr>
          <w:lang w:val="ru-RU"/>
        </w:rPr>
        <w:t xml:space="preserve">г-н В. </w:t>
      </w:r>
      <w:proofErr w:type="spellStart"/>
      <w:r w:rsidRPr="0057735F">
        <w:rPr>
          <w:lang w:val="ru-RU"/>
        </w:rPr>
        <w:t>МЕЕНС</w:t>
      </w:r>
      <w:proofErr w:type="spellEnd"/>
      <w:r w:rsidRPr="0057735F">
        <w:rPr>
          <w:lang w:val="ru-RU"/>
        </w:rPr>
        <w:tab/>
        <w:t>(Франция)</w:t>
      </w:r>
    </w:p>
    <w:p w:rsidR="00AF37E3" w:rsidRPr="0057735F" w:rsidRDefault="0058095A" w:rsidP="00DD7119">
      <w:pPr>
        <w:tabs>
          <w:tab w:val="clear" w:pos="1134"/>
          <w:tab w:val="clear" w:pos="1871"/>
          <w:tab w:val="clear" w:pos="2268"/>
          <w:tab w:val="left" w:pos="2835"/>
          <w:tab w:val="left" w:pos="5387"/>
        </w:tabs>
        <w:rPr>
          <w:lang w:val="ru-RU"/>
        </w:rPr>
      </w:pPr>
      <w:r w:rsidRPr="0057735F">
        <w:rPr>
          <w:lang w:val="ru-RU"/>
        </w:rPr>
        <w:t xml:space="preserve">Заместители </w:t>
      </w:r>
      <w:proofErr w:type="gramStart"/>
      <w:r w:rsidRPr="0057735F">
        <w:rPr>
          <w:lang w:val="ru-RU"/>
        </w:rPr>
        <w:t>Председателя:</w:t>
      </w:r>
      <w:r w:rsidRPr="0057735F">
        <w:rPr>
          <w:lang w:val="ru-RU"/>
        </w:rPr>
        <w:tab/>
      </w:r>
      <w:proofErr w:type="gramEnd"/>
      <w:r w:rsidR="00DD7119" w:rsidRPr="0057735F">
        <w:rPr>
          <w:lang w:val="ru-RU"/>
        </w:rPr>
        <w:t>д-р</w:t>
      </w:r>
      <w:r w:rsidR="00AF37E3" w:rsidRPr="0057735F">
        <w:rPr>
          <w:lang w:val="ru-RU"/>
        </w:rPr>
        <w:t xml:space="preserve"> A. </w:t>
      </w:r>
      <w:r w:rsidR="00DD7119" w:rsidRPr="0057735F">
        <w:rPr>
          <w:lang w:val="ru-RU"/>
        </w:rPr>
        <w:t>АЛЬ</w:t>
      </w:r>
      <w:r w:rsidR="00AF37E3" w:rsidRPr="0057735F">
        <w:rPr>
          <w:lang w:val="ru-RU"/>
        </w:rPr>
        <w:t>-</w:t>
      </w:r>
      <w:proofErr w:type="spellStart"/>
      <w:r w:rsidR="00DD7119" w:rsidRPr="0057735F">
        <w:rPr>
          <w:lang w:val="ru-RU"/>
        </w:rPr>
        <w:t>АРАЙМИ</w:t>
      </w:r>
      <w:proofErr w:type="spellEnd"/>
      <w:r w:rsidR="00AF37E3" w:rsidRPr="0057735F">
        <w:rPr>
          <w:lang w:val="ru-RU"/>
        </w:rPr>
        <w:tab/>
        <w:t>(</w:t>
      </w:r>
      <w:r w:rsidR="00DD7119" w:rsidRPr="0057735F">
        <w:rPr>
          <w:lang w:val="ru-RU"/>
        </w:rPr>
        <w:t>Султанат Оман</w:t>
      </w:r>
      <w:r w:rsidR="00AF37E3" w:rsidRPr="0057735F">
        <w:rPr>
          <w:lang w:val="ru-RU"/>
        </w:rPr>
        <w:t>)</w:t>
      </w:r>
    </w:p>
    <w:p w:rsidR="00AF37E3" w:rsidRPr="0057735F" w:rsidRDefault="00DD7119" w:rsidP="00E14DA5">
      <w:pPr>
        <w:tabs>
          <w:tab w:val="clear" w:pos="1134"/>
          <w:tab w:val="clear" w:pos="1871"/>
          <w:tab w:val="clear" w:pos="2268"/>
          <w:tab w:val="left" w:pos="2835"/>
          <w:tab w:val="left" w:pos="5387"/>
        </w:tabs>
        <w:spacing w:before="0"/>
        <w:rPr>
          <w:lang w:val="ru-RU"/>
        </w:rPr>
      </w:pPr>
      <w:r w:rsidRPr="0057735F">
        <w:rPr>
          <w:lang w:val="ru-RU"/>
        </w:rPr>
        <w:tab/>
        <w:t>д-р</w:t>
      </w:r>
      <w:r w:rsidR="00AF37E3" w:rsidRPr="0057735F">
        <w:rPr>
          <w:lang w:val="ru-RU"/>
        </w:rPr>
        <w:t xml:space="preserve"> </w:t>
      </w:r>
      <w:proofErr w:type="spellStart"/>
      <w:r w:rsidR="0058095A" w:rsidRPr="0057735F">
        <w:rPr>
          <w:lang w:val="ru-RU"/>
        </w:rPr>
        <w:t>Х.С</w:t>
      </w:r>
      <w:proofErr w:type="spellEnd"/>
      <w:r w:rsidR="0058095A" w:rsidRPr="0057735F">
        <w:rPr>
          <w:lang w:val="ru-RU"/>
        </w:rPr>
        <w:t xml:space="preserve">. </w:t>
      </w:r>
      <w:proofErr w:type="spellStart"/>
      <w:r w:rsidR="0058095A" w:rsidRPr="0057735F">
        <w:rPr>
          <w:lang w:val="ru-RU"/>
        </w:rPr>
        <w:t>ЧОН</w:t>
      </w:r>
      <w:proofErr w:type="spellEnd"/>
      <w:proofErr w:type="gramStart"/>
      <w:r w:rsidR="0058095A" w:rsidRPr="0057735F">
        <w:rPr>
          <w:lang w:val="ru-RU"/>
        </w:rPr>
        <w:tab/>
        <w:t>(</w:t>
      </w:r>
      <w:proofErr w:type="gramEnd"/>
      <w:r w:rsidR="0058095A" w:rsidRPr="0057735F">
        <w:rPr>
          <w:lang w:val="ru-RU"/>
        </w:rPr>
        <w:t>Республика Корея)</w:t>
      </w:r>
    </w:p>
    <w:p w:rsidR="00DD7119" w:rsidRPr="0057735F" w:rsidRDefault="00DD7119" w:rsidP="00E14DA5">
      <w:pPr>
        <w:tabs>
          <w:tab w:val="clear" w:pos="1134"/>
          <w:tab w:val="clear" w:pos="1871"/>
          <w:tab w:val="clear" w:pos="2268"/>
          <w:tab w:val="left" w:pos="2835"/>
          <w:tab w:val="left" w:pos="5387"/>
        </w:tabs>
        <w:spacing w:before="0"/>
        <w:rPr>
          <w:lang w:val="ru-RU"/>
        </w:rPr>
      </w:pPr>
      <w:r w:rsidRPr="0057735F">
        <w:rPr>
          <w:lang w:val="ru-RU"/>
        </w:rPr>
        <w:tab/>
        <w:t>г-н</w:t>
      </w:r>
      <w:r w:rsidR="00AF37E3" w:rsidRPr="0057735F">
        <w:rPr>
          <w:lang w:val="ru-RU"/>
        </w:rPr>
        <w:t xml:space="preserve"> </w:t>
      </w:r>
      <w:proofErr w:type="spellStart"/>
      <w:r w:rsidRPr="0057735F">
        <w:rPr>
          <w:lang w:val="ru-RU"/>
        </w:rPr>
        <w:t>У</w:t>
      </w:r>
      <w:r w:rsidR="00AF37E3" w:rsidRPr="0057735F">
        <w:rPr>
          <w:lang w:val="ru-RU"/>
        </w:rPr>
        <w:t>.K</w:t>
      </w:r>
      <w:proofErr w:type="spellEnd"/>
      <w:r w:rsidR="00AF37E3" w:rsidRPr="0057735F">
        <w:rPr>
          <w:lang w:val="ru-RU"/>
        </w:rPr>
        <w:t xml:space="preserve">. </w:t>
      </w:r>
      <w:proofErr w:type="spellStart"/>
      <w:r w:rsidRPr="0057735F">
        <w:rPr>
          <w:lang w:val="ru-RU"/>
        </w:rPr>
        <w:t>ШРИВАСТАВА</w:t>
      </w:r>
      <w:proofErr w:type="spellEnd"/>
      <w:proofErr w:type="gramStart"/>
      <w:r w:rsidR="00AF37E3" w:rsidRPr="0057735F">
        <w:rPr>
          <w:lang w:val="ru-RU"/>
        </w:rPr>
        <w:tab/>
        <w:t>(</w:t>
      </w:r>
      <w:proofErr w:type="gramEnd"/>
      <w:r w:rsidRPr="0057735F">
        <w:rPr>
          <w:lang w:val="ru-RU"/>
        </w:rPr>
        <w:t>Республика Индия</w:t>
      </w:r>
      <w:r w:rsidR="00AF37E3" w:rsidRPr="0057735F">
        <w:rPr>
          <w:lang w:val="ru-RU"/>
        </w:rPr>
        <w:t>)</w:t>
      </w:r>
    </w:p>
    <w:p w:rsidR="00DD7119" w:rsidRPr="0057735F" w:rsidRDefault="00DD7119" w:rsidP="00E14DA5">
      <w:pPr>
        <w:tabs>
          <w:tab w:val="clear" w:pos="1134"/>
          <w:tab w:val="clear" w:pos="1871"/>
          <w:tab w:val="clear" w:pos="2268"/>
          <w:tab w:val="left" w:pos="2835"/>
          <w:tab w:val="left" w:pos="5387"/>
        </w:tabs>
        <w:spacing w:before="0"/>
        <w:rPr>
          <w:lang w:val="ru-RU"/>
        </w:rPr>
      </w:pPr>
      <w:r w:rsidRPr="0057735F">
        <w:rPr>
          <w:lang w:val="ru-RU"/>
        </w:rPr>
        <w:tab/>
        <w:t>г-н</w:t>
      </w:r>
      <w:r w:rsidR="00AF37E3" w:rsidRPr="0057735F">
        <w:rPr>
          <w:lang w:val="ru-RU"/>
        </w:rPr>
        <w:t xml:space="preserve"> </w:t>
      </w:r>
      <w:proofErr w:type="spellStart"/>
      <w:r w:rsidR="00AF37E3" w:rsidRPr="0057735F">
        <w:rPr>
          <w:lang w:val="ru-RU"/>
        </w:rPr>
        <w:t>A.</w:t>
      </w:r>
      <w:r w:rsidRPr="0057735F">
        <w:rPr>
          <w:lang w:val="ru-RU"/>
        </w:rPr>
        <w:t>В</w:t>
      </w:r>
      <w:proofErr w:type="spellEnd"/>
      <w:r w:rsidR="00AF37E3" w:rsidRPr="0057735F">
        <w:rPr>
          <w:lang w:val="ru-RU"/>
        </w:rPr>
        <w:t xml:space="preserve">. </w:t>
      </w:r>
      <w:r w:rsidRPr="0057735F">
        <w:rPr>
          <w:lang w:val="ru-RU"/>
        </w:rPr>
        <w:t>ВАСИЛЬЕВ</w:t>
      </w:r>
      <w:proofErr w:type="gramStart"/>
      <w:r w:rsidR="00AF37E3" w:rsidRPr="0057735F">
        <w:rPr>
          <w:lang w:val="ru-RU"/>
        </w:rPr>
        <w:tab/>
        <w:t>(</w:t>
      </w:r>
      <w:proofErr w:type="gramEnd"/>
      <w:r w:rsidRPr="0057735F">
        <w:rPr>
          <w:lang w:val="ru-RU"/>
        </w:rPr>
        <w:t>Российская Федерация</w:t>
      </w:r>
      <w:r w:rsidR="00AF37E3" w:rsidRPr="0057735F">
        <w:rPr>
          <w:lang w:val="ru-RU"/>
        </w:rPr>
        <w:t>)</w:t>
      </w:r>
    </w:p>
    <w:p w:rsidR="0058095A" w:rsidRPr="0057735F" w:rsidRDefault="00DD7119" w:rsidP="00E14DA5">
      <w:pPr>
        <w:tabs>
          <w:tab w:val="clear" w:pos="1134"/>
          <w:tab w:val="clear" w:pos="1871"/>
          <w:tab w:val="clear" w:pos="2268"/>
          <w:tab w:val="left" w:pos="2835"/>
          <w:tab w:val="left" w:pos="5387"/>
        </w:tabs>
        <w:spacing w:before="0"/>
        <w:rPr>
          <w:lang w:val="ru-RU"/>
        </w:rPr>
      </w:pPr>
      <w:r w:rsidRPr="0057735F">
        <w:rPr>
          <w:lang w:val="ru-RU"/>
        </w:rPr>
        <w:tab/>
        <w:t>г-н</w:t>
      </w:r>
      <w:r w:rsidR="00AF37E3" w:rsidRPr="0057735F">
        <w:rPr>
          <w:lang w:val="ru-RU"/>
        </w:rPr>
        <w:t xml:space="preserve"> </w:t>
      </w:r>
      <w:r w:rsidR="0058095A" w:rsidRPr="0057735F">
        <w:rPr>
          <w:lang w:val="ru-RU"/>
        </w:rPr>
        <w:t xml:space="preserve">Дж. </w:t>
      </w:r>
      <w:proofErr w:type="spellStart"/>
      <w:r w:rsidR="0058095A" w:rsidRPr="0057735F">
        <w:rPr>
          <w:lang w:val="ru-RU"/>
        </w:rPr>
        <w:t>ЗУЗЕК</w:t>
      </w:r>
      <w:proofErr w:type="spellEnd"/>
      <w:proofErr w:type="gramStart"/>
      <w:r w:rsidR="0058095A" w:rsidRPr="0057735F">
        <w:rPr>
          <w:lang w:val="ru-RU"/>
        </w:rPr>
        <w:tab/>
        <w:t>(</w:t>
      </w:r>
      <w:proofErr w:type="gramEnd"/>
      <w:r w:rsidR="0058095A" w:rsidRPr="0057735F">
        <w:rPr>
          <w:lang w:val="ru-RU"/>
        </w:rPr>
        <w:t>Соединенные Штаты Америки)</w:t>
      </w:r>
    </w:p>
    <w:p w:rsidR="0058095A" w:rsidRPr="0057735F" w:rsidRDefault="0058095A" w:rsidP="0058095A">
      <w:pPr>
        <w:rPr>
          <w:lang w:val="ru-RU"/>
        </w:rPr>
      </w:pPr>
      <w:r w:rsidRPr="0057735F">
        <w:rPr>
          <w:lang w:val="ru-RU"/>
        </w:rPr>
        <w:t xml:space="preserve">Для эффективного и действенного проведения порученных ей исследований </w:t>
      </w:r>
      <w:proofErr w:type="spellStart"/>
      <w:r w:rsidRPr="0057735F">
        <w:rPr>
          <w:lang w:val="ru-RU"/>
        </w:rPr>
        <w:t>ИК7</w:t>
      </w:r>
      <w:proofErr w:type="spellEnd"/>
      <w:r w:rsidRPr="0057735F">
        <w:rPr>
          <w:lang w:val="ru-RU"/>
        </w:rPr>
        <w:t xml:space="preserve"> делегирует конкретные исследования одной из четырех рабочих групп (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>):</w:t>
      </w:r>
    </w:p>
    <w:p w:rsidR="0058095A" w:rsidRPr="0057735F" w:rsidRDefault="0058095A" w:rsidP="009771D6">
      <w:pPr>
        <w:ind w:left="794" w:hanging="794"/>
        <w:rPr>
          <w:lang w:val="ru-RU"/>
        </w:rPr>
      </w:pP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</w:t>
      </w:r>
      <w:proofErr w:type="spellStart"/>
      <w:r w:rsidRPr="0057735F">
        <w:rPr>
          <w:lang w:val="ru-RU"/>
        </w:rPr>
        <w:t>7A</w:t>
      </w:r>
      <w:proofErr w:type="spellEnd"/>
      <w:r w:rsidRPr="0057735F">
        <w:rPr>
          <w:lang w:val="ru-RU"/>
        </w:rPr>
        <w:t xml:space="preserve"> – Передачи сигналов времени и </w:t>
      </w:r>
      <w:r w:rsidR="009771D6" w:rsidRPr="0057735F">
        <w:rPr>
          <w:lang w:val="ru-RU"/>
        </w:rPr>
        <w:t xml:space="preserve">стандартных </w:t>
      </w:r>
      <w:r w:rsidRPr="0057735F">
        <w:rPr>
          <w:lang w:val="ru-RU"/>
        </w:rPr>
        <w:t xml:space="preserve">частот, под председательством </w:t>
      </w:r>
      <w:proofErr w:type="spellStart"/>
      <w:r w:rsidRPr="0057735F">
        <w:rPr>
          <w:lang w:val="ru-RU"/>
        </w:rPr>
        <w:t>Роналда</w:t>
      </w:r>
      <w:proofErr w:type="spellEnd"/>
      <w:r w:rsidRPr="0057735F">
        <w:rPr>
          <w:lang w:val="ru-RU"/>
        </w:rPr>
        <w:t> </w:t>
      </w:r>
      <w:proofErr w:type="spellStart"/>
      <w:r w:rsidRPr="0057735F">
        <w:rPr>
          <w:lang w:val="ru-RU"/>
        </w:rPr>
        <w:t>БИРДА</w:t>
      </w:r>
      <w:proofErr w:type="spellEnd"/>
      <w:r w:rsidRPr="0057735F">
        <w:rPr>
          <w:lang w:val="ru-RU"/>
        </w:rPr>
        <w:t> (</w:t>
      </w:r>
      <w:proofErr w:type="spellStart"/>
      <w:r w:rsidRPr="0057735F">
        <w:rPr>
          <w:lang w:val="ru-RU"/>
        </w:rPr>
        <w:t>USA</w:t>
      </w:r>
      <w:proofErr w:type="spellEnd"/>
      <w:r w:rsidRPr="0057735F">
        <w:rPr>
          <w:lang w:val="ru-RU"/>
        </w:rPr>
        <w:t>);</w:t>
      </w:r>
    </w:p>
    <w:p w:rsidR="0058095A" w:rsidRPr="0057735F" w:rsidRDefault="0058095A" w:rsidP="0058095A">
      <w:pPr>
        <w:ind w:left="794" w:hanging="794"/>
        <w:rPr>
          <w:lang w:val="ru-RU"/>
        </w:rPr>
      </w:pP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</w:t>
      </w:r>
      <w:proofErr w:type="spellStart"/>
      <w:r w:rsidRPr="0057735F">
        <w:rPr>
          <w:lang w:val="ru-RU"/>
        </w:rPr>
        <w:t>7B</w:t>
      </w:r>
      <w:proofErr w:type="spellEnd"/>
      <w:r w:rsidRPr="0057735F">
        <w:rPr>
          <w:lang w:val="ru-RU"/>
        </w:rPr>
        <w:t xml:space="preserve"> – Приложения космической радиосвязи, под председательством </w:t>
      </w:r>
      <w:proofErr w:type="spellStart"/>
      <w:r w:rsidRPr="0057735F">
        <w:rPr>
          <w:lang w:val="ru-RU"/>
        </w:rPr>
        <w:t>Брэдфорда</w:t>
      </w:r>
      <w:proofErr w:type="spellEnd"/>
      <w:r w:rsidRPr="0057735F">
        <w:rPr>
          <w:lang w:val="ru-RU"/>
        </w:rPr>
        <w:t> КАУФМАНА (</w:t>
      </w:r>
      <w:proofErr w:type="spellStart"/>
      <w:r w:rsidRPr="0057735F">
        <w:rPr>
          <w:lang w:val="ru-RU"/>
        </w:rPr>
        <w:t>USA</w:t>
      </w:r>
      <w:proofErr w:type="spellEnd"/>
      <w:r w:rsidRPr="0057735F">
        <w:rPr>
          <w:lang w:val="ru-RU"/>
        </w:rPr>
        <w:t>);</w:t>
      </w:r>
    </w:p>
    <w:p w:rsidR="0058095A" w:rsidRPr="0057735F" w:rsidRDefault="0058095A" w:rsidP="0058095A">
      <w:pPr>
        <w:rPr>
          <w:lang w:val="ru-RU"/>
        </w:rPr>
      </w:pP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</w:t>
      </w:r>
      <w:proofErr w:type="spellStart"/>
      <w:r w:rsidRPr="0057735F">
        <w:rPr>
          <w:lang w:val="ru-RU"/>
        </w:rPr>
        <w:t>7C</w:t>
      </w:r>
      <w:proofErr w:type="spellEnd"/>
      <w:r w:rsidRPr="0057735F">
        <w:rPr>
          <w:lang w:val="ru-RU"/>
        </w:rPr>
        <w:t xml:space="preserve"> – Системы дистанционного зондирования, под председательством </w:t>
      </w:r>
      <w:proofErr w:type="spellStart"/>
      <w:r w:rsidRPr="0057735F">
        <w:rPr>
          <w:lang w:val="ru-RU"/>
        </w:rPr>
        <w:t>Эдоардо</w:t>
      </w:r>
      <w:proofErr w:type="spellEnd"/>
      <w:r w:rsidRPr="0057735F">
        <w:rPr>
          <w:lang w:val="ru-RU"/>
        </w:rPr>
        <w:t xml:space="preserve"> </w:t>
      </w:r>
      <w:proofErr w:type="spellStart"/>
      <w:r w:rsidRPr="0057735F">
        <w:rPr>
          <w:lang w:val="ru-RU"/>
        </w:rPr>
        <w:t>МАРЕЛЛИ</w:t>
      </w:r>
      <w:proofErr w:type="spellEnd"/>
      <w:r w:rsidRPr="0057735F">
        <w:rPr>
          <w:lang w:val="ru-RU"/>
        </w:rPr>
        <w:t xml:space="preserve"> (</w:t>
      </w:r>
      <w:proofErr w:type="spellStart"/>
      <w:r w:rsidRPr="0057735F">
        <w:rPr>
          <w:lang w:val="ru-RU"/>
        </w:rPr>
        <w:t>ESA</w:t>
      </w:r>
      <w:proofErr w:type="spellEnd"/>
      <w:r w:rsidRPr="0057735F">
        <w:rPr>
          <w:lang w:val="ru-RU"/>
        </w:rPr>
        <w:t>);</w:t>
      </w:r>
    </w:p>
    <w:p w:rsidR="0058095A" w:rsidRPr="0057735F" w:rsidRDefault="0058095A" w:rsidP="0058095A">
      <w:pPr>
        <w:rPr>
          <w:lang w:val="ru-RU"/>
        </w:rPr>
      </w:pP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</w:t>
      </w:r>
      <w:proofErr w:type="spellStart"/>
      <w:r w:rsidRPr="0057735F">
        <w:rPr>
          <w:lang w:val="ru-RU"/>
        </w:rPr>
        <w:t>7D</w:t>
      </w:r>
      <w:proofErr w:type="spellEnd"/>
      <w:r w:rsidRPr="0057735F">
        <w:rPr>
          <w:lang w:val="ru-RU"/>
        </w:rPr>
        <w:t xml:space="preserve"> – Радиоастрономия, под председательством </w:t>
      </w:r>
      <w:proofErr w:type="spellStart"/>
      <w:r w:rsidRPr="0057735F">
        <w:rPr>
          <w:lang w:val="ru-RU"/>
        </w:rPr>
        <w:t>Анастасиоса</w:t>
      </w:r>
      <w:proofErr w:type="spellEnd"/>
      <w:r w:rsidRPr="0057735F">
        <w:rPr>
          <w:lang w:val="ru-RU"/>
        </w:rPr>
        <w:t xml:space="preserve"> </w:t>
      </w:r>
      <w:proofErr w:type="spellStart"/>
      <w:r w:rsidRPr="0057735F">
        <w:rPr>
          <w:lang w:val="ru-RU"/>
        </w:rPr>
        <w:t>ЦИУМИСА</w:t>
      </w:r>
      <w:proofErr w:type="spellEnd"/>
      <w:r w:rsidRPr="0057735F">
        <w:rPr>
          <w:lang w:val="ru-RU"/>
        </w:rPr>
        <w:t xml:space="preserve"> (</w:t>
      </w:r>
      <w:proofErr w:type="spellStart"/>
      <w:r w:rsidRPr="0057735F">
        <w:rPr>
          <w:lang w:val="ru-RU"/>
        </w:rPr>
        <w:t>AUS</w:t>
      </w:r>
      <w:proofErr w:type="spellEnd"/>
      <w:r w:rsidRPr="0057735F">
        <w:rPr>
          <w:lang w:val="ru-RU"/>
        </w:rPr>
        <w:t>).</w:t>
      </w:r>
    </w:p>
    <w:p w:rsidR="0058095A" w:rsidRPr="0057735F" w:rsidRDefault="0058095A" w:rsidP="007D1C8C">
      <w:pPr>
        <w:pStyle w:val="Heading1"/>
        <w:spacing w:before="360"/>
        <w:rPr>
          <w:sz w:val="24"/>
          <w:szCs w:val="24"/>
          <w:lang w:val="ru-RU"/>
        </w:rPr>
      </w:pPr>
      <w:r w:rsidRPr="0057735F">
        <w:rPr>
          <w:sz w:val="24"/>
          <w:szCs w:val="24"/>
          <w:lang w:val="ru-RU"/>
        </w:rPr>
        <w:t>2</w:t>
      </w:r>
      <w:r w:rsidRPr="0057735F">
        <w:rPr>
          <w:sz w:val="24"/>
          <w:szCs w:val="24"/>
          <w:lang w:val="ru-RU"/>
        </w:rPr>
        <w:tab/>
        <w:t>Прозрачность</w:t>
      </w:r>
    </w:p>
    <w:p w:rsidR="0058095A" w:rsidRPr="0057735F" w:rsidRDefault="0058095A" w:rsidP="009771D6">
      <w:pPr>
        <w:rPr>
          <w:lang w:val="ru-RU"/>
        </w:rPr>
      </w:pPr>
      <w:r w:rsidRPr="0057735F">
        <w:rPr>
          <w:lang w:val="ru-RU"/>
        </w:rPr>
        <w:t xml:space="preserve">Управление деятельностью ИК осуществляет Руководящая группа ИК. В Руководящую группу входят </w:t>
      </w:r>
      <w:r w:rsidR="009771D6" w:rsidRPr="0057735F">
        <w:rPr>
          <w:lang w:val="ru-RU"/>
        </w:rPr>
        <w:t>п</w:t>
      </w:r>
      <w:r w:rsidRPr="0057735F">
        <w:rPr>
          <w:lang w:val="ru-RU"/>
        </w:rPr>
        <w:t xml:space="preserve">редседатель и заместители </w:t>
      </w:r>
      <w:r w:rsidR="009771D6" w:rsidRPr="0057735F">
        <w:rPr>
          <w:lang w:val="ru-RU"/>
        </w:rPr>
        <w:t>п</w:t>
      </w:r>
      <w:r w:rsidRPr="0057735F">
        <w:rPr>
          <w:lang w:val="ru-RU"/>
        </w:rPr>
        <w:t xml:space="preserve">редседателя ИК, а также председатели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, которых консультирует Советник </w:t>
      </w:r>
      <w:proofErr w:type="spellStart"/>
      <w:r w:rsidRPr="0057735F">
        <w:rPr>
          <w:lang w:val="ru-RU"/>
        </w:rPr>
        <w:t>БР</w:t>
      </w:r>
      <w:proofErr w:type="spellEnd"/>
      <w:r w:rsidRPr="0057735F">
        <w:rPr>
          <w:lang w:val="ru-RU"/>
        </w:rPr>
        <w:t xml:space="preserve">. Решения Руководящей группы представляются ИК в целом для согласования участниками. Руководящая группа проводит </w:t>
      </w:r>
      <w:r w:rsidR="009771D6" w:rsidRPr="0057735F">
        <w:rPr>
          <w:lang w:val="ru-RU"/>
        </w:rPr>
        <w:t xml:space="preserve">не менее одного </w:t>
      </w:r>
      <w:r w:rsidRPr="0057735F">
        <w:rPr>
          <w:lang w:val="ru-RU"/>
        </w:rPr>
        <w:t>заседания в</w:t>
      </w:r>
      <w:r w:rsidR="009771D6" w:rsidRPr="0057735F">
        <w:rPr>
          <w:lang w:val="ru-RU"/>
        </w:rPr>
        <w:t xml:space="preserve"> ходе</w:t>
      </w:r>
      <w:r w:rsidRPr="0057735F">
        <w:rPr>
          <w:lang w:val="ru-RU"/>
        </w:rPr>
        <w:t xml:space="preserve"> собрания ИК и собраний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и </w:t>
      </w:r>
      <w:r w:rsidR="009771D6" w:rsidRPr="0057735F">
        <w:rPr>
          <w:lang w:val="ru-RU"/>
        </w:rPr>
        <w:t>ведет</w:t>
      </w:r>
      <w:r w:rsidRPr="0057735F">
        <w:rPr>
          <w:lang w:val="ru-RU"/>
        </w:rPr>
        <w:t xml:space="preserve"> часть своей подготовительной работы по переписке с использованием электронных средств.</w:t>
      </w:r>
    </w:p>
    <w:p w:rsidR="0058095A" w:rsidRPr="0057735F" w:rsidRDefault="0058095A" w:rsidP="007D1C8C">
      <w:pPr>
        <w:pStyle w:val="Heading1"/>
        <w:spacing w:before="360"/>
        <w:rPr>
          <w:sz w:val="24"/>
          <w:szCs w:val="24"/>
          <w:lang w:val="ru-RU"/>
        </w:rPr>
      </w:pPr>
      <w:r w:rsidRPr="0057735F">
        <w:rPr>
          <w:sz w:val="24"/>
          <w:szCs w:val="24"/>
          <w:lang w:val="ru-RU"/>
        </w:rPr>
        <w:lastRenderedPageBreak/>
        <w:t>3</w:t>
      </w:r>
      <w:r w:rsidRPr="0057735F">
        <w:rPr>
          <w:sz w:val="24"/>
          <w:szCs w:val="24"/>
          <w:lang w:val="ru-RU"/>
        </w:rPr>
        <w:tab/>
        <w:t>Собрания</w:t>
      </w:r>
    </w:p>
    <w:p w:rsidR="0058095A" w:rsidRPr="0057735F" w:rsidRDefault="0058095A" w:rsidP="009771D6">
      <w:pPr>
        <w:rPr>
          <w:lang w:val="ru-RU"/>
        </w:rPr>
      </w:pPr>
      <w:r w:rsidRPr="0057735F">
        <w:rPr>
          <w:lang w:val="ru-RU"/>
        </w:rPr>
        <w:t>За отчетный период (</w:t>
      </w:r>
      <w:r w:rsidR="00197420" w:rsidRPr="0057735F">
        <w:rPr>
          <w:lang w:val="ru-RU"/>
        </w:rPr>
        <w:t>20 </w:t>
      </w:r>
      <w:r w:rsidRPr="0057735F">
        <w:rPr>
          <w:lang w:val="ru-RU"/>
        </w:rPr>
        <w:t>января 2012</w:t>
      </w:r>
      <w:r w:rsidR="00197420" w:rsidRPr="0057735F">
        <w:rPr>
          <w:lang w:val="ru-RU"/>
        </w:rPr>
        <w:t> </w:t>
      </w:r>
      <w:r w:rsidRPr="0057735F">
        <w:rPr>
          <w:lang w:val="ru-RU"/>
        </w:rPr>
        <w:t>г.</w:t>
      </w:r>
      <w:r w:rsidR="00197420" w:rsidRPr="0057735F">
        <w:rPr>
          <w:lang w:val="ru-RU"/>
        </w:rPr>
        <w:t xml:space="preserve"> – 26 октября 2015 г.</w:t>
      </w:r>
      <w:r w:rsidRPr="0057735F">
        <w:rPr>
          <w:lang w:val="ru-RU"/>
        </w:rPr>
        <w:t xml:space="preserve">) </w:t>
      </w:r>
      <w:proofErr w:type="spellStart"/>
      <w:r w:rsidRPr="0057735F">
        <w:rPr>
          <w:lang w:val="ru-RU"/>
        </w:rPr>
        <w:t>ИК7</w:t>
      </w:r>
      <w:proofErr w:type="spellEnd"/>
      <w:r w:rsidRPr="0057735F">
        <w:rPr>
          <w:lang w:val="ru-RU"/>
        </w:rPr>
        <w:t xml:space="preserve"> провела </w:t>
      </w:r>
      <w:r w:rsidR="00197420" w:rsidRPr="0057735F">
        <w:rPr>
          <w:lang w:val="ru-RU"/>
        </w:rPr>
        <w:t>четыре собрания (дв</w:t>
      </w:r>
      <w:r w:rsidR="007A41CD" w:rsidRPr="0057735F">
        <w:rPr>
          <w:lang w:val="ru-RU"/>
        </w:rPr>
        <w:t>а </w:t>
      </w:r>
      <w:r w:rsidR="00197420" w:rsidRPr="0057735F">
        <w:rPr>
          <w:lang w:val="ru-RU"/>
        </w:rPr>
        <w:t>однодневных и два двухдневных)</w:t>
      </w:r>
      <w:r w:rsidRPr="0057735F">
        <w:rPr>
          <w:lang w:val="ru-RU"/>
        </w:rPr>
        <w:t xml:space="preserve">. </w:t>
      </w:r>
      <w:r w:rsidR="00197420" w:rsidRPr="0057735F">
        <w:rPr>
          <w:lang w:val="ru-RU"/>
        </w:rPr>
        <w:t xml:space="preserve">Двухдневные </w:t>
      </w:r>
      <w:r w:rsidRPr="0057735F">
        <w:rPr>
          <w:lang w:val="ru-RU"/>
        </w:rPr>
        <w:t>собрани</w:t>
      </w:r>
      <w:r w:rsidR="00197420" w:rsidRPr="0057735F">
        <w:rPr>
          <w:lang w:val="ru-RU"/>
        </w:rPr>
        <w:t>я</w:t>
      </w:r>
      <w:r w:rsidRPr="0057735F">
        <w:rPr>
          <w:lang w:val="ru-RU"/>
        </w:rPr>
        <w:t xml:space="preserve"> проводил</w:t>
      </w:r>
      <w:r w:rsidR="00197420" w:rsidRPr="0057735F">
        <w:rPr>
          <w:lang w:val="ru-RU"/>
        </w:rPr>
        <w:t>и</w:t>
      </w:r>
      <w:r w:rsidRPr="0057735F">
        <w:rPr>
          <w:lang w:val="ru-RU"/>
        </w:rPr>
        <w:t xml:space="preserve">сь в течение двух не следующих один за другим </w:t>
      </w:r>
      <w:r w:rsidR="00197420" w:rsidRPr="0057735F">
        <w:rPr>
          <w:lang w:val="ru-RU"/>
        </w:rPr>
        <w:t xml:space="preserve">рабочих </w:t>
      </w:r>
      <w:r w:rsidRPr="0057735F">
        <w:rPr>
          <w:lang w:val="ru-RU"/>
        </w:rPr>
        <w:t xml:space="preserve">дней, между </w:t>
      </w:r>
      <w:r w:rsidR="009771D6" w:rsidRPr="0057735F">
        <w:rPr>
          <w:lang w:val="ru-RU"/>
        </w:rPr>
        <w:t>которыми</w:t>
      </w:r>
      <w:r w:rsidRPr="0057735F">
        <w:rPr>
          <w:lang w:val="ru-RU"/>
        </w:rPr>
        <w:t xml:space="preserve"> проводились собрания рабочих групп. Причины использования такого метода работы полнее излагаются ниже, в разделе "Методы работы" настоя</w:t>
      </w:r>
      <w:r w:rsidR="009771D6" w:rsidRPr="0057735F">
        <w:rPr>
          <w:lang w:val="ru-RU"/>
        </w:rPr>
        <w:t xml:space="preserve">щего документа. Краткие отчеты </w:t>
      </w:r>
      <w:r w:rsidRPr="0057735F">
        <w:rPr>
          <w:lang w:val="ru-RU"/>
        </w:rPr>
        <w:t xml:space="preserve">о каждом из этих собраний размещены на веб-сайте: </w:t>
      </w:r>
      <w:hyperlink r:id="rId8" w:history="1">
        <w:r w:rsidR="00197420" w:rsidRPr="0057735F">
          <w:rPr>
            <w:rStyle w:val="Hyperlink"/>
            <w:lang w:val="ru-RU"/>
          </w:rPr>
          <w:t>http://www.itu.int/md/R12-SG07-C/en</w:t>
        </w:r>
      </w:hyperlink>
      <w:r w:rsidRPr="0057735F">
        <w:rPr>
          <w:lang w:val="ru-RU"/>
        </w:rPr>
        <w:t>.</w:t>
      </w:r>
    </w:p>
    <w:p w:rsidR="0058095A" w:rsidRPr="0057735F" w:rsidRDefault="0058095A" w:rsidP="003F7A4B">
      <w:pPr>
        <w:spacing w:after="360"/>
        <w:rPr>
          <w:lang w:val="ru-RU"/>
        </w:rPr>
      </w:pPr>
      <w:r w:rsidRPr="0057735F">
        <w:rPr>
          <w:lang w:val="ru-RU"/>
        </w:rPr>
        <w:t xml:space="preserve">Как показано в таблице ниже, за этот период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</w:t>
      </w:r>
      <w:proofErr w:type="spellStart"/>
      <w:r w:rsidR="00197420" w:rsidRPr="0057735F">
        <w:rPr>
          <w:lang w:val="ru-RU"/>
        </w:rPr>
        <w:t>7А</w:t>
      </w:r>
      <w:proofErr w:type="spellEnd"/>
      <w:r w:rsidR="00197420" w:rsidRPr="0057735F">
        <w:rPr>
          <w:lang w:val="ru-RU"/>
        </w:rPr>
        <w:t xml:space="preserve">, </w:t>
      </w:r>
      <w:proofErr w:type="spellStart"/>
      <w:r w:rsidRPr="0057735F">
        <w:rPr>
          <w:lang w:val="ru-RU"/>
        </w:rPr>
        <w:t>7B</w:t>
      </w:r>
      <w:proofErr w:type="spellEnd"/>
      <w:r w:rsidRPr="0057735F">
        <w:rPr>
          <w:lang w:val="ru-RU"/>
        </w:rPr>
        <w:t xml:space="preserve">, </w:t>
      </w:r>
      <w:proofErr w:type="spellStart"/>
      <w:smartTag w:uri="urn:schemas-microsoft-com:office:smarttags" w:element="metricconverter">
        <w:smartTagPr>
          <w:attr w:name="ProductID" w:val="7C"/>
        </w:smartTagPr>
        <w:r w:rsidRPr="0057735F">
          <w:rPr>
            <w:lang w:val="ru-RU"/>
          </w:rPr>
          <w:t>7C</w:t>
        </w:r>
      </w:smartTag>
      <w:proofErr w:type="spellEnd"/>
      <w:r w:rsidRPr="0057735F">
        <w:rPr>
          <w:lang w:val="ru-RU"/>
        </w:rPr>
        <w:t xml:space="preserve"> и </w:t>
      </w:r>
      <w:proofErr w:type="spellStart"/>
      <w:r w:rsidRPr="0057735F">
        <w:rPr>
          <w:lang w:val="ru-RU"/>
        </w:rPr>
        <w:t>7D</w:t>
      </w:r>
      <w:proofErr w:type="spellEnd"/>
      <w:r w:rsidRPr="0057735F">
        <w:rPr>
          <w:lang w:val="ru-RU"/>
        </w:rPr>
        <w:t xml:space="preserve"> провели по </w:t>
      </w:r>
      <w:r w:rsidR="00197420" w:rsidRPr="0057735F">
        <w:rPr>
          <w:lang w:val="ru-RU"/>
        </w:rPr>
        <w:t>шесть</w:t>
      </w:r>
      <w:r w:rsidRPr="0057735F">
        <w:rPr>
          <w:lang w:val="ru-RU"/>
        </w:rPr>
        <w:t xml:space="preserve"> собраний каждая, </w:t>
      </w:r>
      <w:r w:rsidR="00197420" w:rsidRPr="0057735F">
        <w:rPr>
          <w:lang w:val="ru-RU"/>
        </w:rPr>
        <w:t xml:space="preserve">по одному собранию в 2013 году, </w:t>
      </w:r>
      <w:r w:rsidRPr="0057735F">
        <w:rPr>
          <w:lang w:val="ru-RU"/>
        </w:rPr>
        <w:t xml:space="preserve">по два </w:t>
      </w:r>
      <w:r w:rsidR="00197420" w:rsidRPr="0057735F">
        <w:rPr>
          <w:lang w:val="ru-RU"/>
        </w:rPr>
        <w:t>собрания</w:t>
      </w:r>
      <w:r w:rsidRPr="0057735F">
        <w:rPr>
          <w:lang w:val="ru-RU"/>
        </w:rPr>
        <w:t xml:space="preserve"> в 20</w:t>
      </w:r>
      <w:r w:rsidR="00197420" w:rsidRPr="0057735F">
        <w:rPr>
          <w:lang w:val="ru-RU"/>
        </w:rPr>
        <w:t>13 и 2014 годах</w:t>
      </w:r>
      <w:r w:rsidRPr="0057735F">
        <w:rPr>
          <w:lang w:val="ru-RU"/>
        </w:rPr>
        <w:t xml:space="preserve"> и по одному </w:t>
      </w:r>
      <w:r w:rsidR="00197420" w:rsidRPr="0057735F">
        <w:rPr>
          <w:lang w:val="ru-RU"/>
        </w:rPr>
        <w:t>собранию</w:t>
      </w:r>
      <w:r w:rsidRPr="0057735F">
        <w:rPr>
          <w:lang w:val="ru-RU"/>
        </w:rPr>
        <w:t xml:space="preserve"> в 201</w:t>
      </w:r>
      <w:r w:rsidR="00197420" w:rsidRPr="0057735F">
        <w:rPr>
          <w:lang w:val="ru-RU"/>
        </w:rPr>
        <w:t>5</w:t>
      </w:r>
      <w:r w:rsidRPr="0057735F">
        <w:rPr>
          <w:lang w:val="ru-RU"/>
        </w:rPr>
        <w:t xml:space="preserve"> году.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</w:t>
      </w:r>
      <w:proofErr w:type="spellStart"/>
      <w:r w:rsidRPr="0057735F">
        <w:rPr>
          <w:lang w:val="ru-RU"/>
        </w:rPr>
        <w:t>7A</w:t>
      </w:r>
      <w:proofErr w:type="spellEnd"/>
      <w:r w:rsidRPr="0057735F">
        <w:rPr>
          <w:lang w:val="ru-RU"/>
        </w:rPr>
        <w:t xml:space="preserve"> провела пять собраний, два в 2008 году и по одному в 2009, 2010 и 2011 годах.</w:t>
      </w: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67"/>
        <w:gridCol w:w="967"/>
        <w:gridCol w:w="967"/>
        <w:gridCol w:w="606"/>
        <w:gridCol w:w="607"/>
        <w:gridCol w:w="607"/>
        <w:gridCol w:w="949"/>
        <w:gridCol w:w="614"/>
        <w:gridCol w:w="614"/>
        <w:gridCol w:w="615"/>
        <w:gridCol w:w="645"/>
        <w:gridCol w:w="646"/>
      </w:tblGrid>
      <w:tr w:rsidR="008B544E" w:rsidRPr="0057735F" w:rsidTr="007A41CD">
        <w:trPr>
          <w:trHeight w:val="270"/>
        </w:trPr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8B544E" w:rsidRPr="0057735F" w:rsidRDefault="008B544E" w:rsidP="0057735F">
            <w:pPr>
              <w:pStyle w:val="Tabletext"/>
              <w:ind w:left="-57" w:right="-57"/>
              <w:jc w:val="center"/>
              <w:rPr>
                <w:szCs w:val="18"/>
                <w:lang w:val="ru-RU"/>
              </w:rPr>
            </w:pPr>
          </w:p>
        </w:tc>
        <w:tc>
          <w:tcPr>
            <w:tcW w:w="9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Май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br/>
              <w:t>20</w:t>
            </w:r>
            <w:r w:rsidRPr="0057735F">
              <w:rPr>
                <w:b/>
                <w:sz w:val="18"/>
                <w:szCs w:val="18"/>
                <w:lang w:val="ru-RU"/>
              </w:rPr>
              <w:t>12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67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Сент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>ябрь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br/>
              <w:t>20</w:t>
            </w:r>
            <w:r w:rsidRPr="0057735F">
              <w:rPr>
                <w:b/>
                <w:sz w:val="18"/>
                <w:szCs w:val="18"/>
                <w:lang w:val="ru-RU"/>
              </w:rPr>
              <w:t>12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6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Апр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>ель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br/>
              <w:t>20</w:t>
            </w:r>
            <w:r w:rsidRPr="0057735F">
              <w:rPr>
                <w:b/>
                <w:sz w:val="18"/>
                <w:szCs w:val="18"/>
                <w:lang w:val="ru-RU"/>
              </w:rPr>
              <w:t>13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820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Сент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>ябрь 20</w:t>
            </w:r>
            <w:r w:rsidRPr="0057735F">
              <w:rPr>
                <w:b/>
                <w:sz w:val="18"/>
                <w:szCs w:val="18"/>
                <w:lang w:val="ru-RU"/>
              </w:rPr>
              <w:t>13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94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8B544E" w:rsidRPr="0057735F" w:rsidRDefault="008B544E" w:rsidP="0057735F">
            <w:pPr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Май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br/>
              <w:t>20</w:t>
            </w:r>
            <w:r w:rsidRPr="0057735F">
              <w:rPr>
                <w:b/>
                <w:sz w:val="18"/>
                <w:szCs w:val="18"/>
                <w:lang w:val="ru-RU"/>
              </w:rPr>
              <w:t>14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843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Окт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>ябрь 20</w:t>
            </w:r>
            <w:r w:rsidRPr="0057735F">
              <w:rPr>
                <w:b/>
                <w:sz w:val="18"/>
                <w:szCs w:val="18"/>
                <w:lang w:val="ru-RU"/>
              </w:rPr>
              <w:t>14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291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Май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 xml:space="preserve"> 20</w:t>
            </w:r>
            <w:r w:rsidRPr="0057735F">
              <w:rPr>
                <w:b/>
                <w:sz w:val="18"/>
                <w:szCs w:val="18"/>
                <w:lang w:val="ru-RU"/>
              </w:rPr>
              <w:t>15</w:t>
            </w:r>
            <w:r w:rsidR="007A41CD" w:rsidRPr="0057735F">
              <w:rPr>
                <w:b/>
                <w:sz w:val="18"/>
                <w:szCs w:val="18"/>
                <w:lang w:val="ru-RU"/>
              </w:rPr>
              <w:t xml:space="preserve"> г.</w:t>
            </w:r>
          </w:p>
        </w:tc>
      </w:tr>
      <w:tr w:rsidR="007A41CD" w:rsidRPr="0057735F" w:rsidTr="007A41CD">
        <w:trPr>
          <w:trHeight w:val="270"/>
        </w:trPr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544E" w:rsidRPr="0057735F" w:rsidRDefault="008B544E" w:rsidP="0057735F">
            <w:pPr>
              <w:pStyle w:val="Tabletext"/>
              <w:jc w:val="center"/>
              <w:rPr>
                <w:szCs w:val="18"/>
                <w:lang w:val="ru-RU"/>
              </w:rPr>
            </w:pPr>
          </w:p>
        </w:tc>
        <w:tc>
          <w:tcPr>
            <w:tcW w:w="96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06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ИК</w:t>
            </w:r>
          </w:p>
        </w:tc>
        <w:tc>
          <w:tcPr>
            <w:tcW w:w="607" w:type="dxa"/>
            <w:tcBorders>
              <w:top w:val="nil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57735F">
              <w:rPr>
                <w:b/>
                <w:sz w:val="18"/>
                <w:szCs w:val="18"/>
                <w:lang w:val="ru-RU"/>
              </w:rPr>
              <w:t>РГ</w:t>
            </w:r>
            <w:proofErr w:type="spellEnd"/>
          </w:p>
        </w:tc>
        <w:tc>
          <w:tcPr>
            <w:tcW w:w="607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ИК</w:t>
            </w:r>
          </w:p>
        </w:tc>
        <w:tc>
          <w:tcPr>
            <w:tcW w:w="94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ИК</w:t>
            </w:r>
          </w:p>
        </w:tc>
        <w:tc>
          <w:tcPr>
            <w:tcW w:w="614" w:type="dxa"/>
            <w:tcBorders>
              <w:top w:val="nil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57735F">
              <w:rPr>
                <w:b/>
                <w:sz w:val="18"/>
                <w:szCs w:val="18"/>
                <w:lang w:val="ru-RU"/>
              </w:rPr>
              <w:t>РГ</w:t>
            </w:r>
            <w:proofErr w:type="spellEnd"/>
          </w:p>
        </w:tc>
        <w:tc>
          <w:tcPr>
            <w:tcW w:w="615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ИК</w:t>
            </w:r>
          </w:p>
        </w:tc>
        <w:tc>
          <w:tcPr>
            <w:tcW w:w="645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57735F">
              <w:rPr>
                <w:b/>
                <w:sz w:val="18"/>
                <w:szCs w:val="18"/>
                <w:lang w:val="ru-RU"/>
              </w:rPr>
              <w:t>РГ</w:t>
            </w:r>
            <w:proofErr w:type="spellEnd"/>
          </w:p>
        </w:tc>
        <w:tc>
          <w:tcPr>
            <w:tcW w:w="646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57735F">
              <w:rPr>
                <w:b/>
                <w:sz w:val="18"/>
                <w:szCs w:val="18"/>
                <w:lang w:val="ru-RU"/>
              </w:rPr>
              <w:t>ИК</w:t>
            </w:r>
          </w:p>
        </w:tc>
      </w:tr>
      <w:tr w:rsidR="007A41CD" w:rsidRPr="0057735F" w:rsidTr="007A41CD">
        <w:trPr>
          <w:trHeight w:val="270"/>
        </w:trPr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544E" w:rsidRPr="0057735F" w:rsidRDefault="008B544E" w:rsidP="0057735F">
            <w:pPr>
              <w:pStyle w:val="Tabletext"/>
              <w:jc w:val="center"/>
              <w:rPr>
                <w:szCs w:val="18"/>
                <w:lang w:val="ru-RU"/>
              </w:rPr>
            </w:pPr>
            <w:r w:rsidRPr="0057735F">
              <w:rPr>
                <w:szCs w:val="18"/>
                <w:lang w:val="ru-RU"/>
              </w:rPr>
              <w:t>ИК 7</w:t>
            </w: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A41CD" w:rsidRPr="0057735F" w:rsidTr="007A41CD">
        <w:trPr>
          <w:trHeight w:val="255"/>
        </w:trPr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544E" w:rsidRPr="0057735F" w:rsidRDefault="008B544E" w:rsidP="0057735F">
            <w:pPr>
              <w:pStyle w:val="Tabletext"/>
              <w:jc w:val="center"/>
              <w:rPr>
                <w:szCs w:val="18"/>
                <w:lang w:val="ru-RU"/>
              </w:rPr>
            </w:pPr>
            <w:proofErr w:type="spellStart"/>
            <w:r w:rsidRPr="0057735F">
              <w:rPr>
                <w:szCs w:val="18"/>
                <w:lang w:val="ru-RU"/>
              </w:rPr>
              <w:t>РГ</w:t>
            </w:r>
            <w:proofErr w:type="spellEnd"/>
            <w:r w:rsidRPr="0057735F">
              <w:rPr>
                <w:szCs w:val="18"/>
                <w:lang w:val="ru-RU"/>
              </w:rPr>
              <w:t xml:space="preserve"> </w:t>
            </w:r>
            <w:proofErr w:type="spellStart"/>
            <w:r w:rsidRPr="0057735F">
              <w:rPr>
                <w:szCs w:val="18"/>
                <w:lang w:val="ru-RU"/>
              </w:rPr>
              <w:t>7A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A41CD" w:rsidRPr="0057735F" w:rsidTr="007A41CD">
        <w:trPr>
          <w:trHeight w:val="255"/>
        </w:trPr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544E" w:rsidRPr="0057735F" w:rsidRDefault="008B544E" w:rsidP="0057735F">
            <w:pPr>
              <w:pStyle w:val="Tabletext"/>
              <w:jc w:val="center"/>
              <w:rPr>
                <w:szCs w:val="18"/>
                <w:lang w:val="ru-RU"/>
              </w:rPr>
            </w:pPr>
            <w:proofErr w:type="spellStart"/>
            <w:r w:rsidRPr="0057735F">
              <w:rPr>
                <w:szCs w:val="18"/>
                <w:lang w:val="ru-RU"/>
              </w:rPr>
              <w:t>РГ</w:t>
            </w:r>
            <w:proofErr w:type="spellEnd"/>
            <w:r w:rsidRPr="0057735F">
              <w:rPr>
                <w:szCs w:val="18"/>
                <w:lang w:val="ru-RU"/>
              </w:rPr>
              <w:t xml:space="preserve"> </w:t>
            </w:r>
            <w:proofErr w:type="spellStart"/>
            <w:r w:rsidRPr="0057735F">
              <w:rPr>
                <w:szCs w:val="18"/>
                <w:lang w:val="ru-RU"/>
              </w:rPr>
              <w:t>7B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A41CD" w:rsidRPr="0057735F" w:rsidTr="007A41CD">
        <w:trPr>
          <w:trHeight w:val="255"/>
        </w:trPr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544E" w:rsidRPr="0057735F" w:rsidRDefault="008B544E" w:rsidP="0057735F">
            <w:pPr>
              <w:pStyle w:val="Tabletext"/>
              <w:jc w:val="center"/>
              <w:rPr>
                <w:szCs w:val="18"/>
                <w:lang w:val="ru-RU"/>
              </w:rPr>
            </w:pPr>
            <w:proofErr w:type="spellStart"/>
            <w:r w:rsidRPr="0057735F">
              <w:rPr>
                <w:szCs w:val="18"/>
                <w:lang w:val="ru-RU"/>
              </w:rPr>
              <w:t>РГ</w:t>
            </w:r>
            <w:proofErr w:type="spellEnd"/>
            <w:r w:rsidRPr="0057735F">
              <w:rPr>
                <w:szCs w:val="18"/>
                <w:lang w:val="ru-RU"/>
              </w:rPr>
              <w:t xml:space="preserve"> </w:t>
            </w:r>
            <w:proofErr w:type="spellStart"/>
            <w:smartTag w:uri="urn:schemas-microsoft-com:office:smarttags" w:element="metricconverter">
              <w:smartTagPr>
                <w:attr w:name="ProductID" w:val="7C"/>
              </w:smartTagPr>
              <w:r w:rsidRPr="0057735F">
                <w:rPr>
                  <w:szCs w:val="18"/>
                  <w:lang w:val="ru-RU"/>
                </w:rPr>
                <w:t>7C</w:t>
              </w:r>
            </w:smartTag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A41CD" w:rsidRPr="0057735F" w:rsidTr="007A41CD">
        <w:trPr>
          <w:trHeight w:val="270"/>
        </w:trPr>
        <w:tc>
          <w:tcPr>
            <w:tcW w:w="851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8B544E" w:rsidRPr="0057735F" w:rsidRDefault="008B544E" w:rsidP="0057735F">
            <w:pPr>
              <w:pStyle w:val="Tabletext"/>
              <w:jc w:val="center"/>
              <w:rPr>
                <w:szCs w:val="18"/>
                <w:lang w:val="ru-RU"/>
              </w:rPr>
            </w:pPr>
            <w:proofErr w:type="spellStart"/>
            <w:r w:rsidRPr="0057735F">
              <w:rPr>
                <w:szCs w:val="18"/>
                <w:lang w:val="ru-RU"/>
              </w:rPr>
              <w:t>РГ</w:t>
            </w:r>
            <w:proofErr w:type="spellEnd"/>
            <w:r w:rsidRPr="0057735F">
              <w:rPr>
                <w:szCs w:val="18"/>
                <w:lang w:val="ru-RU"/>
              </w:rPr>
              <w:t xml:space="preserve"> </w:t>
            </w:r>
            <w:proofErr w:type="spellStart"/>
            <w:r w:rsidRPr="0057735F">
              <w:rPr>
                <w:szCs w:val="18"/>
                <w:lang w:val="ru-RU"/>
              </w:rPr>
              <w:t>7D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B544E" w:rsidRPr="0057735F" w:rsidRDefault="008B544E" w:rsidP="0057735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DB5223" w:rsidRPr="0057735F" w:rsidRDefault="00DB5223" w:rsidP="007D1C8C">
      <w:pPr>
        <w:pStyle w:val="Heading1"/>
        <w:spacing w:before="360"/>
        <w:rPr>
          <w:sz w:val="24"/>
          <w:szCs w:val="24"/>
          <w:lang w:val="ru-RU"/>
        </w:rPr>
      </w:pPr>
      <w:r w:rsidRPr="0057735F">
        <w:rPr>
          <w:sz w:val="24"/>
          <w:szCs w:val="24"/>
          <w:lang w:val="ru-RU"/>
        </w:rPr>
        <w:t>4</w:t>
      </w:r>
      <w:r w:rsidRPr="0057735F">
        <w:rPr>
          <w:sz w:val="24"/>
          <w:szCs w:val="24"/>
          <w:lang w:val="ru-RU"/>
        </w:rPr>
        <w:tab/>
        <w:t>Участие</w:t>
      </w:r>
    </w:p>
    <w:p w:rsidR="00DB5223" w:rsidRPr="0057735F" w:rsidRDefault="004736F8" w:rsidP="00625D3A">
      <w:pPr>
        <w:rPr>
          <w:lang w:val="ru-RU"/>
        </w:rPr>
      </w:pPr>
      <w:r w:rsidRPr="0057735F">
        <w:rPr>
          <w:lang w:val="ru-RU"/>
        </w:rPr>
        <w:t>За исключением пер</w:t>
      </w:r>
      <w:r w:rsidR="00556C7A" w:rsidRPr="0057735F">
        <w:rPr>
          <w:lang w:val="ru-RU"/>
        </w:rPr>
        <w:t xml:space="preserve">вого собрания в мае </w:t>
      </w:r>
      <w:r w:rsidR="00DB5223" w:rsidRPr="0057735F">
        <w:rPr>
          <w:lang w:val="ru-RU"/>
        </w:rPr>
        <w:t>2012</w:t>
      </w:r>
      <w:r w:rsidR="00556C7A" w:rsidRPr="0057735F">
        <w:rPr>
          <w:lang w:val="ru-RU"/>
        </w:rPr>
        <w:t xml:space="preserve"> года </w:t>
      </w:r>
      <w:r w:rsidR="002170CB" w:rsidRPr="0057735F">
        <w:rPr>
          <w:lang w:val="ru-RU"/>
        </w:rPr>
        <w:t>численность</w:t>
      </w:r>
      <w:r w:rsidR="00556C7A" w:rsidRPr="0057735F">
        <w:rPr>
          <w:lang w:val="ru-RU"/>
        </w:rPr>
        <w:t xml:space="preserve"> участников собраний </w:t>
      </w:r>
      <w:proofErr w:type="spellStart"/>
      <w:r w:rsidR="00556C7A" w:rsidRPr="0057735F">
        <w:rPr>
          <w:lang w:val="ru-RU"/>
        </w:rPr>
        <w:t>ИК7</w:t>
      </w:r>
      <w:proofErr w:type="spellEnd"/>
      <w:r w:rsidR="00556C7A" w:rsidRPr="0057735F">
        <w:rPr>
          <w:lang w:val="ru-RU"/>
        </w:rPr>
        <w:t xml:space="preserve"> </w:t>
      </w:r>
      <w:r w:rsidR="002170CB" w:rsidRPr="0057735F">
        <w:rPr>
          <w:lang w:val="ru-RU"/>
        </w:rPr>
        <w:t>была</w:t>
      </w:r>
      <w:r w:rsidR="00556C7A" w:rsidRPr="0057735F">
        <w:rPr>
          <w:lang w:val="ru-RU"/>
        </w:rPr>
        <w:t xml:space="preserve"> в пределах от</w:t>
      </w:r>
      <w:r w:rsidR="00DB5223" w:rsidRPr="0057735F">
        <w:rPr>
          <w:lang w:val="ru-RU"/>
        </w:rPr>
        <w:t xml:space="preserve"> 50 </w:t>
      </w:r>
      <w:r w:rsidR="00556C7A" w:rsidRPr="0057735F">
        <w:rPr>
          <w:lang w:val="ru-RU"/>
        </w:rPr>
        <w:t>до</w:t>
      </w:r>
      <w:r w:rsidR="00DB5223" w:rsidRPr="0057735F">
        <w:rPr>
          <w:lang w:val="ru-RU"/>
        </w:rPr>
        <w:t xml:space="preserve"> 70. </w:t>
      </w:r>
      <w:r w:rsidR="00556C7A" w:rsidRPr="0057735F">
        <w:rPr>
          <w:lang w:val="ru-RU"/>
        </w:rPr>
        <w:t>Собрание в мае</w:t>
      </w:r>
      <w:r w:rsidR="00DB5223" w:rsidRPr="0057735F">
        <w:rPr>
          <w:lang w:val="ru-RU"/>
        </w:rPr>
        <w:t xml:space="preserve"> 2012</w:t>
      </w:r>
      <w:r w:rsidR="00556C7A" w:rsidRPr="0057735F">
        <w:rPr>
          <w:lang w:val="ru-RU"/>
        </w:rPr>
        <w:t xml:space="preserve"> года было коротким собранием, посвященным созданию новой команды </w:t>
      </w:r>
      <w:r w:rsidR="00625D3A" w:rsidRPr="0057735F">
        <w:rPr>
          <w:lang w:val="ru-RU"/>
        </w:rPr>
        <w:t xml:space="preserve">руководства </w:t>
      </w:r>
      <w:r w:rsidR="00556C7A" w:rsidRPr="0057735F">
        <w:rPr>
          <w:lang w:val="ru-RU"/>
        </w:rPr>
        <w:t xml:space="preserve">и определению задач </w:t>
      </w:r>
      <w:r w:rsidR="002170CB" w:rsidRPr="0057735F">
        <w:rPr>
          <w:lang w:val="ru-RU"/>
        </w:rPr>
        <w:t>по</w:t>
      </w:r>
      <w:r w:rsidR="00556C7A" w:rsidRPr="0057735F">
        <w:rPr>
          <w:lang w:val="ru-RU"/>
        </w:rPr>
        <w:t xml:space="preserve"> цикл</w:t>
      </w:r>
      <w:r w:rsidR="002170CB" w:rsidRPr="0057735F">
        <w:rPr>
          <w:lang w:val="ru-RU"/>
        </w:rPr>
        <w:t>ам</w:t>
      </w:r>
      <w:r w:rsidR="00556C7A" w:rsidRPr="0057735F">
        <w:rPr>
          <w:lang w:val="ru-RU"/>
        </w:rPr>
        <w:t xml:space="preserve">, и не было связано с другими собраниями </w:t>
      </w:r>
      <w:proofErr w:type="spellStart"/>
      <w:r w:rsidR="00556C7A" w:rsidRPr="0057735F">
        <w:rPr>
          <w:lang w:val="ru-RU"/>
        </w:rPr>
        <w:t>РГ</w:t>
      </w:r>
      <w:proofErr w:type="spellEnd"/>
      <w:r w:rsidR="00556C7A" w:rsidRPr="0057735F">
        <w:rPr>
          <w:lang w:val="ru-RU"/>
        </w:rPr>
        <w:t xml:space="preserve">, число участников было в пределах </w:t>
      </w:r>
      <w:r w:rsidR="00DB5223" w:rsidRPr="0057735F">
        <w:rPr>
          <w:lang w:val="ru-RU"/>
        </w:rPr>
        <w:t>25.</w:t>
      </w:r>
    </w:p>
    <w:p w:rsidR="00DB5223" w:rsidRPr="0057735F" w:rsidRDefault="00556C7A" w:rsidP="00556C7A">
      <w:pPr>
        <w:rPr>
          <w:lang w:val="ru-RU"/>
        </w:rPr>
      </w:pPr>
      <w:r w:rsidRPr="0057735F">
        <w:rPr>
          <w:lang w:val="ru-RU"/>
        </w:rPr>
        <w:t>Число</w:t>
      </w:r>
      <w:r w:rsidR="00DB5223" w:rsidRPr="0057735F">
        <w:rPr>
          <w:lang w:val="ru-RU"/>
        </w:rPr>
        <w:t xml:space="preserve"> участников собрани</w:t>
      </w:r>
      <w:r w:rsidRPr="0057735F">
        <w:rPr>
          <w:lang w:val="ru-RU"/>
        </w:rPr>
        <w:t>й</w:t>
      </w:r>
      <w:r w:rsidR="00DB5223" w:rsidRPr="0057735F">
        <w:rPr>
          <w:lang w:val="ru-RU"/>
        </w:rPr>
        <w:t xml:space="preserve"> </w:t>
      </w:r>
      <w:proofErr w:type="spellStart"/>
      <w:r w:rsidR="00DB5223" w:rsidRPr="0057735F">
        <w:rPr>
          <w:lang w:val="ru-RU"/>
        </w:rPr>
        <w:t>РГ</w:t>
      </w:r>
      <w:proofErr w:type="spellEnd"/>
      <w:r w:rsidR="00DB5223" w:rsidRPr="0057735F">
        <w:rPr>
          <w:lang w:val="ru-RU"/>
        </w:rPr>
        <w:t xml:space="preserve"> колебалось от приблизительно 40 </w:t>
      </w:r>
      <w:r w:rsidRPr="0057735F">
        <w:rPr>
          <w:lang w:val="ru-RU"/>
        </w:rPr>
        <w:t xml:space="preserve">до 50 </w:t>
      </w:r>
      <w:r w:rsidR="00DB5223" w:rsidRPr="0057735F">
        <w:rPr>
          <w:lang w:val="ru-RU"/>
        </w:rPr>
        <w:t xml:space="preserve">для </w:t>
      </w:r>
      <w:proofErr w:type="spellStart"/>
      <w:r w:rsidR="00DB5223" w:rsidRPr="0057735F">
        <w:rPr>
          <w:lang w:val="ru-RU"/>
        </w:rPr>
        <w:t>РГ</w:t>
      </w:r>
      <w:proofErr w:type="spellEnd"/>
      <w:r w:rsidR="00DB5223" w:rsidRPr="0057735F">
        <w:rPr>
          <w:lang w:val="ru-RU"/>
        </w:rPr>
        <w:t xml:space="preserve"> </w:t>
      </w:r>
      <w:proofErr w:type="spellStart"/>
      <w:r w:rsidR="00DB5223" w:rsidRPr="0057735F">
        <w:rPr>
          <w:lang w:val="ru-RU"/>
        </w:rPr>
        <w:t>7A</w:t>
      </w:r>
      <w:proofErr w:type="spellEnd"/>
      <w:r w:rsidR="00DB5223" w:rsidRPr="0057735F">
        <w:rPr>
          <w:lang w:val="ru-RU"/>
        </w:rPr>
        <w:t xml:space="preserve"> и </w:t>
      </w:r>
      <w:proofErr w:type="spellStart"/>
      <w:r w:rsidR="00DB5223" w:rsidRPr="0057735F">
        <w:rPr>
          <w:lang w:val="ru-RU"/>
        </w:rPr>
        <w:t>7D</w:t>
      </w:r>
      <w:proofErr w:type="spellEnd"/>
      <w:r w:rsidR="00DB5223" w:rsidRPr="0057735F">
        <w:rPr>
          <w:lang w:val="ru-RU"/>
        </w:rPr>
        <w:t xml:space="preserve"> </w:t>
      </w:r>
      <w:r w:rsidRPr="0057735F">
        <w:rPr>
          <w:lang w:val="ru-RU"/>
        </w:rPr>
        <w:t>и от</w:t>
      </w:r>
      <w:r w:rsidR="00DB5223" w:rsidRPr="0057735F">
        <w:rPr>
          <w:lang w:val="ru-RU"/>
        </w:rPr>
        <w:t xml:space="preserve"> 6</w:t>
      </w:r>
      <w:r w:rsidRPr="0057735F">
        <w:rPr>
          <w:lang w:val="ru-RU"/>
        </w:rPr>
        <w:t>0 до 70</w:t>
      </w:r>
      <w:r w:rsidR="00DB5223" w:rsidRPr="0057735F">
        <w:rPr>
          <w:lang w:val="ru-RU"/>
        </w:rPr>
        <w:t xml:space="preserve"> для </w:t>
      </w:r>
      <w:proofErr w:type="spellStart"/>
      <w:r w:rsidR="00DB5223" w:rsidRPr="0057735F">
        <w:rPr>
          <w:lang w:val="ru-RU"/>
        </w:rPr>
        <w:t>РГ</w:t>
      </w:r>
      <w:proofErr w:type="spellEnd"/>
      <w:r w:rsidR="00DB5223" w:rsidRPr="0057735F">
        <w:rPr>
          <w:lang w:val="ru-RU"/>
        </w:rPr>
        <w:t> </w:t>
      </w:r>
      <w:proofErr w:type="spellStart"/>
      <w:r w:rsidR="00DB5223" w:rsidRPr="0057735F">
        <w:rPr>
          <w:lang w:val="ru-RU"/>
        </w:rPr>
        <w:t>7B</w:t>
      </w:r>
      <w:proofErr w:type="spellEnd"/>
      <w:r w:rsidR="00DB5223" w:rsidRPr="0057735F">
        <w:rPr>
          <w:lang w:val="ru-RU"/>
        </w:rPr>
        <w:t xml:space="preserve"> и </w:t>
      </w:r>
      <w:proofErr w:type="spellStart"/>
      <w:r w:rsidR="00DB5223" w:rsidRPr="0057735F">
        <w:rPr>
          <w:lang w:val="ru-RU"/>
        </w:rPr>
        <w:t>7C</w:t>
      </w:r>
      <w:proofErr w:type="spellEnd"/>
      <w:r w:rsidR="00DB5223" w:rsidRPr="0057735F">
        <w:rPr>
          <w:lang w:val="ru-RU"/>
        </w:rPr>
        <w:t>.</w:t>
      </w:r>
    </w:p>
    <w:p w:rsidR="00DB5223" w:rsidRPr="0057735F" w:rsidRDefault="00DB5223" w:rsidP="007D1C8C">
      <w:pPr>
        <w:pStyle w:val="Heading1"/>
        <w:spacing w:before="360"/>
        <w:rPr>
          <w:sz w:val="24"/>
          <w:szCs w:val="24"/>
          <w:lang w:val="ru-RU"/>
        </w:rPr>
      </w:pPr>
      <w:r w:rsidRPr="0057735F">
        <w:rPr>
          <w:sz w:val="24"/>
          <w:szCs w:val="24"/>
          <w:lang w:val="ru-RU"/>
        </w:rPr>
        <w:t>5</w:t>
      </w:r>
      <w:r w:rsidRPr="0057735F">
        <w:rPr>
          <w:sz w:val="24"/>
          <w:szCs w:val="24"/>
          <w:lang w:val="ru-RU"/>
        </w:rPr>
        <w:tab/>
        <w:t>Результативность</w:t>
      </w:r>
    </w:p>
    <w:p w:rsidR="00DB5223" w:rsidRPr="0057735F" w:rsidRDefault="00DB5223" w:rsidP="008D6235">
      <w:pPr>
        <w:rPr>
          <w:lang w:val="ru-RU"/>
        </w:rPr>
      </w:pPr>
      <w:r w:rsidRPr="0057735F">
        <w:rPr>
          <w:lang w:val="ru-RU"/>
        </w:rPr>
        <w:t>Ассамблея радиосвязи 20</w:t>
      </w:r>
      <w:r w:rsidR="002170CB" w:rsidRPr="0057735F">
        <w:rPr>
          <w:lang w:val="ru-RU"/>
        </w:rPr>
        <w:t>12 </w:t>
      </w:r>
      <w:r w:rsidRPr="0057735F">
        <w:rPr>
          <w:lang w:val="ru-RU"/>
        </w:rPr>
        <w:t xml:space="preserve">года поручила </w:t>
      </w:r>
      <w:proofErr w:type="spellStart"/>
      <w:r w:rsidRPr="0057735F">
        <w:rPr>
          <w:lang w:val="ru-RU"/>
        </w:rPr>
        <w:t>ИК7</w:t>
      </w:r>
      <w:proofErr w:type="spellEnd"/>
      <w:r w:rsidRPr="0057735F">
        <w:rPr>
          <w:lang w:val="ru-RU"/>
        </w:rPr>
        <w:t xml:space="preserve"> 3</w:t>
      </w:r>
      <w:r w:rsidR="002170CB" w:rsidRPr="0057735F">
        <w:rPr>
          <w:lang w:val="ru-RU"/>
        </w:rPr>
        <w:t>5</w:t>
      </w:r>
      <w:r w:rsidRPr="0057735F">
        <w:rPr>
          <w:lang w:val="ru-RU"/>
        </w:rPr>
        <w:t> Вопрос</w:t>
      </w:r>
      <w:r w:rsidR="002170CB" w:rsidRPr="0057735F">
        <w:rPr>
          <w:lang w:val="ru-RU"/>
        </w:rPr>
        <w:t>ов</w:t>
      </w:r>
      <w:r w:rsidRPr="0057735F">
        <w:rPr>
          <w:lang w:val="ru-RU"/>
        </w:rPr>
        <w:t xml:space="preserve">. За цикл ИК </w:t>
      </w:r>
      <w:r w:rsidR="008D6235" w:rsidRPr="0057735F">
        <w:rPr>
          <w:lang w:val="ru-RU"/>
        </w:rPr>
        <w:t>один</w:t>
      </w:r>
      <w:r w:rsidRPr="0057735F">
        <w:rPr>
          <w:lang w:val="ru-RU"/>
        </w:rPr>
        <w:t xml:space="preserve"> Вопрос был пересмо</w:t>
      </w:r>
      <w:r w:rsidR="008D6235" w:rsidRPr="0057735F">
        <w:rPr>
          <w:lang w:val="ru-RU"/>
        </w:rPr>
        <w:t>трен, два</w:t>
      </w:r>
      <w:r w:rsidRPr="0057735F">
        <w:rPr>
          <w:lang w:val="ru-RU"/>
        </w:rPr>
        <w:t xml:space="preserve"> Вопроса исключены</w:t>
      </w:r>
      <w:r w:rsidR="00FD1955" w:rsidRPr="0057735F">
        <w:rPr>
          <w:lang w:val="ru-RU"/>
        </w:rPr>
        <w:t>,</w:t>
      </w:r>
      <w:r w:rsidRPr="0057735F">
        <w:rPr>
          <w:lang w:val="ru-RU"/>
        </w:rPr>
        <w:t xml:space="preserve"> и разработаны проекты </w:t>
      </w:r>
      <w:r w:rsidR="008D6235" w:rsidRPr="0057735F">
        <w:rPr>
          <w:lang w:val="ru-RU"/>
        </w:rPr>
        <w:t>трех</w:t>
      </w:r>
      <w:r w:rsidRPr="0057735F">
        <w:rPr>
          <w:lang w:val="ru-RU"/>
        </w:rPr>
        <w:t xml:space="preserve"> новых Вопросов.</w:t>
      </w:r>
    </w:p>
    <w:p w:rsidR="00DB5223" w:rsidRPr="0057735F" w:rsidRDefault="00DB5223" w:rsidP="008D6235">
      <w:pPr>
        <w:rPr>
          <w:lang w:val="ru-RU"/>
        </w:rPr>
      </w:pPr>
      <w:r w:rsidRPr="0057735F">
        <w:rPr>
          <w:lang w:val="ru-RU"/>
        </w:rPr>
        <w:t xml:space="preserve">Кроме того, ИК отвечает за поддержание и ведение </w:t>
      </w:r>
      <w:r w:rsidRPr="0057735F">
        <w:rPr>
          <w:highlight w:val="yellow"/>
          <w:lang w:val="ru-RU"/>
        </w:rPr>
        <w:t>1</w:t>
      </w:r>
      <w:r w:rsidR="008D6235" w:rsidRPr="0057735F">
        <w:rPr>
          <w:highlight w:val="yellow"/>
          <w:lang w:val="ru-RU"/>
        </w:rPr>
        <w:t>24</w:t>
      </w:r>
      <w:r w:rsidRPr="0057735F">
        <w:rPr>
          <w:lang w:val="ru-RU"/>
        </w:rPr>
        <w:t xml:space="preserve"> Рекомендаций МСЭ-R. Эти Рекомендации опубликованы в одной из четырех серий Рекомендаций:</w:t>
      </w:r>
    </w:p>
    <w:p w:rsidR="00DB5223" w:rsidRPr="0057735F" w:rsidRDefault="00DB5223" w:rsidP="00DB5223">
      <w:pPr>
        <w:pStyle w:val="enumlev1"/>
        <w:rPr>
          <w:lang w:val="ru-RU"/>
        </w:rPr>
      </w:pPr>
      <w:r w:rsidRPr="0057735F">
        <w:rPr>
          <w:lang w:val="ru-RU"/>
        </w:rPr>
        <w:t>–</w:t>
      </w:r>
      <w:r w:rsidRPr="0057735F">
        <w:rPr>
          <w:lang w:val="ru-RU"/>
        </w:rPr>
        <w:tab/>
        <w:t xml:space="preserve">серия </w:t>
      </w:r>
      <w:proofErr w:type="spellStart"/>
      <w:r w:rsidRPr="0057735F">
        <w:rPr>
          <w:lang w:val="ru-RU"/>
        </w:rPr>
        <w:t>RA</w:t>
      </w:r>
      <w:proofErr w:type="spellEnd"/>
      <w:r w:rsidRPr="0057735F">
        <w:rPr>
          <w:lang w:val="ru-RU"/>
        </w:rPr>
        <w:t>, касающаяся радиоастрономии и радиолокационной астрономии (14 Рекомендаций);</w:t>
      </w:r>
    </w:p>
    <w:p w:rsidR="00DB5223" w:rsidRPr="0057735F" w:rsidRDefault="00DB5223" w:rsidP="00FD1955">
      <w:pPr>
        <w:pStyle w:val="enumlev1"/>
        <w:rPr>
          <w:lang w:val="ru-RU"/>
        </w:rPr>
      </w:pPr>
      <w:r w:rsidRPr="0057735F">
        <w:rPr>
          <w:lang w:val="ru-RU"/>
        </w:rPr>
        <w:t>–</w:t>
      </w:r>
      <w:r w:rsidRPr="0057735F">
        <w:rPr>
          <w:lang w:val="ru-RU"/>
        </w:rPr>
        <w:tab/>
        <w:t xml:space="preserve">серия </w:t>
      </w:r>
      <w:proofErr w:type="spellStart"/>
      <w:r w:rsidRPr="0057735F">
        <w:rPr>
          <w:lang w:val="ru-RU"/>
        </w:rPr>
        <w:t>SA</w:t>
      </w:r>
      <w:proofErr w:type="spellEnd"/>
      <w:r w:rsidRPr="0057735F">
        <w:rPr>
          <w:lang w:val="ru-RU"/>
        </w:rPr>
        <w:t xml:space="preserve">, касающаяся </w:t>
      </w:r>
      <w:r w:rsidR="00FD1955" w:rsidRPr="0057735F">
        <w:rPr>
          <w:lang w:val="ru-RU"/>
        </w:rPr>
        <w:t>применений</w:t>
      </w:r>
      <w:r w:rsidRPr="0057735F">
        <w:rPr>
          <w:lang w:val="ru-RU"/>
        </w:rPr>
        <w:t xml:space="preserve"> космической радиосвязи (65 Рекомендаций);</w:t>
      </w:r>
    </w:p>
    <w:p w:rsidR="00DB5223" w:rsidRPr="0057735F" w:rsidRDefault="00DB5223" w:rsidP="00DB5223">
      <w:pPr>
        <w:pStyle w:val="enumlev1"/>
        <w:rPr>
          <w:lang w:val="ru-RU"/>
        </w:rPr>
      </w:pPr>
      <w:r w:rsidRPr="0057735F">
        <w:rPr>
          <w:lang w:val="ru-RU"/>
        </w:rPr>
        <w:t>–</w:t>
      </w:r>
      <w:r w:rsidRPr="0057735F">
        <w:rPr>
          <w:lang w:val="ru-RU"/>
        </w:rPr>
        <w:tab/>
        <w:t xml:space="preserve">серия </w:t>
      </w:r>
      <w:proofErr w:type="spellStart"/>
      <w:r w:rsidRPr="0057735F">
        <w:rPr>
          <w:lang w:val="ru-RU"/>
        </w:rPr>
        <w:t>RS</w:t>
      </w:r>
      <w:proofErr w:type="spellEnd"/>
      <w:r w:rsidRPr="0057735F">
        <w:rPr>
          <w:lang w:val="ru-RU"/>
        </w:rPr>
        <w:t>, касающаяся систем дистанционного зондирования (36 Рекомендаций); и</w:t>
      </w:r>
    </w:p>
    <w:p w:rsidR="00DB5223" w:rsidRPr="0057735F" w:rsidRDefault="00DB5223" w:rsidP="00FD1955">
      <w:pPr>
        <w:pStyle w:val="enumlev1"/>
        <w:rPr>
          <w:lang w:val="ru-RU"/>
        </w:rPr>
      </w:pPr>
      <w:r w:rsidRPr="0057735F">
        <w:rPr>
          <w:lang w:val="ru-RU"/>
        </w:rPr>
        <w:t>–</w:t>
      </w:r>
      <w:r w:rsidRPr="0057735F">
        <w:rPr>
          <w:lang w:val="ru-RU"/>
        </w:rPr>
        <w:tab/>
        <w:t xml:space="preserve">серия </w:t>
      </w:r>
      <w:proofErr w:type="spellStart"/>
      <w:r w:rsidRPr="0057735F">
        <w:rPr>
          <w:lang w:val="ru-RU"/>
        </w:rPr>
        <w:t>TF</w:t>
      </w:r>
      <w:proofErr w:type="spellEnd"/>
      <w:r w:rsidRPr="0057735F">
        <w:rPr>
          <w:lang w:val="ru-RU"/>
        </w:rPr>
        <w:t>, касающаяся передач</w:t>
      </w:r>
      <w:r w:rsidR="00FD1955" w:rsidRPr="0057735F">
        <w:rPr>
          <w:lang w:val="ru-RU"/>
        </w:rPr>
        <w:t>и</w:t>
      </w:r>
      <w:r w:rsidRPr="0057735F">
        <w:rPr>
          <w:lang w:val="ru-RU"/>
        </w:rPr>
        <w:t xml:space="preserve"> сигналов времени и </w:t>
      </w:r>
      <w:r w:rsidR="00FD1955" w:rsidRPr="0057735F">
        <w:rPr>
          <w:lang w:val="ru-RU"/>
        </w:rPr>
        <w:t>эталонных</w:t>
      </w:r>
      <w:r w:rsidR="00625D3A" w:rsidRPr="0057735F">
        <w:rPr>
          <w:lang w:val="ru-RU"/>
        </w:rPr>
        <w:t xml:space="preserve"> </w:t>
      </w:r>
      <w:r w:rsidRPr="0057735F">
        <w:rPr>
          <w:lang w:val="ru-RU"/>
        </w:rPr>
        <w:t>частот (23 Рекомендации).</w:t>
      </w:r>
    </w:p>
    <w:p w:rsidR="008B544E" w:rsidRPr="0057735F" w:rsidRDefault="00DB5223" w:rsidP="008D6235">
      <w:pPr>
        <w:rPr>
          <w:lang w:val="ru-RU" w:eastAsia="zh-CN"/>
        </w:rPr>
      </w:pPr>
      <w:r w:rsidRPr="0057735F">
        <w:rPr>
          <w:lang w:val="ru-RU"/>
        </w:rPr>
        <w:t xml:space="preserve">За отчетный период ИК </w:t>
      </w:r>
      <w:r w:rsidR="008D6235" w:rsidRPr="0057735F">
        <w:rPr>
          <w:lang w:val="ru-RU"/>
        </w:rPr>
        <w:t>одобрила,</w:t>
      </w:r>
      <w:r w:rsidRPr="0057735F">
        <w:rPr>
          <w:lang w:val="ru-RU"/>
        </w:rPr>
        <w:t xml:space="preserve"> и Государства-Члены утвердили 1</w:t>
      </w:r>
      <w:r w:rsidR="008D6235" w:rsidRPr="0057735F">
        <w:rPr>
          <w:lang w:val="ru-RU"/>
        </w:rPr>
        <w:t>2</w:t>
      </w:r>
      <w:r w:rsidRPr="0057735F">
        <w:rPr>
          <w:lang w:val="ru-RU"/>
        </w:rPr>
        <w:t xml:space="preserve"> пересмотренных Рекомендаций и 1</w:t>
      </w:r>
      <w:r w:rsidR="008D6235" w:rsidRPr="0057735F">
        <w:rPr>
          <w:lang w:val="ru-RU"/>
        </w:rPr>
        <w:t>1</w:t>
      </w:r>
      <w:r w:rsidRPr="0057735F">
        <w:rPr>
          <w:lang w:val="ru-RU"/>
        </w:rPr>
        <w:t xml:space="preserve"> новых Рекомендаций МСЭ-R, при этом </w:t>
      </w:r>
      <w:r w:rsidR="008D6235" w:rsidRPr="0057735F">
        <w:rPr>
          <w:lang w:val="ru-RU"/>
        </w:rPr>
        <w:t>2</w:t>
      </w:r>
      <w:r w:rsidRPr="0057735F">
        <w:rPr>
          <w:lang w:val="ru-RU"/>
        </w:rPr>
        <w:t xml:space="preserve"> Рекомендаци</w:t>
      </w:r>
      <w:r w:rsidR="008D6235" w:rsidRPr="0057735F">
        <w:rPr>
          <w:lang w:val="ru-RU"/>
        </w:rPr>
        <w:t>и</w:t>
      </w:r>
      <w:r w:rsidRPr="0057735F">
        <w:rPr>
          <w:lang w:val="ru-RU"/>
        </w:rPr>
        <w:t xml:space="preserve"> был</w:t>
      </w:r>
      <w:r w:rsidR="008D6235" w:rsidRPr="0057735F">
        <w:rPr>
          <w:lang w:val="ru-RU"/>
        </w:rPr>
        <w:t>и</w:t>
      </w:r>
      <w:r w:rsidRPr="0057735F">
        <w:rPr>
          <w:lang w:val="ru-RU"/>
        </w:rPr>
        <w:t xml:space="preserve"> исключ</w:t>
      </w:r>
      <w:r w:rsidR="008D6235" w:rsidRPr="0057735F">
        <w:rPr>
          <w:lang w:val="ru-RU"/>
        </w:rPr>
        <w:t>ены</w:t>
      </w:r>
      <w:r w:rsidRPr="0057735F">
        <w:rPr>
          <w:lang w:val="ru-RU"/>
        </w:rPr>
        <w:t>.</w:t>
      </w:r>
    </w:p>
    <w:p w:rsidR="002D20C3" w:rsidRPr="0057735F" w:rsidRDefault="002D20C3" w:rsidP="002D20C3">
      <w:pPr>
        <w:rPr>
          <w:lang w:val="ru-RU"/>
        </w:rPr>
      </w:pPr>
      <w:r w:rsidRPr="0057735F">
        <w:rPr>
          <w:lang w:val="ru-RU"/>
        </w:rPr>
        <w:t xml:space="preserve">ИК пересмотрела также четыре Отчета МСЭ-R и </w:t>
      </w:r>
      <w:proofErr w:type="gramStart"/>
      <w:r w:rsidRPr="0057735F">
        <w:rPr>
          <w:lang w:val="ru-RU"/>
        </w:rPr>
        <w:t>разработала</w:t>
      </w:r>
      <w:proofErr w:type="gramEnd"/>
      <w:r w:rsidRPr="0057735F">
        <w:rPr>
          <w:lang w:val="ru-RU"/>
        </w:rPr>
        <w:t xml:space="preserve"> и утвердила 25 новых Отчетов МСЭ-R. Четыре из этих Отчетов были разработаны </w:t>
      </w:r>
      <w:proofErr w:type="spellStart"/>
      <w:r w:rsidRPr="0057735F">
        <w:rPr>
          <w:lang w:val="ru-RU"/>
        </w:rPr>
        <w:t>ОЦГ</w:t>
      </w:r>
      <w:proofErr w:type="spellEnd"/>
      <w:r w:rsidRPr="0057735F">
        <w:rPr>
          <w:lang w:val="ru-RU"/>
        </w:rPr>
        <w:t xml:space="preserve"> 4-5-6-7 и утверждены </w:t>
      </w:r>
      <w:proofErr w:type="spellStart"/>
      <w:r w:rsidRPr="0057735F">
        <w:rPr>
          <w:lang w:val="ru-RU"/>
        </w:rPr>
        <w:t>ИК7</w:t>
      </w:r>
      <w:proofErr w:type="spellEnd"/>
      <w:r w:rsidRPr="0057735F">
        <w:rPr>
          <w:lang w:val="ru-RU"/>
        </w:rPr>
        <w:t>.</w:t>
      </w:r>
    </w:p>
    <w:p w:rsidR="002D20C3" w:rsidRPr="0057735F" w:rsidRDefault="002D20C3" w:rsidP="003F7A4B">
      <w:pPr>
        <w:keepNext/>
        <w:pageBreakBefore/>
        <w:spacing w:after="120"/>
        <w:rPr>
          <w:lang w:val="ru-RU"/>
        </w:rPr>
      </w:pPr>
      <w:r w:rsidRPr="0057735F">
        <w:rPr>
          <w:lang w:val="ru-RU"/>
        </w:rPr>
        <w:lastRenderedPageBreak/>
        <w:t xml:space="preserve">Ряд новых Рекомендаций и Отчетов имеют отношение к пунктам повестки дня </w:t>
      </w:r>
      <w:proofErr w:type="spellStart"/>
      <w:r w:rsidRPr="0057735F">
        <w:rPr>
          <w:lang w:val="ru-RU"/>
        </w:rPr>
        <w:t>ВКР</w:t>
      </w:r>
      <w:proofErr w:type="spellEnd"/>
      <w:r w:rsidRPr="0057735F">
        <w:rPr>
          <w:lang w:val="ru-RU"/>
        </w:rPr>
        <w:t>-15.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10"/>
        <w:gridCol w:w="3210"/>
      </w:tblGrid>
      <w:tr w:rsidR="002D20C3" w:rsidRPr="0057735F" w:rsidTr="002D20C3">
        <w:tc>
          <w:tcPr>
            <w:tcW w:w="3209" w:type="dxa"/>
            <w:shd w:val="clear" w:color="auto" w:fill="auto"/>
            <w:vAlign w:val="center"/>
          </w:tcPr>
          <w:p w:rsidR="002D20C3" w:rsidRPr="0057735F" w:rsidRDefault="002D20C3" w:rsidP="002D20C3">
            <w:pPr>
              <w:pStyle w:val="Tablehead"/>
              <w:rPr>
                <w:lang w:val="ru-RU"/>
              </w:rPr>
            </w:pPr>
            <w:r w:rsidRPr="0057735F">
              <w:rPr>
                <w:lang w:val="ru-RU"/>
              </w:rPr>
              <w:t>Пересмотренные Вопросы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2D20C3">
            <w:pPr>
              <w:pStyle w:val="Tablehead"/>
              <w:rPr>
                <w:lang w:val="ru-RU"/>
              </w:rPr>
            </w:pPr>
            <w:r w:rsidRPr="0057735F">
              <w:rPr>
                <w:lang w:val="ru-RU"/>
              </w:rPr>
              <w:t>Новые Вопросы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2D20C3">
            <w:pPr>
              <w:pStyle w:val="Tablehead"/>
              <w:rPr>
                <w:lang w:val="ru-RU"/>
              </w:rPr>
            </w:pPr>
            <w:r w:rsidRPr="0057735F">
              <w:rPr>
                <w:lang w:val="ru-RU"/>
              </w:rPr>
              <w:t>Исключенные Вопросы</w:t>
            </w:r>
          </w:p>
        </w:tc>
      </w:tr>
      <w:tr w:rsidR="002D20C3" w:rsidRPr="0057735F" w:rsidTr="002D20C3">
        <w:tc>
          <w:tcPr>
            <w:tcW w:w="3209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r w:rsidRPr="0057735F">
              <w:rPr>
                <w:lang w:val="ru-RU"/>
              </w:rPr>
              <w:t>236-1/7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r w:rsidRPr="0057735F">
              <w:rPr>
                <w:lang w:val="ru-RU"/>
              </w:rPr>
              <w:t>254/7, 255/7, 256/7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r w:rsidRPr="0057735F">
              <w:rPr>
                <w:lang w:val="ru-RU"/>
              </w:rPr>
              <w:t>149-1/7, 235-1/7</w:t>
            </w:r>
          </w:p>
        </w:tc>
      </w:tr>
    </w:tbl>
    <w:p w:rsidR="002D20C3" w:rsidRPr="0057735F" w:rsidRDefault="002D20C3" w:rsidP="002D20C3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10"/>
        <w:gridCol w:w="3210"/>
      </w:tblGrid>
      <w:tr w:rsidR="002D20C3" w:rsidRPr="0057735F" w:rsidTr="002D20C3">
        <w:tc>
          <w:tcPr>
            <w:tcW w:w="3209" w:type="dxa"/>
            <w:shd w:val="clear" w:color="auto" w:fill="auto"/>
            <w:vAlign w:val="center"/>
          </w:tcPr>
          <w:p w:rsidR="002D20C3" w:rsidRPr="0057735F" w:rsidRDefault="002D20C3" w:rsidP="002D20C3">
            <w:pPr>
              <w:pStyle w:val="Tablehead"/>
              <w:rPr>
                <w:lang w:val="ru-RU"/>
              </w:rPr>
            </w:pPr>
            <w:r w:rsidRPr="0057735F">
              <w:rPr>
                <w:lang w:val="ru-RU"/>
              </w:rPr>
              <w:t>Пересмотренные Рекомендации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2D20C3">
            <w:pPr>
              <w:pStyle w:val="Tablehead"/>
              <w:rPr>
                <w:lang w:val="ru-RU"/>
              </w:rPr>
            </w:pPr>
            <w:r w:rsidRPr="0057735F">
              <w:rPr>
                <w:lang w:val="ru-RU"/>
              </w:rPr>
              <w:t>Новые Рекомендации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2D20C3">
            <w:pPr>
              <w:pStyle w:val="Tablehead"/>
              <w:rPr>
                <w:lang w:val="ru-RU"/>
              </w:rPr>
            </w:pPr>
            <w:r w:rsidRPr="0057735F">
              <w:rPr>
                <w:lang w:val="ru-RU"/>
              </w:rPr>
              <w:t>Исключенные Рекомендации</w:t>
            </w:r>
          </w:p>
        </w:tc>
      </w:tr>
      <w:tr w:rsidR="002D20C3" w:rsidRPr="0057735F" w:rsidTr="002D20C3">
        <w:tc>
          <w:tcPr>
            <w:tcW w:w="3209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RA.1417</w:t>
            </w:r>
            <w:proofErr w:type="spellEnd"/>
            <w:r w:rsidRPr="0057735F">
              <w:rPr>
                <w:lang w:val="ru-RU"/>
              </w:rPr>
              <w:t xml:space="preserve">-1, </w:t>
            </w:r>
            <w:proofErr w:type="spellStart"/>
            <w:r w:rsidRPr="0057735F">
              <w:rPr>
                <w:lang w:val="ru-RU"/>
              </w:rPr>
              <w:t>RA.1513</w:t>
            </w:r>
            <w:proofErr w:type="spellEnd"/>
            <w:r w:rsidRPr="0057735F">
              <w:rPr>
                <w:lang w:val="ru-RU"/>
              </w:rPr>
              <w:t>-2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2D20C3" w:rsidRPr="0057735F" w:rsidTr="002D20C3">
        <w:tc>
          <w:tcPr>
            <w:tcW w:w="3209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SA.509</w:t>
            </w:r>
            <w:proofErr w:type="spellEnd"/>
            <w:r w:rsidRPr="0057735F">
              <w:rPr>
                <w:lang w:val="ru-RU"/>
              </w:rPr>
              <w:t xml:space="preserve">-3, </w:t>
            </w:r>
            <w:proofErr w:type="spellStart"/>
            <w:r w:rsidRPr="0057735F">
              <w:rPr>
                <w:lang w:val="ru-RU"/>
              </w:rPr>
              <w:t>SA.1155</w:t>
            </w:r>
            <w:proofErr w:type="spellEnd"/>
            <w:r w:rsidRPr="0057735F">
              <w:rPr>
                <w:lang w:val="ru-RU"/>
              </w:rPr>
              <w:t xml:space="preserve">-1, </w:t>
            </w:r>
            <w:proofErr w:type="spellStart"/>
            <w:r w:rsidRPr="0057735F">
              <w:rPr>
                <w:lang w:val="ru-RU"/>
              </w:rPr>
              <w:t>SA.1275</w:t>
            </w:r>
            <w:proofErr w:type="spellEnd"/>
            <w:r w:rsidRPr="0057735F">
              <w:rPr>
                <w:lang w:val="ru-RU"/>
              </w:rPr>
              <w:t xml:space="preserve">-4, </w:t>
            </w:r>
            <w:proofErr w:type="spellStart"/>
            <w:r w:rsidRPr="0057735F">
              <w:rPr>
                <w:lang w:val="ru-RU"/>
              </w:rPr>
              <w:t>SA.1276</w:t>
            </w:r>
            <w:proofErr w:type="spellEnd"/>
            <w:r w:rsidRPr="0057735F">
              <w:rPr>
                <w:lang w:val="ru-RU"/>
              </w:rPr>
              <w:t xml:space="preserve">-4, </w:t>
            </w:r>
            <w:proofErr w:type="spellStart"/>
            <w:r w:rsidRPr="0057735F">
              <w:rPr>
                <w:lang w:val="ru-RU"/>
              </w:rPr>
              <w:t>SA.1414</w:t>
            </w:r>
            <w:proofErr w:type="spellEnd"/>
            <w:r w:rsidRPr="0057735F">
              <w:rPr>
                <w:lang w:val="ru-RU"/>
              </w:rPr>
              <w:t xml:space="preserve">-1, </w:t>
            </w:r>
            <w:proofErr w:type="spellStart"/>
            <w:r w:rsidRPr="0057735F">
              <w:rPr>
                <w:lang w:val="ru-RU"/>
              </w:rPr>
              <w:t>SA.1626</w:t>
            </w:r>
            <w:proofErr w:type="spellEnd"/>
            <w:r w:rsidRPr="0057735F">
              <w:rPr>
                <w:lang w:val="ru-RU"/>
              </w:rPr>
              <w:t>-1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SA.2044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SA.2045</w:t>
            </w:r>
            <w:proofErr w:type="spellEnd"/>
            <w:r w:rsidRPr="0057735F">
              <w:rPr>
                <w:lang w:val="ru-RU"/>
              </w:rPr>
              <w:t xml:space="preserve">-0, </w:t>
            </w:r>
            <w:r w:rsidRPr="0057735F">
              <w:rPr>
                <w:lang w:val="ru-RU"/>
              </w:rPr>
              <w:br/>
            </w:r>
            <w:proofErr w:type="spellStart"/>
            <w:r w:rsidRPr="0057735F">
              <w:rPr>
                <w:lang w:val="ru-RU"/>
              </w:rPr>
              <w:t>SA.2078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SA.2079</w:t>
            </w:r>
            <w:proofErr w:type="spellEnd"/>
            <w:r w:rsidRPr="0057735F">
              <w:rPr>
                <w:lang w:val="ru-RU"/>
              </w:rPr>
              <w:t>-0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2D20C3" w:rsidRPr="0057735F" w:rsidTr="002D20C3">
        <w:tc>
          <w:tcPr>
            <w:tcW w:w="3209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RS.515</w:t>
            </w:r>
            <w:proofErr w:type="spellEnd"/>
            <w:r w:rsidRPr="0057735F">
              <w:rPr>
                <w:lang w:val="ru-RU"/>
              </w:rPr>
              <w:t>-5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RS.2017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RS.2042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RS.2043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RS.2064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RS.2065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RS.2066</w:t>
            </w:r>
            <w:proofErr w:type="spellEnd"/>
            <w:r w:rsidRPr="0057735F">
              <w:rPr>
                <w:lang w:val="ru-RU"/>
              </w:rPr>
              <w:t>-0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RS.1028</w:t>
            </w:r>
            <w:proofErr w:type="spellEnd"/>
            <w:r w:rsidRPr="0057735F">
              <w:rPr>
                <w:lang w:val="ru-RU"/>
              </w:rPr>
              <w:t xml:space="preserve">-3, </w:t>
            </w:r>
            <w:proofErr w:type="spellStart"/>
            <w:r w:rsidRPr="0057735F">
              <w:rPr>
                <w:lang w:val="ru-RU"/>
              </w:rPr>
              <w:t>RS.1029</w:t>
            </w:r>
            <w:proofErr w:type="spellEnd"/>
            <w:r w:rsidRPr="0057735F">
              <w:rPr>
                <w:lang w:val="ru-RU"/>
              </w:rPr>
              <w:t>-3</w:t>
            </w:r>
          </w:p>
        </w:tc>
      </w:tr>
      <w:tr w:rsidR="002D20C3" w:rsidRPr="0057735F" w:rsidTr="002D20C3">
        <w:tc>
          <w:tcPr>
            <w:tcW w:w="3209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TF.374</w:t>
            </w:r>
            <w:proofErr w:type="spellEnd"/>
            <w:r w:rsidRPr="0057735F">
              <w:rPr>
                <w:lang w:val="ru-RU"/>
              </w:rPr>
              <w:t xml:space="preserve">-6, </w:t>
            </w:r>
            <w:proofErr w:type="spellStart"/>
            <w:r w:rsidRPr="0057735F">
              <w:rPr>
                <w:lang w:val="ru-RU"/>
              </w:rPr>
              <w:t>TF.686</w:t>
            </w:r>
            <w:proofErr w:type="spellEnd"/>
            <w:r w:rsidRPr="0057735F">
              <w:rPr>
                <w:lang w:val="ru-RU"/>
              </w:rPr>
              <w:t xml:space="preserve">-3, </w:t>
            </w:r>
            <w:proofErr w:type="spellStart"/>
            <w:r w:rsidRPr="0057735F">
              <w:rPr>
                <w:lang w:val="ru-RU"/>
              </w:rPr>
              <w:t>TF.1153</w:t>
            </w:r>
            <w:proofErr w:type="spellEnd"/>
            <w:r w:rsidRPr="0057735F">
              <w:rPr>
                <w:lang w:val="ru-RU"/>
              </w:rPr>
              <w:t>-4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TF.2018</w:t>
            </w:r>
            <w:proofErr w:type="spellEnd"/>
            <w:r w:rsidRPr="0057735F">
              <w:rPr>
                <w:lang w:val="ru-RU"/>
              </w:rPr>
              <w:t>-0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</w:p>
        </w:tc>
      </w:tr>
    </w:tbl>
    <w:p w:rsidR="002D20C3" w:rsidRPr="0057735F" w:rsidRDefault="002D20C3" w:rsidP="002D20C3">
      <w:pPr>
        <w:rPr>
          <w:lang w:val="ru-RU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60"/>
      </w:tblGrid>
      <w:tr w:rsidR="002D20C3" w:rsidRPr="0057735F" w:rsidTr="006375D1">
        <w:tc>
          <w:tcPr>
            <w:tcW w:w="3261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head"/>
              <w:rPr>
                <w:lang w:val="ru-RU"/>
              </w:rPr>
            </w:pPr>
            <w:r w:rsidRPr="0057735F">
              <w:rPr>
                <w:lang w:val="ru-RU"/>
              </w:rPr>
              <w:t>Пересмотренные Отчеты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head"/>
              <w:rPr>
                <w:lang w:val="ru-RU"/>
              </w:rPr>
            </w:pPr>
            <w:r w:rsidRPr="0057735F">
              <w:rPr>
                <w:lang w:val="ru-RU"/>
              </w:rPr>
              <w:t>Новые Отчеты</w:t>
            </w:r>
          </w:p>
        </w:tc>
      </w:tr>
      <w:tr w:rsidR="002D20C3" w:rsidRPr="0057735F" w:rsidTr="006375D1">
        <w:tc>
          <w:tcPr>
            <w:tcW w:w="3261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RA.2099</w:t>
            </w:r>
            <w:proofErr w:type="spellEnd"/>
            <w:r w:rsidRPr="0057735F">
              <w:rPr>
                <w:lang w:val="ru-RU"/>
              </w:rPr>
              <w:t xml:space="preserve">-1, </w:t>
            </w:r>
            <w:proofErr w:type="spellStart"/>
            <w:r w:rsidRPr="0057735F">
              <w:rPr>
                <w:lang w:val="ru-RU"/>
              </w:rPr>
              <w:t>RA.2126</w:t>
            </w:r>
            <w:proofErr w:type="spellEnd"/>
            <w:r w:rsidRPr="0057735F">
              <w:rPr>
                <w:lang w:val="ru-RU"/>
              </w:rPr>
              <w:t>-1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RA.2259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RA.2332</w:t>
            </w:r>
            <w:proofErr w:type="spellEnd"/>
            <w:r w:rsidRPr="0057735F">
              <w:rPr>
                <w:lang w:val="ru-RU"/>
              </w:rPr>
              <w:t>-0</w:t>
            </w:r>
          </w:p>
        </w:tc>
      </w:tr>
      <w:tr w:rsidR="002D20C3" w:rsidRPr="0057735F" w:rsidTr="006375D1">
        <w:tc>
          <w:tcPr>
            <w:tcW w:w="3261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SA.2164</w:t>
            </w:r>
            <w:proofErr w:type="spellEnd"/>
            <w:r w:rsidRPr="0057735F">
              <w:rPr>
                <w:lang w:val="ru-RU"/>
              </w:rPr>
              <w:t>-1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SA.2271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SA.2272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SA.2275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SA.2276</w:t>
            </w:r>
            <w:proofErr w:type="spellEnd"/>
            <w:r w:rsidRPr="0057735F">
              <w:rPr>
                <w:lang w:val="ru-RU"/>
              </w:rPr>
              <w:t xml:space="preserve">-1, </w:t>
            </w:r>
            <w:proofErr w:type="spellStart"/>
            <w:r w:rsidRPr="0057735F">
              <w:rPr>
                <w:lang w:val="ru-RU"/>
              </w:rPr>
              <w:t>SA.2277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SA.2307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SA.2309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SA.2312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SA.2325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SA.2329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SA.2348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SA.2349</w:t>
            </w:r>
            <w:proofErr w:type="spellEnd"/>
            <w:r w:rsidRPr="0057735F">
              <w:rPr>
                <w:lang w:val="ru-RU"/>
              </w:rPr>
              <w:t>-0</w:t>
            </w:r>
          </w:p>
        </w:tc>
      </w:tr>
      <w:tr w:rsidR="002D20C3" w:rsidRPr="0057735F" w:rsidTr="006375D1">
        <w:tc>
          <w:tcPr>
            <w:tcW w:w="3261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RS.2068</w:t>
            </w:r>
            <w:proofErr w:type="spellEnd"/>
            <w:r w:rsidRPr="0057735F">
              <w:rPr>
                <w:lang w:val="ru-RU"/>
              </w:rPr>
              <w:t>-1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20C3" w:rsidRPr="0057735F" w:rsidRDefault="002D20C3" w:rsidP="006375D1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57735F">
              <w:rPr>
                <w:lang w:val="ru-RU"/>
              </w:rPr>
              <w:t>RS.2260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RS.2273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RS.2274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RS.2308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RS.2310</w:t>
            </w:r>
            <w:proofErr w:type="spellEnd"/>
            <w:r w:rsidRPr="0057735F">
              <w:rPr>
                <w:lang w:val="ru-RU"/>
              </w:rPr>
              <w:t xml:space="preserve">-1, </w:t>
            </w:r>
            <w:proofErr w:type="spellStart"/>
            <w:r w:rsidRPr="0057735F">
              <w:rPr>
                <w:lang w:val="ru-RU"/>
              </w:rPr>
              <w:t>RS.2311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RS.2313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RS.2314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RS.2315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RS.2336</w:t>
            </w:r>
            <w:proofErr w:type="spellEnd"/>
            <w:r w:rsidRPr="0057735F">
              <w:rPr>
                <w:lang w:val="ru-RU"/>
              </w:rPr>
              <w:t xml:space="preserve">-0, </w:t>
            </w:r>
            <w:proofErr w:type="spellStart"/>
            <w:r w:rsidRPr="0057735F">
              <w:rPr>
                <w:lang w:val="ru-RU"/>
              </w:rPr>
              <w:t>RS.2350</w:t>
            </w:r>
            <w:proofErr w:type="spellEnd"/>
            <w:r w:rsidRPr="0057735F">
              <w:rPr>
                <w:lang w:val="ru-RU"/>
              </w:rPr>
              <w:t>-0</w:t>
            </w:r>
          </w:p>
        </w:tc>
      </w:tr>
    </w:tbl>
    <w:p w:rsidR="00D433D1" w:rsidRPr="0057735F" w:rsidRDefault="00D433D1" w:rsidP="003F7A4B">
      <w:pPr>
        <w:spacing w:before="240"/>
        <w:rPr>
          <w:lang w:val="ru-RU"/>
        </w:rPr>
      </w:pPr>
      <w:r w:rsidRPr="0057735F">
        <w:rPr>
          <w:lang w:val="ru-RU"/>
        </w:rPr>
        <w:t xml:space="preserve">В настоящее время у </w:t>
      </w:r>
      <w:proofErr w:type="spellStart"/>
      <w:r w:rsidRPr="0057735F">
        <w:rPr>
          <w:lang w:val="ru-RU"/>
        </w:rPr>
        <w:t>ИК7</w:t>
      </w:r>
      <w:proofErr w:type="spellEnd"/>
      <w:r w:rsidRPr="0057735F">
        <w:rPr>
          <w:lang w:val="ru-RU"/>
        </w:rPr>
        <w:t xml:space="preserve"> имеется шесть действующих Справочников, два из них были </w:t>
      </w:r>
      <w:r w:rsidR="00B606DD" w:rsidRPr="0057735F">
        <w:rPr>
          <w:lang w:val="ru-RU"/>
        </w:rPr>
        <w:t>отредактированы</w:t>
      </w:r>
      <w:r w:rsidRPr="0057735F">
        <w:rPr>
          <w:lang w:val="ru-RU"/>
        </w:rPr>
        <w:t xml:space="preserve"> в этом цикле:</w:t>
      </w:r>
    </w:p>
    <w:p w:rsidR="00D433D1" w:rsidRPr="0057735F" w:rsidRDefault="00D433D1" w:rsidP="00B606DD">
      <w:pPr>
        <w:rPr>
          <w:lang w:val="ru-RU"/>
        </w:rPr>
      </w:pPr>
      <w:r w:rsidRPr="0057735F">
        <w:rPr>
          <w:b/>
          <w:bCs/>
          <w:lang w:val="ru-RU"/>
        </w:rPr>
        <w:t xml:space="preserve">Справочник </w:t>
      </w:r>
      <w:r w:rsidRPr="0057735F">
        <w:rPr>
          <w:lang w:val="ru-RU"/>
        </w:rPr>
        <w:t>"</w:t>
      </w:r>
      <w:r w:rsidRPr="0057735F">
        <w:rPr>
          <w:b/>
          <w:bCs/>
          <w:lang w:val="ru-RU"/>
        </w:rPr>
        <w:t>Использование радиочастотного спектра в метеорологии: прогнозирование и мониторинг погоды, климата и качества воды</w:t>
      </w:r>
      <w:r w:rsidRPr="0057735F">
        <w:rPr>
          <w:lang w:val="ru-RU"/>
        </w:rPr>
        <w:t>" – это второе издание совместного Справочника МСЭ/</w:t>
      </w:r>
      <w:proofErr w:type="spellStart"/>
      <w:r w:rsidRPr="0057735F">
        <w:rPr>
          <w:lang w:val="ru-RU"/>
        </w:rPr>
        <w:t>ВМО</w:t>
      </w:r>
      <w:proofErr w:type="spellEnd"/>
      <w:r w:rsidR="00B606DD" w:rsidRPr="0057735F">
        <w:rPr>
          <w:lang w:val="ru-RU"/>
        </w:rPr>
        <w:t xml:space="preserve"> по метеорологии, опубликованного</w:t>
      </w:r>
      <w:r w:rsidRPr="0057735F">
        <w:rPr>
          <w:lang w:val="ru-RU"/>
        </w:rPr>
        <w:t xml:space="preserve"> в 2008 году. Этот Справочник подписа</w:t>
      </w:r>
      <w:r w:rsidR="00B606DD" w:rsidRPr="0057735F">
        <w:rPr>
          <w:lang w:val="ru-RU"/>
        </w:rPr>
        <w:t>ли</w:t>
      </w:r>
      <w:r w:rsidRPr="0057735F">
        <w:rPr>
          <w:lang w:val="ru-RU"/>
        </w:rPr>
        <w:t xml:space="preserve"> совместно Генеральны</w:t>
      </w:r>
      <w:r w:rsidR="00B606DD" w:rsidRPr="0057735F">
        <w:rPr>
          <w:lang w:val="ru-RU"/>
        </w:rPr>
        <w:t>е</w:t>
      </w:r>
      <w:r w:rsidRPr="0057735F">
        <w:rPr>
          <w:lang w:val="ru-RU"/>
        </w:rPr>
        <w:t xml:space="preserve"> секретари двух организаций системы Организации Объединенных Наций</w:t>
      </w:r>
      <w:r w:rsidR="00B606DD" w:rsidRPr="0057735F">
        <w:rPr>
          <w:lang w:val="ru-RU"/>
        </w:rPr>
        <w:t> </w:t>
      </w:r>
      <w:r w:rsidRPr="0057735F">
        <w:rPr>
          <w:lang w:val="ru-RU"/>
        </w:rPr>
        <w:t>– МСЭ и </w:t>
      </w:r>
      <w:proofErr w:type="spellStart"/>
      <w:r w:rsidRPr="0057735F">
        <w:rPr>
          <w:lang w:val="ru-RU"/>
        </w:rPr>
        <w:t>ВМО</w:t>
      </w:r>
      <w:proofErr w:type="spellEnd"/>
      <w:r w:rsidRPr="0057735F">
        <w:rPr>
          <w:lang w:val="ru-RU"/>
        </w:rPr>
        <w:t>.</w:t>
      </w:r>
    </w:p>
    <w:p w:rsidR="00D433D1" w:rsidRPr="0057735F" w:rsidRDefault="00D433D1" w:rsidP="00EA045F">
      <w:pPr>
        <w:rPr>
          <w:lang w:val="ru-RU"/>
        </w:rPr>
      </w:pPr>
      <w:r w:rsidRPr="0057735F">
        <w:rPr>
          <w:b/>
          <w:bCs/>
          <w:lang w:val="ru-RU"/>
        </w:rPr>
        <w:t>Справочник по радиоастрономии</w:t>
      </w:r>
      <w:r w:rsidRPr="0057735F">
        <w:rPr>
          <w:lang w:val="ru-RU"/>
        </w:rPr>
        <w:t xml:space="preserve"> – это </w:t>
      </w:r>
      <w:r w:rsidR="00B606DD" w:rsidRPr="0057735F">
        <w:rPr>
          <w:lang w:val="ru-RU"/>
        </w:rPr>
        <w:t>третье</w:t>
      </w:r>
      <w:r w:rsidRPr="0057735F">
        <w:rPr>
          <w:lang w:val="ru-RU"/>
        </w:rPr>
        <w:t xml:space="preserve"> издание Справочника по радиоастрономии, который </w:t>
      </w:r>
      <w:r w:rsidR="00B606DD" w:rsidRPr="0057735F">
        <w:rPr>
          <w:lang w:val="ru-RU"/>
        </w:rPr>
        <w:t xml:space="preserve">был </w:t>
      </w:r>
      <w:r w:rsidR="00EA045F" w:rsidRPr="0057735F">
        <w:rPr>
          <w:lang w:val="ru-RU"/>
        </w:rPr>
        <w:t>существенно</w:t>
      </w:r>
      <w:r w:rsidRPr="0057735F">
        <w:rPr>
          <w:lang w:val="ru-RU"/>
        </w:rPr>
        <w:t xml:space="preserve"> пересм</w:t>
      </w:r>
      <w:r w:rsidR="00B606DD" w:rsidRPr="0057735F">
        <w:rPr>
          <w:lang w:val="ru-RU"/>
        </w:rPr>
        <w:t>отрен</w:t>
      </w:r>
      <w:r w:rsidRPr="0057735F">
        <w:rPr>
          <w:lang w:val="ru-RU"/>
        </w:rPr>
        <w:t xml:space="preserve"> в 2003 году. </w:t>
      </w:r>
    </w:p>
    <w:p w:rsidR="00D433D1" w:rsidRPr="0057735F" w:rsidRDefault="00D433D1" w:rsidP="00D433D1">
      <w:pPr>
        <w:rPr>
          <w:lang w:val="ru-RU"/>
        </w:rPr>
      </w:pPr>
      <w:r w:rsidRPr="0057735F">
        <w:rPr>
          <w:b/>
          <w:bCs/>
          <w:lang w:val="ru-RU"/>
        </w:rPr>
        <w:t>Справочник по выбору и использованию систем точной частоты и точного времени</w:t>
      </w:r>
      <w:r w:rsidRPr="0057735F">
        <w:rPr>
          <w:lang w:val="ru-RU"/>
        </w:rPr>
        <w:t xml:space="preserve"> – это первое издание Справочника по выбору и использованию систем точной частоты и точного времени, разработанного Рабочей группой </w:t>
      </w:r>
      <w:proofErr w:type="spellStart"/>
      <w:r w:rsidRPr="0057735F">
        <w:rPr>
          <w:lang w:val="ru-RU"/>
        </w:rPr>
        <w:t>7A</w:t>
      </w:r>
      <w:proofErr w:type="spellEnd"/>
      <w:r w:rsidRPr="0057735F">
        <w:rPr>
          <w:lang w:val="ru-RU"/>
        </w:rPr>
        <w:t xml:space="preserve"> и опубликованного в 1997 году.</w:t>
      </w:r>
    </w:p>
    <w:p w:rsidR="00D433D1" w:rsidRPr="0057735F" w:rsidRDefault="00D433D1" w:rsidP="006C7DF0">
      <w:pPr>
        <w:rPr>
          <w:lang w:val="ru-RU"/>
        </w:rPr>
      </w:pPr>
      <w:r w:rsidRPr="0057735F">
        <w:rPr>
          <w:b/>
          <w:bCs/>
          <w:lang w:val="ru-RU"/>
        </w:rPr>
        <w:t>Справочник по связи в области космических исследований</w:t>
      </w:r>
      <w:r w:rsidRPr="0057735F">
        <w:rPr>
          <w:lang w:val="ru-RU"/>
        </w:rPr>
        <w:t xml:space="preserve"> – это </w:t>
      </w:r>
      <w:r w:rsidR="00B606DD" w:rsidRPr="0057735F">
        <w:rPr>
          <w:lang w:val="ru-RU"/>
        </w:rPr>
        <w:t>второе</w:t>
      </w:r>
      <w:r w:rsidRPr="0057735F">
        <w:rPr>
          <w:lang w:val="ru-RU"/>
        </w:rPr>
        <w:t xml:space="preserve"> издание Справочника по космическим исследованиям, которое было опубликовано в 20</w:t>
      </w:r>
      <w:r w:rsidR="006C7DF0" w:rsidRPr="0057735F">
        <w:rPr>
          <w:lang w:val="ru-RU"/>
        </w:rPr>
        <w:t>14</w:t>
      </w:r>
      <w:r w:rsidRPr="0057735F">
        <w:rPr>
          <w:lang w:val="ru-RU"/>
        </w:rPr>
        <w:t> году.</w:t>
      </w:r>
    </w:p>
    <w:p w:rsidR="00D433D1" w:rsidRPr="0057735F" w:rsidRDefault="00D433D1" w:rsidP="006C7DF0">
      <w:pPr>
        <w:rPr>
          <w:lang w:val="ru-RU"/>
        </w:rPr>
      </w:pPr>
      <w:r w:rsidRPr="0057735F">
        <w:rPr>
          <w:b/>
          <w:bCs/>
          <w:lang w:val="ru-RU"/>
        </w:rPr>
        <w:t xml:space="preserve">Справочник по спутниковой передаче </w:t>
      </w:r>
      <w:r w:rsidR="006C7DF0" w:rsidRPr="0057735F">
        <w:rPr>
          <w:b/>
          <w:bCs/>
          <w:lang w:val="ru-RU"/>
        </w:rPr>
        <w:t>и распространению</w:t>
      </w:r>
      <w:r w:rsidR="006C7DF0" w:rsidRPr="0057735F">
        <w:rPr>
          <w:lang w:val="ru-RU"/>
        </w:rPr>
        <w:t xml:space="preserve"> </w:t>
      </w:r>
      <w:r w:rsidRPr="0057735F">
        <w:rPr>
          <w:b/>
          <w:bCs/>
          <w:lang w:val="ru-RU"/>
        </w:rPr>
        <w:t>сигналов времени и частоты</w:t>
      </w:r>
      <w:r w:rsidRPr="0057735F">
        <w:rPr>
          <w:lang w:val="ru-RU"/>
        </w:rPr>
        <w:t xml:space="preserve">– это </w:t>
      </w:r>
      <w:r w:rsidR="004B16C4" w:rsidRPr="0057735F">
        <w:rPr>
          <w:lang w:val="ru-RU"/>
        </w:rPr>
        <w:t>первое издание данного</w:t>
      </w:r>
      <w:r w:rsidRPr="0057735F">
        <w:rPr>
          <w:lang w:val="ru-RU"/>
        </w:rPr>
        <w:t xml:space="preserve"> Справочник</w:t>
      </w:r>
      <w:r w:rsidR="004B16C4" w:rsidRPr="0057735F">
        <w:rPr>
          <w:lang w:val="ru-RU"/>
        </w:rPr>
        <w:t>а</w:t>
      </w:r>
      <w:r w:rsidRPr="0057735F">
        <w:rPr>
          <w:lang w:val="ru-RU"/>
        </w:rPr>
        <w:t>, разработанн</w:t>
      </w:r>
      <w:r w:rsidR="004B16C4" w:rsidRPr="0057735F">
        <w:rPr>
          <w:lang w:val="ru-RU"/>
        </w:rPr>
        <w:t>ого</w:t>
      </w:r>
      <w:r w:rsidRPr="0057735F">
        <w:rPr>
          <w:lang w:val="ru-RU"/>
        </w:rPr>
        <w:t xml:space="preserve"> Рабочей группой </w:t>
      </w:r>
      <w:proofErr w:type="spellStart"/>
      <w:r w:rsidRPr="0057735F">
        <w:rPr>
          <w:lang w:val="ru-RU"/>
        </w:rPr>
        <w:t>7A</w:t>
      </w:r>
      <w:proofErr w:type="spellEnd"/>
      <w:r w:rsidRPr="0057735F">
        <w:rPr>
          <w:lang w:val="ru-RU"/>
        </w:rPr>
        <w:t xml:space="preserve"> и опубликованн</w:t>
      </w:r>
      <w:r w:rsidR="004B16C4" w:rsidRPr="0057735F">
        <w:rPr>
          <w:lang w:val="ru-RU"/>
        </w:rPr>
        <w:t>ого</w:t>
      </w:r>
      <w:r w:rsidRPr="0057735F">
        <w:rPr>
          <w:lang w:val="ru-RU"/>
        </w:rPr>
        <w:t xml:space="preserve"> в 2010 году. </w:t>
      </w:r>
    </w:p>
    <w:p w:rsidR="00D433D1" w:rsidRPr="0057735F" w:rsidRDefault="00D433D1" w:rsidP="006C7DF0">
      <w:pPr>
        <w:rPr>
          <w:lang w:val="ru-RU"/>
        </w:rPr>
      </w:pPr>
      <w:r w:rsidRPr="0057735F">
        <w:rPr>
          <w:b/>
          <w:bCs/>
          <w:lang w:val="ru-RU"/>
        </w:rPr>
        <w:t>Справочник по спутниковой службе исследования Земли</w:t>
      </w:r>
      <w:r w:rsidRPr="0057735F">
        <w:rPr>
          <w:lang w:val="ru-RU"/>
        </w:rPr>
        <w:t xml:space="preserve"> – это новый Справочник</w:t>
      </w:r>
      <w:r w:rsidR="004B16C4" w:rsidRPr="0057735F">
        <w:rPr>
          <w:lang w:val="ru-RU"/>
        </w:rPr>
        <w:t>,</w:t>
      </w:r>
      <w:r w:rsidRPr="0057735F">
        <w:rPr>
          <w:lang w:val="ru-RU"/>
        </w:rPr>
        <w:t xml:space="preserve"> опубликован</w:t>
      </w:r>
      <w:r w:rsidR="004B16C4" w:rsidRPr="0057735F">
        <w:rPr>
          <w:lang w:val="ru-RU"/>
        </w:rPr>
        <w:t>ный</w:t>
      </w:r>
      <w:r w:rsidRPr="0057735F">
        <w:rPr>
          <w:lang w:val="ru-RU"/>
        </w:rPr>
        <w:t xml:space="preserve"> в 2011 году</w:t>
      </w:r>
      <w:r w:rsidR="004B16C4" w:rsidRPr="0057735F">
        <w:rPr>
          <w:lang w:val="ru-RU"/>
        </w:rPr>
        <w:t xml:space="preserve">. Данный Справочник был также признан в Резолюции </w:t>
      </w:r>
      <w:r w:rsidR="004B16C4" w:rsidRPr="0057735F">
        <w:rPr>
          <w:b/>
          <w:lang w:val="ru-RU"/>
        </w:rPr>
        <w:t>673 (</w:t>
      </w:r>
      <w:proofErr w:type="spellStart"/>
      <w:r w:rsidR="006C7DF0" w:rsidRPr="0057735F">
        <w:rPr>
          <w:b/>
          <w:lang w:val="ru-RU"/>
        </w:rPr>
        <w:t>Пересм</w:t>
      </w:r>
      <w:proofErr w:type="spellEnd"/>
      <w:r w:rsidR="004B16C4" w:rsidRPr="0057735F">
        <w:rPr>
          <w:b/>
          <w:lang w:val="ru-RU"/>
        </w:rPr>
        <w:t>.</w:t>
      </w:r>
      <w:r w:rsidR="006C7DF0" w:rsidRPr="0057735F">
        <w:rPr>
          <w:b/>
          <w:lang w:val="ru-RU"/>
        </w:rPr>
        <w:t xml:space="preserve"> </w:t>
      </w:r>
      <w:proofErr w:type="spellStart"/>
      <w:r w:rsidR="006C7DF0" w:rsidRPr="0057735F">
        <w:rPr>
          <w:b/>
          <w:lang w:val="ru-RU"/>
        </w:rPr>
        <w:t>ВКР</w:t>
      </w:r>
      <w:proofErr w:type="spellEnd"/>
      <w:r w:rsidR="004B16C4" w:rsidRPr="0057735F">
        <w:rPr>
          <w:b/>
          <w:lang w:val="ru-RU"/>
        </w:rPr>
        <w:t>-12)</w:t>
      </w:r>
      <w:r w:rsidRPr="0057735F">
        <w:rPr>
          <w:lang w:val="ru-RU"/>
        </w:rPr>
        <w:t>.</w:t>
      </w:r>
    </w:p>
    <w:p w:rsidR="00D433D1" w:rsidRPr="0057735F" w:rsidRDefault="00D433D1" w:rsidP="007A41CD">
      <w:pPr>
        <w:pStyle w:val="Heading1"/>
        <w:rPr>
          <w:lang w:val="ru-RU"/>
        </w:rPr>
      </w:pPr>
      <w:r w:rsidRPr="0057735F">
        <w:rPr>
          <w:lang w:val="ru-RU"/>
        </w:rPr>
        <w:t>6</w:t>
      </w:r>
      <w:r w:rsidRPr="0057735F">
        <w:rPr>
          <w:lang w:val="ru-RU"/>
        </w:rPr>
        <w:tab/>
        <w:t>Подготовка Конференции радиосвязи</w:t>
      </w:r>
    </w:p>
    <w:p w:rsidR="00D433D1" w:rsidRPr="0057735F" w:rsidRDefault="00D433D1" w:rsidP="00237057">
      <w:pPr>
        <w:rPr>
          <w:lang w:val="ru-RU"/>
        </w:rPr>
      </w:pPr>
      <w:r w:rsidRPr="0057735F">
        <w:rPr>
          <w:lang w:val="ru-RU"/>
        </w:rPr>
        <w:t>Повестка дня Всемирной конференции радиосвязи 201</w:t>
      </w:r>
      <w:r w:rsidR="00237057" w:rsidRPr="0057735F">
        <w:rPr>
          <w:lang w:val="ru-RU"/>
        </w:rPr>
        <w:t>5</w:t>
      </w:r>
      <w:r w:rsidRPr="0057735F">
        <w:rPr>
          <w:lang w:val="ru-RU"/>
        </w:rPr>
        <w:t xml:space="preserve"> года обеспечила важные источники</w:t>
      </w:r>
      <w:r w:rsidR="00237057" w:rsidRPr="0057735F">
        <w:rPr>
          <w:lang w:val="ru-RU"/>
        </w:rPr>
        <w:t xml:space="preserve"> направлений</w:t>
      </w:r>
      <w:r w:rsidRPr="0057735F">
        <w:rPr>
          <w:lang w:val="ru-RU"/>
        </w:rPr>
        <w:t xml:space="preserve"> деятельности для </w:t>
      </w:r>
      <w:proofErr w:type="spellStart"/>
      <w:r w:rsidRPr="0057735F">
        <w:rPr>
          <w:lang w:val="ru-RU"/>
        </w:rPr>
        <w:t>ИК7</w:t>
      </w:r>
      <w:proofErr w:type="spellEnd"/>
      <w:r w:rsidRPr="0057735F">
        <w:rPr>
          <w:lang w:val="ru-RU"/>
        </w:rPr>
        <w:t xml:space="preserve"> и ее рабочих групп начиная с 20</w:t>
      </w:r>
      <w:r w:rsidR="00237057" w:rsidRPr="0057735F">
        <w:rPr>
          <w:lang w:val="ru-RU"/>
        </w:rPr>
        <w:t>12</w:t>
      </w:r>
      <w:r w:rsidRPr="0057735F">
        <w:rPr>
          <w:lang w:val="ru-RU"/>
        </w:rPr>
        <w:t xml:space="preserve"> года.</w:t>
      </w:r>
    </w:p>
    <w:p w:rsidR="004A639C" w:rsidRPr="0057735F" w:rsidRDefault="00D433D1" w:rsidP="004A639C">
      <w:pPr>
        <w:rPr>
          <w:lang w:val="ru-RU"/>
        </w:rPr>
      </w:pPr>
      <w:proofErr w:type="spellStart"/>
      <w:r w:rsidRPr="0057735F">
        <w:rPr>
          <w:lang w:val="ru-RU"/>
        </w:rPr>
        <w:lastRenderedPageBreak/>
        <w:t>РГ</w:t>
      </w:r>
      <w:proofErr w:type="spellEnd"/>
      <w:r w:rsidRPr="0057735F">
        <w:rPr>
          <w:lang w:val="ru-RU"/>
        </w:rPr>
        <w:t xml:space="preserve"> </w:t>
      </w:r>
      <w:r w:rsidR="004A639C" w:rsidRPr="0057735F">
        <w:rPr>
          <w:lang w:val="ru-RU"/>
        </w:rPr>
        <w:t xml:space="preserve">и </w:t>
      </w:r>
      <w:proofErr w:type="spellStart"/>
      <w:r w:rsidR="004A639C" w:rsidRPr="0057735F">
        <w:rPr>
          <w:lang w:val="ru-RU"/>
        </w:rPr>
        <w:t>ИК7</w:t>
      </w:r>
      <w:proofErr w:type="spellEnd"/>
      <w:r w:rsidRPr="0057735F">
        <w:rPr>
          <w:lang w:val="ru-RU"/>
        </w:rPr>
        <w:t xml:space="preserve"> являлись представлявшими вклады группами по пункт</w:t>
      </w:r>
      <w:r w:rsidR="004A639C" w:rsidRPr="0057735F">
        <w:rPr>
          <w:lang w:val="ru-RU"/>
        </w:rPr>
        <w:t>ам</w:t>
      </w:r>
      <w:r w:rsidRPr="0057735F">
        <w:rPr>
          <w:lang w:val="ru-RU"/>
        </w:rPr>
        <w:t> </w:t>
      </w:r>
      <w:r w:rsidR="004A639C" w:rsidRPr="0057735F">
        <w:rPr>
          <w:lang w:val="ru-RU"/>
        </w:rPr>
        <w:t>1.1, 1.6, 1.9, 1.0, 1.17, 1.18 и 9.1.1</w:t>
      </w:r>
      <w:r w:rsidRPr="0057735F">
        <w:rPr>
          <w:lang w:val="ru-RU"/>
        </w:rPr>
        <w:t xml:space="preserve"> повестки дня</w:t>
      </w:r>
      <w:r w:rsidR="004A639C" w:rsidRPr="0057735F">
        <w:rPr>
          <w:lang w:val="ru-RU"/>
        </w:rPr>
        <w:t>.</w:t>
      </w:r>
    </w:p>
    <w:p w:rsidR="00D433D1" w:rsidRPr="0057735F" w:rsidRDefault="00AD66BD" w:rsidP="007A41CD">
      <w:pPr>
        <w:rPr>
          <w:lang w:val="ru-RU"/>
        </w:rPr>
      </w:pPr>
      <w:proofErr w:type="spellStart"/>
      <w:r w:rsidRPr="0057735F">
        <w:rPr>
          <w:lang w:val="ru-RU"/>
        </w:rPr>
        <w:t>РГ</w:t>
      </w:r>
      <w:proofErr w:type="spellEnd"/>
      <w:r w:rsidR="00D433D1" w:rsidRPr="0057735F">
        <w:rPr>
          <w:lang w:val="ru-RU"/>
        </w:rPr>
        <w:t xml:space="preserve"> </w:t>
      </w:r>
      <w:proofErr w:type="spellStart"/>
      <w:r w:rsidR="00D433D1" w:rsidRPr="0057735F">
        <w:rPr>
          <w:lang w:val="ru-RU"/>
        </w:rPr>
        <w:t>7A</w:t>
      </w:r>
      <w:proofErr w:type="spellEnd"/>
      <w:r w:rsidR="00D433D1" w:rsidRPr="0057735F">
        <w:rPr>
          <w:lang w:val="ru-RU"/>
        </w:rPr>
        <w:t xml:space="preserve"> </w:t>
      </w:r>
      <w:r w:rsidR="002C58D3" w:rsidRPr="0057735F">
        <w:rPr>
          <w:lang w:val="ru-RU"/>
        </w:rPr>
        <w:t xml:space="preserve">была ответственной </w:t>
      </w:r>
      <w:r w:rsidR="00D77973" w:rsidRPr="0057735F">
        <w:rPr>
          <w:lang w:val="ru-RU"/>
        </w:rPr>
        <w:t xml:space="preserve">группой </w:t>
      </w:r>
      <w:r w:rsidR="002C58D3" w:rsidRPr="0057735F">
        <w:rPr>
          <w:lang w:val="ru-RU"/>
        </w:rPr>
        <w:t>по пункту </w:t>
      </w:r>
      <w:r w:rsidR="00D433D1" w:rsidRPr="0057735F">
        <w:rPr>
          <w:lang w:val="ru-RU"/>
        </w:rPr>
        <w:t>1.14</w:t>
      </w:r>
      <w:r w:rsidR="002C58D3" w:rsidRPr="0057735F">
        <w:rPr>
          <w:lang w:val="ru-RU"/>
        </w:rPr>
        <w:t xml:space="preserve"> повестки дня о возможности получения непрерывной эталонной шкалы времени</w:t>
      </w:r>
      <w:r w:rsidR="00D433D1" w:rsidRPr="0057735F">
        <w:rPr>
          <w:lang w:val="ru-RU"/>
        </w:rPr>
        <w:t xml:space="preserve">. </w:t>
      </w:r>
      <w:r w:rsidR="003426A9" w:rsidRPr="0057735F">
        <w:rPr>
          <w:lang w:val="ru-RU"/>
        </w:rPr>
        <w:t>Этот пункт</w:t>
      </w:r>
      <w:r w:rsidR="005950A9" w:rsidRPr="0057735F">
        <w:rPr>
          <w:lang w:val="ru-RU"/>
        </w:rPr>
        <w:t xml:space="preserve"> стал прямым следствием состоявшихся в ходе АР-12 обсуждений по вопросу об утверждении предлагаемых изменений к Рекомендации МСЭ</w:t>
      </w:r>
      <w:r w:rsidR="00D433D1" w:rsidRPr="0057735F">
        <w:rPr>
          <w:lang w:val="ru-RU"/>
        </w:rPr>
        <w:t xml:space="preserve">-R </w:t>
      </w:r>
      <w:proofErr w:type="spellStart"/>
      <w:r w:rsidR="00D433D1" w:rsidRPr="0057735F">
        <w:rPr>
          <w:lang w:val="ru-RU"/>
        </w:rPr>
        <w:t>TF.460</w:t>
      </w:r>
      <w:proofErr w:type="spellEnd"/>
      <w:r w:rsidR="00D433D1" w:rsidRPr="0057735F">
        <w:rPr>
          <w:lang w:val="ru-RU"/>
        </w:rPr>
        <w:t xml:space="preserve">-6. </w:t>
      </w:r>
      <w:r w:rsidR="005950A9" w:rsidRPr="0057735F">
        <w:rPr>
          <w:lang w:val="ru-RU"/>
        </w:rPr>
        <w:t xml:space="preserve">Эти изменения касались исключения дополнительной секунды </w:t>
      </w:r>
      <w:r w:rsidR="002564D5" w:rsidRPr="0057735F">
        <w:rPr>
          <w:lang w:val="ru-RU"/>
        </w:rPr>
        <w:t>в определении</w:t>
      </w:r>
      <w:r w:rsidR="00D433D1" w:rsidRPr="0057735F">
        <w:rPr>
          <w:lang w:val="ru-RU"/>
        </w:rPr>
        <w:t xml:space="preserve"> </w:t>
      </w:r>
      <w:proofErr w:type="spellStart"/>
      <w:r w:rsidR="00D433D1" w:rsidRPr="0057735F">
        <w:rPr>
          <w:lang w:val="ru-RU"/>
        </w:rPr>
        <w:t>UTC</w:t>
      </w:r>
      <w:proofErr w:type="spellEnd"/>
      <w:r w:rsidR="00D433D1" w:rsidRPr="0057735F">
        <w:rPr>
          <w:lang w:val="ru-RU"/>
        </w:rPr>
        <w:t xml:space="preserve">. </w:t>
      </w:r>
      <w:r w:rsidR="002564D5" w:rsidRPr="0057735F">
        <w:rPr>
          <w:lang w:val="ru-RU"/>
        </w:rPr>
        <w:t xml:space="preserve">В силу отсутствия консенсуса и, соответственно, невозможности одобрения Рекомендации на уровне ИК, Председатель </w:t>
      </w:r>
      <w:proofErr w:type="spellStart"/>
      <w:r w:rsidR="002564D5" w:rsidRPr="0057735F">
        <w:rPr>
          <w:lang w:val="ru-RU"/>
        </w:rPr>
        <w:t>ИК7</w:t>
      </w:r>
      <w:proofErr w:type="spellEnd"/>
      <w:r w:rsidR="002564D5" w:rsidRPr="0057735F">
        <w:rPr>
          <w:lang w:val="ru-RU"/>
        </w:rPr>
        <w:t xml:space="preserve"> принял решение представить этот вопрос АР, однако </w:t>
      </w:r>
      <w:r w:rsidR="00016569" w:rsidRPr="0057735F">
        <w:rPr>
          <w:lang w:val="ru-RU"/>
        </w:rPr>
        <w:t>отсутствие информации</w:t>
      </w:r>
      <w:r w:rsidR="002564D5" w:rsidRPr="0057735F">
        <w:rPr>
          <w:lang w:val="ru-RU"/>
        </w:rPr>
        <w:t xml:space="preserve"> и позиций</w:t>
      </w:r>
      <w:r w:rsidR="00016569" w:rsidRPr="0057735F">
        <w:rPr>
          <w:lang w:val="ru-RU"/>
        </w:rPr>
        <w:t xml:space="preserve"> от</w:t>
      </w:r>
      <w:r w:rsidR="002564D5" w:rsidRPr="0057735F">
        <w:rPr>
          <w:lang w:val="ru-RU"/>
        </w:rPr>
        <w:t xml:space="preserve"> большого числа администраций привел к решению о представлении этого вопроса на обсуждение более широкой аудитории путем его включения в повестку дня </w:t>
      </w:r>
      <w:proofErr w:type="spellStart"/>
      <w:r w:rsidR="002564D5" w:rsidRPr="0057735F">
        <w:rPr>
          <w:lang w:val="ru-RU"/>
        </w:rPr>
        <w:t>ВКР</w:t>
      </w:r>
      <w:proofErr w:type="spellEnd"/>
      <w:r w:rsidR="002564D5" w:rsidRPr="0057735F">
        <w:rPr>
          <w:lang w:val="ru-RU"/>
        </w:rPr>
        <w:t xml:space="preserve">-15. </w:t>
      </w:r>
    </w:p>
    <w:p w:rsidR="00D433D1" w:rsidRPr="0057735F" w:rsidRDefault="00CB4574" w:rsidP="007A41CD">
      <w:pPr>
        <w:rPr>
          <w:lang w:val="ru-RU"/>
        </w:rPr>
      </w:pPr>
      <w:proofErr w:type="spellStart"/>
      <w:r w:rsidRPr="0057735F">
        <w:rPr>
          <w:lang w:val="ru-RU"/>
        </w:rPr>
        <w:t>РГ</w:t>
      </w:r>
      <w:proofErr w:type="spellEnd"/>
      <w:r w:rsidR="00D433D1" w:rsidRPr="0057735F">
        <w:rPr>
          <w:lang w:val="ru-RU"/>
        </w:rPr>
        <w:t xml:space="preserve"> </w:t>
      </w:r>
      <w:proofErr w:type="spellStart"/>
      <w:r w:rsidR="00D433D1" w:rsidRPr="0057735F">
        <w:rPr>
          <w:lang w:val="ru-RU"/>
        </w:rPr>
        <w:t>7B</w:t>
      </w:r>
      <w:proofErr w:type="spellEnd"/>
      <w:r w:rsidR="00D433D1" w:rsidRPr="0057735F">
        <w:rPr>
          <w:lang w:val="ru-RU"/>
        </w:rPr>
        <w:t xml:space="preserve"> </w:t>
      </w:r>
      <w:r w:rsidRPr="0057735F">
        <w:rPr>
          <w:lang w:val="ru-RU"/>
        </w:rPr>
        <w:t>была ответственной группой по пунктам </w:t>
      </w:r>
      <w:r w:rsidR="00D433D1" w:rsidRPr="0057735F">
        <w:rPr>
          <w:lang w:val="ru-RU"/>
        </w:rPr>
        <w:t xml:space="preserve">1.11, 1.13 </w:t>
      </w:r>
      <w:r w:rsidRPr="0057735F">
        <w:rPr>
          <w:lang w:val="ru-RU"/>
        </w:rPr>
        <w:t>и</w:t>
      </w:r>
      <w:r w:rsidR="00D433D1" w:rsidRPr="0057735F">
        <w:rPr>
          <w:lang w:val="ru-RU"/>
        </w:rPr>
        <w:t xml:space="preserve"> 9.1.8</w:t>
      </w:r>
      <w:r w:rsidRPr="0057735F">
        <w:rPr>
          <w:lang w:val="ru-RU"/>
        </w:rPr>
        <w:t xml:space="preserve"> повестки дня</w:t>
      </w:r>
      <w:r w:rsidR="00D433D1" w:rsidRPr="0057735F">
        <w:rPr>
          <w:lang w:val="ru-RU"/>
        </w:rPr>
        <w:t xml:space="preserve">. </w:t>
      </w:r>
    </w:p>
    <w:p w:rsidR="00D433D1" w:rsidRPr="0057735F" w:rsidRDefault="007A41CD" w:rsidP="007A41CD">
      <w:pPr>
        <w:pStyle w:val="enumlev1"/>
        <w:rPr>
          <w:lang w:val="ru-RU"/>
        </w:rPr>
      </w:pPr>
      <w:r w:rsidRPr="0057735F">
        <w:rPr>
          <w:lang w:val="ru-RU"/>
        </w:rPr>
        <w:t>•</w:t>
      </w:r>
      <w:r w:rsidRPr="0057735F">
        <w:rPr>
          <w:lang w:val="ru-RU"/>
        </w:rPr>
        <w:tab/>
      </w:r>
      <w:r w:rsidR="00444993" w:rsidRPr="0057735F">
        <w:rPr>
          <w:lang w:val="ru-RU"/>
        </w:rPr>
        <w:t>пункт </w:t>
      </w:r>
      <w:r w:rsidR="00D433D1" w:rsidRPr="0057735F">
        <w:rPr>
          <w:lang w:val="ru-RU"/>
        </w:rPr>
        <w:t>1.11</w:t>
      </w:r>
      <w:r w:rsidR="00444993" w:rsidRPr="0057735F">
        <w:rPr>
          <w:lang w:val="ru-RU"/>
        </w:rPr>
        <w:t xml:space="preserve"> повестки дня</w:t>
      </w:r>
      <w:r w:rsidR="00D433D1" w:rsidRPr="0057735F">
        <w:rPr>
          <w:lang w:val="ru-RU"/>
        </w:rPr>
        <w:t xml:space="preserve"> </w:t>
      </w:r>
      <w:r w:rsidR="00444993" w:rsidRPr="0057735F">
        <w:rPr>
          <w:lang w:val="ru-RU"/>
        </w:rPr>
        <w:t xml:space="preserve">касается нового распределения </w:t>
      </w:r>
      <w:proofErr w:type="spellStart"/>
      <w:r w:rsidR="008F4815" w:rsidRPr="0057735F">
        <w:rPr>
          <w:lang w:val="ru-RU"/>
        </w:rPr>
        <w:t>ССИЗ</w:t>
      </w:r>
      <w:proofErr w:type="spellEnd"/>
      <w:r w:rsidR="008F4815" w:rsidRPr="0057735F">
        <w:rPr>
          <w:lang w:val="ru-RU"/>
        </w:rPr>
        <w:t xml:space="preserve"> (Земля-космос) в диапазоне 7−8 ГГц, по которому </w:t>
      </w:r>
      <w:proofErr w:type="spellStart"/>
      <w:r w:rsidR="008F4815" w:rsidRPr="0057735F">
        <w:rPr>
          <w:lang w:val="ru-RU"/>
        </w:rPr>
        <w:t>РГ</w:t>
      </w:r>
      <w:proofErr w:type="spellEnd"/>
      <w:r w:rsidR="008F4815" w:rsidRPr="0057735F">
        <w:rPr>
          <w:lang w:val="ru-RU"/>
        </w:rPr>
        <w:t> </w:t>
      </w:r>
      <w:proofErr w:type="spellStart"/>
      <w:r w:rsidR="00D433D1" w:rsidRPr="0057735F">
        <w:rPr>
          <w:lang w:val="ru-RU"/>
        </w:rPr>
        <w:t>7B</w:t>
      </w:r>
      <w:proofErr w:type="spellEnd"/>
      <w:r w:rsidR="00D433D1" w:rsidRPr="0057735F">
        <w:rPr>
          <w:lang w:val="ru-RU"/>
        </w:rPr>
        <w:t xml:space="preserve"> </w:t>
      </w:r>
      <w:r w:rsidR="008F4815" w:rsidRPr="0057735F">
        <w:rPr>
          <w:lang w:val="ru-RU"/>
        </w:rPr>
        <w:t xml:space="preserve">разработала пять новых </w:t>
      </w:r>
      <w:r w:rsidR="0057735F" w:rsidRPr="0057735F">
        <w:rPr>
          <w:lang w:val="ru-RU"/>
        </w:rPr>
        <w:t>Отчетов</w:t>
      </w:r>
      <w:r w:rsidR="008F4815" w:rsidRPr="0057735F">
        <w:rPr>
          <w:lang w:val="ru-RU"/>
        </w:rPr>
        <w:t>;</w:t>
      </w:r>
      <w:r w:rsidR="00D433D1" w:rsidRPr="0057735F">
        <w:rPr>
          <w:lang w:val="ru-RU"/>
        </w:rPr>
        <w:t xml:space="preserve"> </w:t>
      </w:r>
    </w:p>
    <w:p w:rsidR="00D433D1" w:rsidRPr="0057735F" w:rsidRDefault="007A41CD" w:rsidP="007A41CD">
      <w:pPr>
        <w:pStyle w:val="enumlev1"/>
        <w:rPr>
          <w:lang w:val="ru-RU"/>
        </w:rPr>
      </w:pPr>
      <w:r w:rsidRPr="0057735F">
        <w:rPr>
          <w:lang w:val="ru-RU"/>
        </w:rPr>
        <w:t>•</w:t>
      </w:r>
      <w:r w:rsidRPr="0057735F">
        <w:rPr>
          <w:lang w:val="ru-RU"/>
        </w:rPr>
        <w:tab/>
      </w:r>
      <w:r w:rsidR="008F4815" w:rsidRPr="0057735F">
        <w:rPr>
          <w:lang w:val="ru-RU"/>
        </w:rPr>
        <w:t>пункт </w:t>
      </w:r>
      <w:r w:rsidR="00D433D1" w:rsidRPr="0057735F">
        <w:rPr>
          <w:lang w:val="ru-RU"/>
        </w:rPr>
        <w:t>1.13</w:t>
      </w:r>
      <w:r w:rsidR="008F4815" w:rsidRPr="0057735F">
        <w:rPr>
          <w:lang w:val="ru-RU"/>
        </w:rPr>
        <w:t xml:space="preserve"> повестки дня касается изучения возможности увеличения предельного расстояния в 5 км для службы космических исследований (космос-космос), разрешив использовать</w:t>
      </w:r>
      <w:r w:rsidR="00D433D1" w:rsidRPr="0057735F">
        <w:rPr>
          <w:lang w:val="ru-RU"/>
        </w:rPr>
        <w:t xml:space="preserve"> </w:t>
      </w:r>
      <w:r w:rsidR="008F4815" w:rsidRPr="0057735F">
        <w:rPr>
          <w:lang w:val="ru-RU"/>
        </w:rPr>
        <w:t>полосу</w:t>
      </w:r>
      <w:r w:rsidR="00D433D1" w:rsidRPr="0057735F">
        <w:rPr>
          <w:lang w:val="ru-RU"/>
        </w:rPr>
        <w:t xml:space="preserve"> 401</w:t>
      </w:r>
      <w:r w:rsidR="008F4815" w:rsidRPr="0057735F">
        <w:rPr>
          <w:lang w:val="ru-RU"/>
        </w:rPr>
        <w:t>–</w:t>
      </w:r>
      <w:r w:rsidR="00D433D1" w:rsidRPr="0057735F">
        <w:rPr>
          <w:lang w:val="ru-RU"/>
        </w:rPr>
        <w:t>420</w:t>
      </w:r>
      <w:r w:rsidR="008F4815" w:rsidRPr="0057735F">
        <w:rPr>
          <w:lang w:val="ru-RU"/>
        </w:rPr>
        <w:t> МГц для операций сближения космическими аппаратами, осуществляющими связь с расположенным на орбите пилотируемым космическим аппаратом</w:t>
      </w:r>
      <w:r w:rsidR="00D433D1" w:rsidRPr="0057735F">
        <w:rPr>
          <w:lang w:val="ru-RU"/>
        </w:rPr>
        <w:t xml:space="preserve">; </w:t>
      </w:r>
      <w:r w:rsidR="008F4815" w:rsidRPr="0057735F">
        <w:rPr>
          <w:lang w:val="ru-RU"/>
        </w:rPr>
        <w:t xml:space="preserve">этот пункт повестки дня обусловил разработку нового </w:t>
      </w:r>
      <w:r w:rsidR="0057735F" w:rsidRPr="0057735F">
        <w:rPr>
          <w:lang w:val="ru-RU"/>
        </w:rPr>
        <w:t>Отчета</w:t>
      </w:r>
      <w:r w:rsidR="008F4815" w:rsidRPr="0057735F">
        <w:rPr>
          <w:lang w:val="ru-RU"/>
        </w:rPr>
        <w:t>;</w:t>
      </w:r>
    </w:p>
    <w:p w:rsidR="00D433D1" w:rsidRPr="0057735F" w:rsidRDefault="007A41CD" w:rsidP="007A41CD">
      <w:pPr>
        <w:pStyle w:val="enumlev1"/>
        <w:rPr>
          <w:lang w:val="ru-RU"/>
        </w:rPr>
      </w:pPr>
      <w:r w:rsidRPr="0057735F">
        <w:rPr>
          <w:lang w:val="ru-RU"/>
        </w:rPr>
        <w:t>•</w:t>
      </w:r>
      <w:r w:rsidRPr="0057735F">
        <w:rPr>
          <w:lang w:val="ru-RU"/>
        </w:rPr>
        <w:tab/>
      </w:r>
      <w:r w:rsidR="008F4815" w:rsidRPr="0057735F">
        <w:rPr>
          <w:lang w:val="ru-RU"/>
        </w:rPr>
        <w:t>пункт </w:t>
      </w:r>
      <w:r w:rsidR="00D433D1" w:rsidRPr="0057735F">
        <w:rPr>
          <w:lang w:val="ru-RU"/>
        </w:rPr>
        <w:t>9.1.8</w:t>
      </w:r>
      <w:r w:rsidR="008F4815" w:rsidRPr="0057735F">
        <w:rPr>
          <w:lang w:val="ru-RU"/>
        </w:rPr>
        <w:t xml:space="preserve"> повестки дня связан с </w:t>
      </w:r>
      <w:proofErr w:type="spellStart"/>
      <w:r w:rsidR="008F4815" w:rsidRPr="0057735F">
        <w:rPr>
          <w:lang w:val="ru-RU"/>
        </w:rPr>
        <w:t>регламентарными</w:t>
      </w:r>
      <w:proofErr w:type="spellEnd"/>
      <w:r w:rsidR="008F4815" w:rsidRPr="0057735F">
        <w:rPr>
          <w:lang w:val="ru-RU"/>
        </w:rPr>
        <w:t xml:space="preserve"> аспектами для нано- и </w:t>
      </w:r>
      <w:proofErr w:type="spellStart"/>
      <w:r w:rsidR="008F4815" w:rsidRPr="0057735F">
        <w:rPr>
          <w:lang w:val="ru-RU"/>
        </w:rPr>
        <w:t>пикоспутников</w:t>
      </w:r>
      <w:proofErr w:type="spellEnd"/>
      <w:r w:rsidR="008F4815" w:rsidRPr="0057735F">
        <w:rPr>
          <w:lang w:val="ru-RU"/>
        </w:rPr>
        <w:t xml:space="preserve">, и по этому пункту </w:t>
      </w:r>
      <w:proofErr w:type="spellStart"/>
      <w:r w:rsidR="008F4815" w:rsidRPr="0057735F">
        <w:rPr>
          <w:lang w:val="ru-RU"/>
        </w:rPr>
        <w:t>РГ</w:t>
      </w:r>
      <w:proofErr w:type="spellEnd"/>
      <w:r w:rsidR="008F4815" w:rsidRPr="0057735F">
        <w:rPr>
          <w:lang w:val="ru-RU"/>
        </w:rPr>
        <w:t> </w:t>
      </w:r>
      <w:proofErr w:type="spellStart"/>
      <w:r w:rsidR="00D433D1" w:rsidRPr="0057735F">
        <w:rPr>
          <w:lang w:val="ru-RU"/>
        </w:rPr>
        <w:t>7B</w:t>
      </w:r>
      <w:proofErr w:type="spellEnd"/>
      <w:r w:rsidR="00D433D1" w:rsidRPr="0057735F">
        <w:rPr>
          <w:lang w:val="ru-RU"/>
        </w:rPr>
        <w:t xml:space="preserve"> </w:t>
      </w:r>
      <w:r w:rsidR="008F4815" w:rsidRPr="0057735F">
        <w:rPr>
          <w:lang w:val="ru-RU"/>
        </w:rPr>
        <w:t>выпустила Отчет</w:t>
      </w:r>
      <w:r w:rsidR="00D433D1" w:rsidRPr="0057735F">
        <w:rPr>
          <w:lang w:val="ru-RU"/>
        </w:rPr>
        <w:t>.</w:t>
      </w:r>
    </w:p>
    <w:p w:rsidR="00D433D1" w:rsidRPr="0057735F" w:rsidRDefault="00C539EE" w:rsidP="00016569">
      <w:pPr>
        <w:rPr>
          <w:szCs w:val="22"/>
          <w:lang w:val="ru-RU"/>
        </w:rPr>
      </w:pPr>
      <w:proofErr w:type="spellStart"/>
      <w:r w:rsidRPr="0057735F">
        <w:rPr>
          <w:szCs w:val="22"/>
          <w:lang w:val="ru-RU"/>
        </w:rPr>
        <w:t>РГ</w:t>
      </w:r>
      <w:proofErr w:type="spellEnd"/>
      <w:r w:rsidRPr="0057735F">
        <w:rPr>
          <w:szCs w:val="22"/>
          <w:lang w:val="ru-RU"/>
        </w:rPr>
        <w:t> </w:t>
      </w:r>
      <w:proofErr w:type="spellStart"/>
      <w:r w:rsidR="00D433D1" w:rsidRPr="0057735F">
        <w:rPr>
          <w:szCs w:val="22"/>
          <w:lang w:val="ru-RU"/>
        </w:rPr>
        <w:t>7C</w:t>
      </w:r>
      <w:proofErr w:type="spellEnd"/>
      <w:r w:rsidR="00D433D1" w:rsidRPr="0057735F">
        <w:rPr>
          <w:szCs w:val="22"/>
          <w:lang w:val="ru-RU"/>
        </w:rPr>
        <w:t xml:space="preserve"> </w:t>
      </w:r>
      <w:r w:rsidRPr="0057735F">
        <w:rPr>
          <w:szCs w:val="22"/>
          <w:lang w:val="ru-RU"/>
        </w:rPr>
        <w:t xml:space="preserve">была ответственной </w:t>
      </w:r>
      <w:r w:rsidR="00D77973" w:rsidRPr="0057735F">
        <w:rPr>
          <w:szCs w:val="22"/>
          <w:lang w:val="ru-RU"/>
        </w:rPr>
        <w:t xml:space="preserve">группой </w:t>
      </w:r>
      <w:r w:rsidR="00016569" w:rsidRPr="0057735F">
        <w:rPr>
          <w:szCs w:val="22"/>
          <w:lang w:val="ru-RU"/>
        </w:rPr>
        <w:t>по</w:t>
      </w:r>
      <w:r w:rsidRPr="0057735F">
        <w:rPr>
          <w:szCs w:val="22"/>
          <w:lang w:val="ru-RU"/>
        </w:rPr>
        <w:t xml:space="preserve"> пункт</w:t>
      </w:r>
      <w:r w:rsidR="00016569" w:rsidRPr="0057735F">
        <w:rPr>
          <w:szCs w:val="22"/>
          <w:lang w:val="ru-RU"/>
        </w:rPr>
        <w:t>у</w:t>
      </w:r>
      <w:r w:rsidRPr="0057735F">
        <w:rPr>
          <w:szCs w:val="22"/>
          <w:lang w:val="ru-RU"/>
        </w:rPr>
        <w:t> </w:t>
      </w:r>
      <w:r w:rsidR="00D433D1" w:rsidRPr="0057735F">
        <w:rPr>
          <w:szCs w:val="22"/>
          <w:lang w:val="ru-RU"/>
        </w:rPr>
        <w:t>1.12</w:t>
      </w:r>
      <w:r w:rsidRPr="0057735F">
        <w:rPr>
          <w:szCs w:val="22"/>
          <w:lang w:val="ru-RU"/>
        </w:rPr>
        <w:t xml:space="preserve"> повестки дня, который касается расширения распределения </w:t>
      </w:r>
      <w:proofErr w:type="spellStart"/>
      <w:r w:rsidRPr="0057735F">
        <w:rPr>
          <w:szCs w:val="22"/>
          <w:lang w:val="ru-RU"/>
        </w:rPr>
        <w:t>ССИЗ</w:t>
      </w:r>
      <w:proofErr w:type="spellEnd"/>
      <w:r w:rsidRPr="0057735F">
        <w:rPr>
          <w:szCs w:val="22"/>
          <w:lang w:val="ru-RU"/>
        </w:rPr>
        <w:t xml:space="preserve"> </w:t>
      </w:r>
      <w:r w:rsidR="00D433D1" w:rsidRPr="0057735F">
        <w:rPr>
          <w:szCs w:val="22"/>
          <w:lang w:val="ru-RU"/>
        </w:rPr>
        <w:t>(</w:t>
      </w:r>
      <w:r w:rsidRPr="0057735F">
        <w:rPr>
          <w:szCs w:val="22"/>
          <w:lang w:val="ru-RU"/>
        </w:rPr>
        <w:t xml:space="preserve">расширение активной полосы </w:t>
      </w:r>
      <w:r w:rsidR="00D433D1" w:rsidRPr="0057735F">
        <w:rPr>
          <w:szCs w:val="22"/>
          <w:lang w:val="ru-RU"/>
        </w:rPr>
        <w:t>9300</w:t>
      </w:r>
      <w:r w:rsidRPr="0057735F">
        <w:rPr>
          <w:szCs w:val="22"/>
          <w:lang w:val="ru-RU"/>
        </w:rPr>
        <w:t>–</w:t>
      </w:r>
      <w:r w:rsidR="00D433D1" w:rsidRPr="0057735F">
        <w:rPr>
          <w:szCs w:val="22"/>
          <w:lang w:val="ru-RU"/>
        </w:rPr>
        <w:t>9900</w:t>
      </w:r>
      <w:r w:rsidRPr="0057735F">
        <w:rPr>
          <w:szCs w:val="22"/>
          <w:lang w:val="ru-RU"/>
        </w:rPr>
        <w:t xml:space="preserve"> МГц на величину до </w:t>
      </w:r>
      <w:r w:rsidR="00D433D1" w:rsidRPr="0057735F">
        <w:rPr>
          <w:szCs w:val="22"/>
          <w:lang w:val="ru-RU"/>
        </w:rPr>
        <w:t>600</w:t>
      </w:r>
      <w:r w:rsidRPr="0057735F">
        <w:rPr>
          <w:szCs w:val="22"/>
          <w:lang w:val="ru-RU"/>
        </w:rPr>
        <w:t> МГц)</w:t>
      </w:r>
      <w:r w:rsidR="00D433D1" w:rsidRPr="0057735F">
        <w:rPr>
          <w:szCs w:val="22"/>
          <w:lang w:val="ru-RU"/>
        </w:rPr>
        <w:t xml:space="preserve">. </w:t>
      </w:r>
      <w:r w:rsidR="007A41CD" w:rsidRPr="0057735F">
        <w:rPr>
          <w:szCs w:val="22"/>
          <w:lang w:val="ru-RU"/>
        </w:rPr>
        <w:t>По </w:t>
      </w:r>
      <w:r w:rsidRPr="0057735F">
        <w:rPr>
          <w:szCs w:val="22"/>
          <w:lang w:val="ru-RU"/>
        </w:rPr>
        <w:t xml:space="preserve">этому вопросу </w:t>
      </w:r>
      <w:proofErr w:type="spellStart"/>
      <w:r w:rsidRPr="0057735F">
        <w:rPr>
          <w:szCs w:val="22"/>
          <w:lang w:val="ru-RU"/>
        </w:rPr>
        <w:t>РГ</w:t>
      </w:r>
      <w:proofErr w:type="spellEnd"/>
      <w:r w:rsidRPr="0057735F">
        <w:rPr>
          <w:szCs w:val="22"/>
          <w:lang w:val="ru-RU"/>
        </w:rPr>
        <w:t> </w:t>
      </w:r>
      <w:proofErr w:type="spellStart"/>
      <w:r w:rsidR="00D433D1" w:rsidRPr="0057735F">
        <w:rPr>
          <w:szCs w:val="22"/>
          <w:lang w:val="ru-RU"/>
        </w:rPr>
        <w:t>7C</w:t>
      </w:r>
      <w:proofErr w:type="spellEnd"/>
      <w:r w:rsidR="00D433D1" w:rsidRPr="0057735F">
        <w:rPr>
          <w:szCs w:val="22"/>
          <w:lang w:val="ru-RU"/>
        </w:rPr>
        <w:t xml:space="preserve"> </w:t>
      </w:r>
      <w:r w:rsidRPr="0057735F">
        <w:rPr>
          <w:szCs w:val="22"/>
          <w:lang w:val="ru-RU"/>
        </w:rPr>
        <w:t>разработала три Рекомендации и четыре Отчета</w:t>
      </w:r>
      <w:r w:rsidR="00D433D1" w:rsidRPr="0057735F">
        <w:rPr>
          <w:szCs w:val="22"/>
          <w:lang w:val="ru-RU"/>
        </w:rPr>
        <w:t>.</w:t>
      </w:r>
    </w:p>
    <w:p w:rsidR="00D433D1" w:rsidRPr="0057735F" w:rsidRDefault="00D433D1" w:rsidP="007A41CD">
      <w:pPr>
        <w:pStyle w:val="Heading1"/>
        <w:rPr>
          <w:lang w:val="ru-RU"/>
        </w:rPr>
      </w:pPr>
      <w:r w:rsidRPr="0057735F">
        <w:rPr>
          <w:lang w:val="ru-RU"/>
        </w:rPr>
        <w:t>7</w:t>
      </w:r>
      <w:r w:rsidRPr="0057735F">
        <w:rPr>
          <w:lang w:val="ru-RU"/>
        </w:rPr>
        <w:tab/>
        <w:t>Персонал</w:t>
      </w:r>
    </w:p>
    <w:p w:rsidR="00D433D1" w:rsidRPr="0057735F" w:rsidRDefault="007F2416" w:rsidP="00930E2A">
      <w:pPr>
        <w:rPr>
          <w:lang w:val="ru-RU"/>
        </w:rPr>
      </w:pPr>
      <w:r w:rsidRPr="0057735F">
        <w:rPr>
          <w:lang w:val="ru-RU"/>
        </w:rPr>
        <w:t>С</w:t>
      </w:r>
      <w:r w:rsidR="00930E2A" w:rsidRPr="0057735F">
        <w:rPr>
          <w:lang w:val="ru-RU"/>
        </w:rPr>
        <w:t>остав с</w:t>
      </w:r>
      <w:r w:rsidRPr="0057735F">
        <w:rPr>
          <w:lang w:val="ru-RU"/>
        </w:rPr>
        <w:t>озданн</w:t>
      </w:r>
      <w:r w:rsidR="00930E2A" w:rsidRPr="0057735F">
        <w:rPr>
          <w:lang w:val="ru-RU"/>
        </w:rPr>
        <w:t>ой</w:t>
      </w:r>
      <w:r w:rsidRPr="0057735F">
        <w:rPr>
          <w:lang w:val="ru-RU"/>
        </w:rPr>
        <w:t xml:space="preserve"> в начале исследовательского цикла команд</w:t>
      </w:r>
      <w:r w:rsidR="00930E2A" w:rsidRPr="0057735F">
        <w:rPr>
          <w:lang w:val="ru-RU"/>
        </w:rPr>
        <w:t>ы</w:t>
      </w:r>
      <w:r w:rsidRPr="0057735F">
        <w:rPr>
          <w:lang w:val="ru-RU"/>
        </w:rPr>
        <w:t xml:space="preserve"> руководства не изменял</w:t>
      </w:r>
      <w:r w:rsidR="00930E2A" w:rsidRPr="0057735F">
        <w:rPr>
          <w:lang w:val="ru-RU"/>
        </w:rPr>
        <w:t>ся</w:t>
      </w:r>
      <w:r w:rsidRPr="0057735F">
        <w:rPr>
          <w:lang w:val="ru-RU"/>
        </w:rPr>
        <w:t xml:space="preserve"> до конца цикла. Работа ИК и рабочих групп осуществлялась под весьма эффективным руководством лиц, указанных в первом разделе настоящего отчета, а также </w:t>
      </w:r>
      <w:r w:rsidR="00B6748C" w:rsidRPr="0057735F">
        <w:rPr>
          <w:lang w:val="ru-RU"/>
        </w:rPr>
        <w:t>благодаря</w:t>
      </w:r>
      <w:r w:rsidRPr="0057735F">
        <w:rPr>
          <w:lang w:val="ru-RU"/>
        </w:rPr>
        <w:t xml:space="preserve"> помощи </w:t>
      </w:r>
      <w:r w:rsidR="00B6748C" w:rsidRPr="0057735F">
        <w:rPr>
          <w:lang w:val="ru-RU"/>
        </w:rPr>
        <w:t xml:space="preserve">и духу сотрудничества, обеспечиваемым всеми делегатами, принимавшими участие в работе </w:t>
      </w:r>
      <w:proofErr w:type="spellStart"/>
      <w:r w:rsidR="00B6748C" w:rsidRPr="0057735F">
        <w:rPr>
          <w:lang w:val="ru-RU"/>
        </w:rPr>
        <w:t>ИК7</w:t>
      </w:r>
      <w:proofErr w:type="spellEnd"/>
      <w:r w:rsidR="00B6748C" w:rsidRPr="0057735F">
        <w:rPr>
          <w:lang w:val="ru-RU"/>
        </w:rPr>
        <w:t xml:space="preserve"> и ее рабочих групп</w:t>
      </w:r>
      <w:r w:rsidR="00D433D1" w:rsidRPr="0057735F">
        <w:rPr>
          <w:lang w:val="ru-RU"/>
        </w:rPr>
        <w:t>.</w:t>
      </w:r>
    </w:p>
    <w:p w:rsidR="00D433D1" w:rsidRPr="0057735F" w:rsidRDefault="00930E2A" w:rsidP="00930E2A">
      <w:pPr>
        <w:rPr>
          <w:lang w:val="ru-RU"/>
        </w:rPr>
      </w:pPr>
      <w:r w:rsidRPr="0057735F">
        <w:rPr>
          <w:lang w:val="ru-RU"/>
        </w:rPr>
        <w:t xml:space="preserve">Как Председатель </w:t>
      </w:r>
      <w:proofErr w:type="spellStart"/>
      <w:r w:rsidRPr="0057735F">
        <w:rPr>
          <w:lang w:val="ru-RU"/>
        </w:rPr>
        <w:t>ИК7</w:t>
      </w:r>
      <w:proofErr w:type="spellEnd"/>
      <w:r w:rsidRPr="0057735F">
        <w:rPr>
          <w:lang w:val="ru-RU"/>
        </w:rPr>
        <w:t>, я хотел бы выразить благодарность все</w:t>
      </w:r>
      <w:r w:rsidR="00016569" w:rsidRPr="0057735F">
        <w:rPr>
          <w:lang w:val="ru-RU"/>
        </w:rPr>
        <w:t>м</w:t>
      </w:r>
      <w:r w:rsidRPr="0057735F">
        <w:rPr>
          <w:lang w:val="ru-RU"/>
        </w:rPr>
        <w:t xml:space="preserve"> участникам этой напряженной работы, которая проводилась в течение почти четырех лет</w:t>
      </w:r>
      <w:r w:rsidR="00D433D1" w:rsidRPr="0057735F">
        <w:rPr>
          <w:lang w:val="ru-RU"/>
        </w:rPr>
        <w:t>.</w:t>
      </w:r>
    </w:p>
    <w:p w:rsidR="00D433D1" w:rsidRPr="0057735F" w:rsidRDefault="00930E2A" w:rsidP="00185517">
      <w:pPr>
        <w:rPr>
          <w:lang w:val="ru-RU"/>
        </w:rPr>
      </w:pPr>
      <w:r w:rsidRPr="0057735F">
        <w:rPr>
          <w:lang w:val="ru-RU"/>
        </w:rPr>
        <w:t>Г-н </w:t>
      </w:r>
      <w:proofErr w:type="spellStart"/>
      <w:r w:rsidRPr="0057735F">
        <w:rPr>
          <w:lang w:val="ru-RU"/>
        </w:rPr>
        <w:t>МАРЕЛЛИ</w:t>
      </w:r>
      <w:proofErr w:type="spellEnd"/>
      <w:r w:rsidRPr="0057735F">
        <w:rPr>
          <w:lang w:val="ru-RU"/>
        </w:rPr>
        <w:t xml:space="preserve">, </w:t>
      </w:r>
      <w:r w:rsidR="0057735F" w:rsidRPr="0057735F">
        <w:rPr>
          <w:lang w:val="ru-RU"/>
        </w:rPr>
        <w:t xml:space="preserve">Председатель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> </w:t>
      </w:r>
      <w:proofErr w:type="spellStart"/>
      <w:r w:rsidR="00D433D1" w:rsidRPr="0057735F">
        <w:rPr>
          <w:lang w:val="ru-RU"/>
        </w:rPr>
        <w:t>7C</w:t>
      </w:r>
      <w:proofErr w:type="spellEnd"/>
      <w:r w:rsidRPr="0057735F">
        <w:rPr>
          <w:lang w:val="ru-RU"/>
        </w:rPr>
        <w:t xml:space="preserve">, упомянул о своем предстоящем выходе в отставку, и уже новая команда руководства примет решение об организации работы с учетом замены по крайней мере одного председателя </w:t>
      </w:r>
      <w:proofErr w:type="spellStart"/>
      <w:r w:rsidRPr="0057735F">
        <w:rPr>
          <w:lang w:val="ru-RU"/>
        </w:rPr>
        <w:t>РГ</w:t>
      </w:r>
      <w:proofErr w:type="spellEnd"/>
      <w:r w:rsidR="00D433D1" w:rsidRPr="0057735F">
        <w:rPr>
          <w:lang w:val="ru-RU"/>
        </w:rPr>
        <w:t xml:space="preserve">. </w:t>
      </w:r>
      <w:r w:rsidR="00185517" w:rsidRPr="0057735F">
        <w:rPr>
          <w:lang w:val="ru-RU"/>
        </w:rPr>
        <w:t>Я выражаю свою искреннюю признательность г-ну </w:t>
      </w:r>
      <w:proofErr w:type="spellStart"/>
      <w:r w:rsidR="00185517" w:rsidRPr="0057735F">
        <w:rPr>
          <w:lang w:val="ru-RU"/>
        </w:rPr>
        <w:t>МАРЕЛЛИ</w:t>
      </w:r>
      <w:proofErr w:type="spellEnd"/>
      <w:r w:rsidR="00185517" w:rsidRPr="0057735F">
        <w:rPr>
          <w:lang w:val="ru-RU"/>
        </w:rPr>
        <w:t xml:space="preserve"> за его работу в качестве председателя </w:t>
      </w:r>
      <w:proofErr w:type="spellStart"/>
      <w:r w:rsidR="00185517" w:rsidRPr="0057735F">
        <w:rPr>
          <w:lang w:val="ru-RU"/>
        </w:rPr>
        <w:t>РГ</w:t>
      </w:r>
      <w:proofErr w:type="spellEnd"/>
      <w:r w:rsidR="00185517" w:rsidRPr="0057735F">
        <w:rPr>
          <w:lang w:val="ru-RU"/>
        </w:rPr>
        <w:t> </w:t>
      </w:r>
      <w:proofErr w:type="spellStart"/>
      <w:r w:rsidR="00D433D1" w:rsidRPr="0057735F">
        <w:rPr>
          <w:lang w:val="ru-RU"/>
        </w:rPr>
        <w:t>7C</w:t>
      </w:r>
      <w:proofErr w:type="spellEnd"/>
      <w:r w:rsidR="00D433D1" w:rsidRPr="0057735F">
        <w:rPr>
          <w:lang w:val="ru-RU"/>
        </w:rPr>
        <w:t>.</w:t>
      </w:r>
    </w:p>
    <w:p w:rsidR="00393878" w:rsidRPr="0057735F" w:rsidRDefault="00393878" w:rsidP="007A41CD">
      <w:pPr>
        <w:pStyle w:val="Heading1"/>
        <w:rPr>
          <w:lang w:val="ru-RU"/>
        </w:rPr>
      </w:pPr>
      <w:r w:rsidRPr="0057735F">
        <w:rPr>
          <w:lang w:val="ru-RU"/>
        </w:rPr>
        <w:t>8</w:t>
      </w:r>
      <w:r w:rsidRPr="0057735F">
        <w:rPr>
          <w:lang w:val="ru-RU"/>
        </w:rPr>
        <w:tab/>
        <w:t>Методы работы</w:t>
      </w:r>
    </w:p>
    <w:p w:rsidR="00393878" w:rsidRPr="0057735F" w:rsidRDefault="00393878" w:rsidP="007A41CD">
      <w:pPr>
        <w:pStyle w:val="Heading2"/>
        <w:rPr>
          <w:lang w:val="ru-RU"/>
        </w:rPr>
      </w:pPr>
      <w:r w:rsidRPr="0057735F">
        <w:rPr>
          <w:lang w:val="ru-RU"/>
        </w:rPr>
        <w:t>8.1</w:t>
      </w:r>
      <w:r w:rsidRPr="0057735F">
        <w:rPr>
          <w:lang w:val="ru-RU"/>
        </w:rPr>
        <w:tab/>
        <w:t>Собрания</w:t>
      </w:r>
    </w:p>
    <w:p w:rsidR="00393878" w:rsidRPr="0057735F" w:rsidRDefault="00393878" w:rsidP="00016569">
      <w:pPr>
        <w:rPr>
          <w:lang w:val="ru-RU"/>
        </w:rPr>
      </w:pPr>
      <w:r w:rsidRPr="0057735F">
        <w:rPr>
          <w:lang w:val="ru-RU"/>
        </w:rPr>
        <w:t>Количество и продолжительность собраний ИК тесно соотносятся с получением продук</w:t>
      </w:r>
      <w:r w:rsidR="00016569" w:rsidRPr="0057735F">
        <w:rPr>
          <w:lang w:val="ru-RU"/>
        </w:rPr>
        <w:t>тов</w:t>
      </w:r>
      <w:r w:rsidRPr="0057735F">
        <w:rPr>
          <w:lang w:val="ru-RU"/>
        </w:rPr>
        <w:t xml:space="preserve"> </w:t>
      </w:r>
      <w:r w:rsidR="00016569" w:rsidRPr="0057735F">
        <w:rPr>
          <w:lang w:val="ru-RU"/>
        </w:rPr>
        <w:t>работы</w:t>
      </w:r>
      <w:r w:rsidRPr="0057735F">
        <w:rPr>
          <w:lang w:val="ru-RU"/>
        </w:rPr>
        <w:t xml:space="preserve">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. Полезно иметь возможность планировать сроки проведения ежегодного собрания ИК примерно на год вперед и отменить собрание за шесть месяцев до планируемой даты (планируемых дат), если от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поступят сообщения о недостаточном количестве документов для обсуждения. Так, с учетом результатов собраний Руководящей группы было решено не проводить собраний ИК </w:t>
      </w:r>
      <w:r w:rsidR="001748E7" w:rsidRPr="0057735F">
        <w:rPr>
          <w:lang w:val="ru-RU"/>
        </w:rPr>
        <w:t>каждый год</w:t>
      </w:r>
      <w:r w:rsidRPr="0057735F">
        <w:rPr>
          <w:lang w:val="ru-RU"/>
        </w:rPr>
        <w:t>.</w:t>
      </w:r>
    </w:p>
    <w:p w:rsidR="00393878" w:rsidRPr="0057735F" w:rsidRDefault="001748E7" w:rsidP="001748E7">
      <w:pPr>
        <w:rPr>
          <w:lang w:val="ru-RU"/>
        </w:rPr>
      </w:pPr>
      <w:r w:rsidRPr="0057735F">
        <w:rPr>
          <w:lang w:val="ru-RU"/>
        </w:rPr>
        <w:t>В двух случаях с</w:t>
      </w:r>
      <w:r w:rsidR="00393878" w:rsidRPr="0057735F">
        <w:rPr>
          <w:lang w:val="ru-RU"/>
        </w:rPr>
        <w:t>обрания ИК проводились в течение двух не следующих один за другим дней, между которыми проходили собрания рабочих групп. Это давало возможность в случае затруднений при принятии или утверждении Рекомендации, Отчета или Вопроса оставить его в ИК и провести неофициальное обсуждение с целью устранения затруднений во второй день собрания. Во многих случаях этот метод работы</w:t>
      </w:r>
      <w:r w:rsidRPr="0057735F">
        <w:rPr>
          <w:lang w:val="ru-RU"/>
        </w:rPr>
        <w:t xml:space="preserve"> оказывался</w:t>
      </w:r>
      <w:r w:rsidR="00393878" w:rsidRPr="0057735F">
        <w:rPr>
          <w:lang w:val="ru-RU"/>
        </w:rPr>
        <w:t xml:space="preserve"> весьма полезным способом устранения затруднений.</w:t>
      </w:r>
    </w:p>
    <w:p w:rsidR="00393878" w:rsidRPr="0057735F" w:rsidRDefault="00393878" w:rsidP="00B56775">
      <w:pPr>
        <w:rPr>
          <w:lang w:val="ru-RU"/>
        </w:rPr>
      </w:pPr>
      <w:r w:rsidRPr="0057735F">
        <w:rPr>
          <w:lang w:val="ru-RU"/>
        </w:rPr>
        <w:lastRenderedPageBreak/>
        <w:t xml:space="preserve">Собрания </w:t>
      </w:r>
      <w:r w:rsidR="001748E7" w:rsidRPr="0057735F">
        <w:rPr>
          <w:lang w:val="ru-RU"/>
        </w:rPr>
        <w:t xml:space="preserve">четырех </w:t>
      </w:r>
      <w:r w:rsidRPr="0057735F">
        <w:rPr>
          <w:lang w:val="ru-RU"/>
        </w:rPr>
        <w:t xml:space="preserve">рабочих групп проходили параллельно, </w:t>
      </w:r>
      <w:r w:rsidR="003D2977" w:rsidRPr="0057735F">
        <w:rPr>
          <w:lang w:val="ru-RU"/>
        </w:rPr>
        <w:t xml:space="preserve">однако с тем чтобы </w:t>
      </w:r>
      <w:r w:rsidRPr="0057735F">
        <w:rPr>
          <w:lang w:val="ru-RU"/>
        </w:rPr>
        <w:t>небольши</w:t>
      </w:r>
      <w:r w:rsidR="003D2977" w:rsidRPr="0057735F">
        <w:rPr>
          <w:lang w:val="ru-RU"/>
        </w:rPr>
        <w:t>м по составу</w:t>
      </w:r>
      <w:r w:rsidRPr="0057735F">
        <w:rPr>
          <w:lang w:val="ru-RU"/>
        </w:rPr>
        <w:t xml:space="preserve"> делегаци</w:t>
      </w:r>
      <w:r w:rsidR="003D2977" w:rsidRPr="0057735F">
        <w:rPr>
          <w:lang w:val="ru-RU"/>
        </w:rPr>
        <w:t xml:space="preserve">ям было проще в </w:t>
      </w:r>
      <w:r w:rsidRPr="0057735F">
        <w:rPr>
          <w:lang w:val="ru-RU"/>
        </w:rPr>
        <w:t>полной мере принимать участие в обсуждени</w:t>
      </w:r>
      <w:r w:rsidR="003D2977" w:rsidRPr="0057735F">
        <w:rPr>
          <w:lang w:val="ru-RU"/>
        </w:rPr>
        <w:t>и</w:t>
      </w:r>
      <w:r w:rsidRPr="0057735F">
        <w:rPr>
          <w:lang w:val="ru-RU"/>
        </w:rPr>
        <w:t xml:space="preserve"> и принятии решений</w:t>
      </w:r>
      <w:r w:rsidR="003D2977" w:rsidRPr="0057735F">
        <w:rPr>
          <w:lang w:val="ru-RU"/>
        </w:rPr>
        <w:t xml:space="preserve"> по касающимся их вопросам</w:t>
      </w:r>
      <w:r w:rsidRPr="0057735F">
        <w:rPr>
          <w:lang w:val="ru-RU"/>
        </w:rPr>
        <w:t xml:space="preserve">, открытие и закрытие собраний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</w:t>
      </w:r>
      <w:r w:rsidR="003D2977" w:rsidRPr="0057735F">
        <w:rPr>
          <w:lang w:val="ru-RU"/>
        </w:rPr>
        <w:t xml:space="preserve">по возможности </w:t>
      </w:r>
      <w:r w:rsidRPr="0057735F">
        <w:rPr>
          <w:lang w:val="ru-RU"/>
        </w:rPr>
        <w:t>разносились по времени</w:t>
      </w:r>
      <w:r w:rsidR="00B56775" w:rsidRPr="0057735F">
        <w:rPr>
          <w:lang w:val="ru-RU"/>
        </w:rPr>
        <w:t xml:space="preserve"> для расширения </w:t>
      </w:r>
      <w:r w:rsidRPr="0057735F">
        <w:rPr>
          <w:lang w:val="ru-RU"/>
        </w:rPr>
        <w:t>доступ</w:t>
      </w:r>
      <w:r w:rsidR="00B56775" w:rsidRPr="0057735F">
        <w:rPr>
          <w:lang w:val="ru-RU"/>
        </w:rPr>
        <w:t>ности этих собраний</w:t>
      </w:r>
      <w:r w:rsidRPr="0057735F">
        <w:rPr>
          <w:lang w:val="ru-RU"/>
        </w:rPr>
        <w:t xml:space="preserve"> и </w:t>
      </w:r>
      <w:r w:rsidR="00B56775" w:rsidRPr="0057735F">
        <w:rPr>
          <w:lang w:val="ru-RU"/>
        </w:rPr>
        <w:t xml:space="preserve">для учета </w:t>
      </w:r>
      <w:r w:rsidRPr="0057735F">
        <w:rPr>
          <w:lang w:val="ru-RU"/>
        </w:rPr>
        <w:t>по мере необходимости потребност</w:t>
      </w:r>
      <w:r w:rsidR="00B56775" w:rsidRPr="0057735F">
        <w:rPr>
          <w:lang w:val="ru-RU"/>
        </w:rPr>
        <w:t>ей</w:t>
      </w:r>
      <w:r w:rsidRPr="0057735F">
        <w:rPr>
          <w:lang w:val="ru-RU"/>
        </w:rPr>
        <w:t xml:space="preserve"> Советника </w:t>
      </w:r>
      <w:proofErr w:type="spellStart"/>
      <w:r w:rsidRPr="0057735F">
        <w:rPr>
          <w:lang w:val="ru-RU"/>
        </w:rPr>
        <w:t>БР</w:t>
      </w:r>
      <w:proofErr w:type="spellEnd"/>
      <w:r w:rsidRPr="0057735F">
        <w:rPr>
          <w:lang w:val="ru-RU"/>
        </w:rPr>
        <w:t>.</w:t>
      </w:r>
    </w:p>
    <w:p w:rsidR="00393878" w:rsidRPr="0057735F" w:rsidRDefault="00393878" w:rsidP="00393878">
      <w:pPr>
        <w:pStyle w:val="Heading2"/>
        <w:rPr>
          <w:lang w:val="ru-RU"/>
        </w:rPr>
      </w:pPr>
      <w:r w:rsidRPr="0057735F">
        <w:rPr>
          <w:lang w:val="ru-RU"/>
        </w:rPr>
        <w:t>8.2</w:t>
      </w:r>
      <w:r w:rsidRPr="0057735F">
        <w:rPr>
          <w:lang w:val="ru-RU"/>
        </w:rPr>
        <w:tab/>
        <w:t>План согласований</w:t>
      </w:r>
    </w:p>
    <w:p w:rsidR="00393878" w:rsidRPr="0057735F" w:rsidRDefault="00393878" w:rsidP="006E21F1">
      <w:pPr>
        <w:rPr>
          <w:lang w:val="ru-RU"/>
        </w:rPr>
      </w:pPr>
      <w:r w:rsidRPr="0057735F">
        <w:rPr>
          <w:lang w:val="ru-RU"/>
        </w:rPr>
        <w:t xml:space="preserve">Собрание ИК планируется проводить в течение двух не следующих один за другим дней, между которыми проходит четырехдневное собрание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. В первый день работы собрания ИК поочередно рассматриваются документы из опубликованной повестки дня. Если в отношении текста конкретного документа не высказано возражений, то этот документ вместе с соответствующим методом представления для утверждения Государствами-Членами "согласовывается" (не </w:t>
      </w:r>
      <w:r w:rsidR="00B56775" w:rsidRPr="0057735F">
        <w:rPr>
          <w:lang w:val="ru-RU"/>
        </w:rPr>
        <w:t>"одобряется"</w:t>
      </w:r>
      <w:r w:rsidRPr="0057735F">
        <w:rPr>
          <w:lang w:val="ru-RU"/>
        </w:rPr>
        <w:t xml:space="preserve">). Все документы с "согласованным текстом" прилагаются к плану согласований для предварительного рассмотрения пакетом в начале второго дня работы собрания ИК. Этот план согласований в течение 24 часов публикуется на веб-сайте МСЭ. Делается это для удобства членов/делегаций, </w:t>
      </w:r>
      <w:r w:rsidR="009E522C" w:rsidRPr="0057735F">
        <w:rPr>
          <w:lang w:val="ru-RU"/>
        </w:rPr>
        <w:t xml:space="preserve">для </w:t>
      </w:r>
      <w:r w:rsidRPr="0057735F">
        <w:rPr>
          <w:lang w:val="ru-RU"/>
        </w:rPr>
        <w:t>которы</w:t>
      </w:r>
      <w:r w:rsidR="009E522C" w:rsidRPr="0057735F">
        <w:rPr>
          <w:lang w:val="ru-RU"/>
        </w:rPr>
        <w:t>х неприемлемо</w:t>
      </w:r>
      <w:r w:rsidRPr="0057735F">
        <w:rPr>
          <w:lang w:val="ru-RU"/>
        </w:rPr>
        <w:t xml:space="preserve"> </w:t>
      </w:r>
      <w:r w:rsidR="009E522C" w:rsidRPr="0057735F">
        <w:rPr>
          <w:lang w:val="ru-RU"/>
        </w:rPr>
        <w:t xml:space="preserve">шестидневное или более отсутствие </w:t>
      </w:r>
      <w:r w:rsidRPr="0057735F">
        <w:rPr>
          <w:lang w:val="ru-RU"/>
        </w:rPr>
        <w:t>руководител</w:t>
      </w:r>
      <w:r w:rsidR="009E522C" w:rsidRPr="0057735F">
        <w:rPr>
          <w:lang w:val="ru-RU"/>
        </w:rPr>
        <w:t>ей</w:t>
      </w:r>
      <w:r w:rsidRPr="0057735F">
        <w:rPr>
          <w:lang w:val="ru-RU"/>
        </w:rPr>
        <w:t xml:space="preserve"> на рабочем месте</w:t>
      </w:r>
      <w:r w:rsidR="006E21F1" w:rsidRPr="0057735F">
        <w:rPr>
          <w:lang w:val="ru-RU"/>
        </w:rPr>
        <w:t>,</w:t>
      </w:r>
      <w:r w:rsidRPr="0057735F">
        <w:rPr>
          <w:lang w:val="ru-RU"/>
        </w:rPr>
        <w:t xml:space="preserve"> и поэтому предпочита</w:t>
      </w:r>
      <w:r w:rsidR="009E522C" w:rsidRPr="0057735F">
        <w:rPr>
          <w:lang w:val="ru-RU"/>
        </w:rPr>
        <w:t>ется</w:t>
      </w:r>
      <w:r w:rsidRPr="0057735F">
        <w:rPr>
          <w:lang w:val="ru-RU"/>
        </w:rPr>
        <w:t xml:space="preserve"> участ</w:t>
      </w:r>
      <w:r w:rsidR="009E522C" w:rsidRPr="0057735F">
        <w:rPr>
          <w:lang w:val="ru-RU"/>
        </w:rPr>
        <w:t>ие</w:t>
      </w:r>
      <w:r w:rsidRPr="0057735F">
        <w:rPr>
          <w:lang w:val="ru-RU"/>
        </w:rPr>
        <w:t xml:space="preserve"> только во втором дне работы собрания ИК.</w:t>
      </w:r>
    </w:p>
    <w:p w:rsidR="00393878" w:rsidRPr="0057735F" w:rsidRDefault="00393878" w:rsidP="006E21F1">
      <w:pPr>
        <w:rPr>
          <w:lang w:val="ru-RU"/>
        </w:rPr>
      </w:pPr>
      <w:r w:rsidRPr="0057735F">
        <w:rPr>
          <w:lang w:val="ru-RU"/>
        </w:rPr>
        <w:t xml:space="preserve">В случае возражений или разногласий в первый день работы собрания ИК обсуждение прекращается, и документ либо </w:t>
      </w:r>
      <w:r w:rsidR="006E21F1" w:rsidRPr="0057735F">
        <w:rPr>
          <w:lang w:val="ru-RU"/>
        </w:rPr>
        <w:t>направляется обратно</w:t>
      </w:r>
      <w:r w:rsidRPr="0057735F">
        <w:rPr>
          <w:lang w:val="ru-RU"/>
        </w:rPr>
        <w:t xml:space="preserve"> в соответствующую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для подробного обсуждения и внесения изменений, либо, в случае незначительных затруднений, оставляется в ИК для неофициального обсуждения с целью устранения затруднений ко второму дню собрания ИК.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> может воспользоваться присутствием лица, высказ</w:t>
      </w:r>
      <w:r w:rsidR="00D77973" w:rsidRPr="0057735F">
        <w:rPr>
          <w:lang w:val="ru-RU"/>
        </w:rPr>
        <w:t>ав</w:t>
      </w:r>
      <w:r w:rsidR="006E21F1" w:rsidRPr="0057735F">
        <w:rPr>
          <w:lang w:val="ru-RU"/>
        </w:rPr>
        <w:t>ш</w:t>
      </w:r>
      <w:r w:rsidRPr="0057735F">
        <w:rPr>
          <w:lang w:val="ru-RU"/>
        </w:rPr>
        <w:t>его возражения, для того чтобы разрешить любую возник</w:t>
      </w:r>
      <w:r w:rsidR="006E21F1" w:rsidRPr="0057735F">
        <w:rPr>
          <w:lang w:val="ru-RU"/>
        </w:rPr>
        <w:t>ш</w:t>
      </w:r>
      <w:r w:rsidRPr="0057735F">
        <w:rPr>
          <w:lang w:val="ru-RU"/>
        </w:rPr>
        <w:t>ую проблему.</w:t>
      </w:r>
    </w:p>
    <w:p w:rsidR="00393878" w:rsidRPr="0057735F" w:rsidRDefault="00393878" w:rsidP="0057735F">
      <w:pPr>
        <w:rPr>
          <w:lang w:val="ru-RU"/>
        </w:rPr>
      </w:pPr>
      <w:r w:rsidRPr="0057735F">
        <w:rPr>
          <w:lang w:val="ru-RU"/>
        </w:rPr>
        <w:t>Одним из первых пунктов повестки дня второго дня собрания ИК стоит план согласований. Перечень документов (план согласований) рассматривается как один пункт, и в случае</w:t>
      </w:r>
      <w:r w:rsidR="006E21F1" w:rsidRPr="0057735F">
        <w:rPr>
          <w:lang w:val="ru-RU"/>
        </w:rPr>
        <w:t xml:space="preserve"> отсутствия</w:t>
      </w:r>
      <w:r w:rsidRPr="0057735F">
        <w:rPr>
          <w:lang w:val="ru-RU"/>
        </w:rPr>
        <w:t xml:space="preserve"> возражений все пункты в перечне считаются принятыми. Любое возражение в отношении какого-либо пункта в плане согласований означает всего лишь, что этот пункт исключается из плана согласований для более подробного обсуждения позже в тот же день.</w:t>
      </w:r>
    </w:p>
    <w:p w:rsidR="00393878" w:rsidRPr="0057735F" w:rsidRDefault="00393878" w:rsidP="00B07E26">
      <w:pPr>
        <w:rPr>
          <w:lang w:val="ru-RU"/>
        </w:rPr>
      </w:pPr>
      <w:r w:rsidRPr="0057735F">
        <w:rPr>
          <w:lang w:val="ru-RU"/>
        </w:rPr>
        <w:t xml:space="preserve">Оставшаяся часть второго дня собрания ИК посвящается рассмотрению тех документов, которые не были согласованы в первый день (если вопросы были решены по взаимному согласию), а также новых пунктов, поступивших от собрания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, которые являются либо a) "зрелыми", как это было изложено выше, либо b) требующими срочного рассмотрения (например, для </w:t>
      </w:r>
      <w:proofErr w:type="spellStart"/>
      <w:r w:rsidRPr="0057735F">
        <w:rPr>
          <w:lang w:val="ru-RU"/>
        </w:rPr>
        <w:t>ВКР</w:t>
      </w:r>
      <w:proofErr w:type="spellEnd"/>
      <w:r w:rsidRPr="0057735F">
        <w:rPr>
          <w:lang w:val="ru-RU"/>
        </w:rPr>
        <w:t xml:space="preserve">). Эти новые пункты не будут приняты, </w:t>
      </w:r>
      <w:r w:rsidR="00B07E26" w:rsidRPr="0057735F">
        <w:rPr>
          <w:lang w:val="ru-RU"/>
        </w:rPr>
        <w:t>но</w:t>
      </w:r>
      <w:r w:rsidRPr="0057735F">
        <w:rPr>
          <w:lang w:val="ru-RU"/>
        </w:rPr>
        <w:t xml:space="preserve"> будут направлены для одновременного принятия и утверждения (</w:t>
      </w:r>
      <w:proofErr w:type="spellStart"/>
      <w:r w:rsidRPr="0057735F">
        <w:rPr>
          <w:lang w:val="ru-RU"/>
        </w:rPr>
        <w:t>PSAA</w:t>
      </w:r>
      <w:proofErr w:type="spellEnd"/>
      <w:r w:rsidRPr="0057735F">
        <w:rPr>
          <w:lang w:val="ru-RU"/>
        </w:rPr>
        <w:t>).</w:t>
      </w:r>
    </w:p>
    <w:p w:rsidR="00393878" w:rsidRPr="0057735F" w:rsidRDefault="00393878" w:rsidP="00B07E26">
      <w:pPr>
        <w:rPr>
          <w:lang w:val="ru-RU"/>
        </w:rPr>
      </w:pPr>
      <w:r w:rsidRPr="0057735F">
        <w:rPr>
          <w:lang w:val="ru-RU"/>
        </w:rPr>
        <w:t xml:space="preserve">В случае Рекомендаций, которые предусматривалось обсудить во второй день собрания ИК, если они согласованы ИК, они будут направлены </w:t>
      </w:r>
      <w:r w:rsidR="00B07E26" w:rsidRPr="0057735F">
        <w:rPr>
          <w:lang w:val="ru-RU"/>
        </w:rPr>
        <w:t>для одобрения</w:t>
      </w:r>
      <w:r w:rsidRPr="0057735F">
        <w:rPr>
          <w:lang w:val="ru-RU"/>
        </w:rPr>
        <w:t xml:space="preserve"> путем переписки и затем </w:t>
      </w:r>
      <w:r w:rsidR="00B07E26" w:rsidRPr="0057735F">
        <w:rPr>
          <w:lang w:val="ru-RU"/>
        </w:rPr>
        <w:t xml:space="preserve">для </w:t>
      </w:r>
      <w:r w:rsidRPr="0057735F">
        <w:rPr>
          <w:lang w:val="ru-RU"/>
        </w:rPr>
        <w:t>утверждени</w:t>
      </w:r>
      <w:r w:rsidR="00B07E26" w:rsidRPr="0057735F">
        <w:rPr>
          <w:lang w:val="ru-RU"/>
        </w:rPr>
        <w:t>я</w:t>
      </w:r>
      <w:r w:rsidRPr="0057735F">
        <w:rPr>
          <w:lang w:val="ru-RU"/>
        </w:rPr>
        <w:t xml:space="preserve"> путем переписки.</w:t>
      </w:r>
    </w:p>
    <w:p w:rsidR="00393878" w:rsidRPr="0057735F" w:rsidRDefault="00393878" w:rsidP="00393878">
      <w:pPr>
        <w:rPr>
          <w:lang w:val="ru-RU"/>
        </w:rPr>
      </w:pPr>
      <w:r w:rsidRPr="0057735F">
        <w:rPr>
          <w:lang w:val="ru-RU"/>
        </w:rPr>
        <w:t>Этот метод использовался на протяжении всего отчетного периода и позволил повысить эффективность и действенность работы ИК.</w:t>
      </w:r>
    </w:p>
    <w:p w:rsidR="00393878" w:rsidRPr="0057735F" w:rsidRDefault="00393878" w:rsidP="007A41CD">
      <w:pPr>
        <w:pStyle w:val="Heading1"/>
        <w:rPr>
          <w:lang w:val="ru-RU"/>
        </w:rPr>
      </w:pPr>
      <w:r w:rsidRPr="0057735F">
        <w:rPr>
          <w:lang w:val="ru-RU"/>
        </w:rPr>
        <w:t>9</w:t>
      </w:r>
      <w:r w:rsidRPr="0057735F">
        <w:rPr>
          <w:lang w:val="ru-RU"/>
        </w:rPr>
        <w:tab/>
      </w:r>
      <w:r w:rsidR="001C5863" w:rsidRPr="0057735F">
        <w:rPr>
          <w:lang w:val="ru-RU"/>
        </w:rPr>
        <w:t>Предлагаемое изменение Дополнения </w:t>
      </w:r>
      <w:r w:rsidRPr="0057735F">
        <w:rPr>
          <w:lang w:val="ru-RU"/>
        </w:rPr>
        <w:t>7</w:t>
      </w:r>
    </w:p>
    <w:p w:rsidR="00393878" w:rsidRPr="0057735F" w:rsidRDefault="00E05242" w:rsidP="00334CE8">
      <w:pPr>
        <w:rPr>
          <w:lang w:val="ru-RU"/>
        </w:rPr>
      </w:pPr>
      <w:r w:rsidRPr="0057735F">
        <w:rPr>
          <w:lang w:val="ru-RU"/>
        </w:rPr>
        <w:t>В текущем исследовательском цикле Рабочая группа </w:t>
      </w:r>
      <w:proofErr w:type="spellStart"/>
      <w:r w:rsidR="00393878" w:rsidRPr="0057735F">
        <w:rPr>
          <w:lang w:val="ru-RU"/>
        </w:rPr>
        <w:t>7B</w:t>
      </w:r>
      <w:proofErr w:type="spellEnd"/>
      <w:r w:rsidR="00393878" w:rsidRPr="0057735F">
        <w:rPr>
          <w:lang w:val="ru-RU"/>
        </w:rPr>
        <w:t xml:space="preserve"> </w:t>
      </w:r>
      <w:r w:rsidRPr="0057735F">
        <w:rPr>
          <w:lang w:val="ru-RU"/>
        </w:rPr>
        <w:t xml:space="preserve">подготовила отчет по вопросу о защите </w:t>
      </w:r>
      <w:r w:rsidR="00D21554" w:rsidRPr="0057735F">
        <w:rPr>
          <w:lang w:val="ru-RU"/>
        </w:rPr>
        <w:t xml:space="preserve">земных станций </w:t>
      </w:r>
      <w:proofErr w:type="spellStart"/>
      <w:r w:rsidR="000F08CF" w:rsidRPr="0057735F">
        <w:rPr>
          <w:lang w:val="ru-RU"/>
        </w:rPr>
        <w:t>СКИ</w:t>
      </w:r>
      <w:proofErr w:type="spellEnd"/>
      <w:r w:rsidR="004F164F" w:rsidRPr="0057735F">
        <w:rPr>
          <w:lang w:val="ru-RU"/>
        </w:rPr>
        <w:t xml:space="preserve"> от станций воздушных судов </w:t>
      </w:r>
      <w:r w:rsidR="006375D1" w:rsidRPr="0057735F">
        <w:rPr>
          <w:lang w:val="ru-RU"/>
        </w:rPr>
        <w:t>в полосе 2</w:t>
      </w:r>
      <w:r w:rsidR="00393878" w:rsidRPr="0057735F">
        <w:rPr>
          <w:lang w:val="ru-RU"/>
        </w:rPr>
        <w:t>200</w:t>
      </w:r>
      <w:r w:rsidR="006375D1" w:rsidRPr="0057735F">
        <w:rPr>
          <w:lang w:val="ru-RU"/>
        </w:rPr>
        <w:t>–</w:t>
      </w:r>
      <w:r w:rsidR="003F7A4B" w:rsidRPr="0057735F">
        <w:rPr>
          <w:lang w:val="ru-RU"/>
        </w:rPr>
        <w:t>2</w:t>
      </w:r>
      <w:r w:rsidR="00393878" w:rsidRPr="0057735F">
        <w:rPr>
          <w:lang w:val="ru-RU"/>
        </w:rPr>
        <w:t>290</w:t>
      </w:r>
      <w:r w:rsidR="006375D1" w:rsidRPr="0057735F">
        <w:rPr>
          <w:lang w:val="ru-RU"/>
        </w:rPr>
        <w:t xml:space="preserve"> МГц</w:t>
      </w:r>
      <w:r w:rsidR="00393878" w:rsidRPr="0057735F">
        <w:rPr>
          <w:lang w:val="ru-RU"/>
        </w:rPr>
        <w:t xml:space="preserve"> (</w:t>
      </w:r>
      <w:r w:rsidR="006375D1" w:rsidRPr="0057735F">
        <w:rPr>
          <w:lang w:val="ru-RU"/>
        </w:rPr>
        <w:t>Отчет МСЭ</w:t>
      </w:r>
      <w:r w:rsidR="00393878" w:rsidRPr="0057735F">
        <w:rPr>
          <w:lang w:val="ru-RU"/>
        </w:rPr>
        <w:t xml:space="preserve">-R </w:t>
      </w:r>
      <w:hyperlink r:id="rId9" w:history="1">
        <w:proofErr w:type="spellStart"/>
        <w:r w:rsidR="00393878" w:rsidRPr="0057735F">
          <w:rPr>
            <w:rStyle w:val="Hyperlink"/>
            <w:lang w:val="ru-RU"/>
          </w:rPr>
          <w:t>SA.2276</w:t>
        </w:r>
        <w:proofErr w:type="spellEnd"/>
      </w:hyperlink>
      <w:r w:rsidR="00393878" w:rsidRPr="0057735F">
        <w:rPr>
          <w:lang w:val="ru-RU"/>
        </w:rPr>
        <w:t xml:space="preserve">), </w:t>
      </w:r>
      <w:r w:rsidR="006375D1" w:rsidRPr="0057735F">
        <w:rPr>
          <w:lang w:val="ru-RU"/>
        </w:rPr>
        <w:t>который был далее одобрен 7-й Исследовательской комиссией</w:t>
      </w:r>
      <w:r w:rsidR="00393878" w:rsidRPr="0057735F">
        <w:rPr>
          <w:lang w:val="ru-RU"/>
        </w:rPr>
        <w:t xml:space="preserve">. </w:t>
      </w:r>
      <w:r w:rsidR="006375D1" w:rsidRPr="0057735F">
        <w:rPr>
          <w:lang w:val="ru-RU"/>
        </w:rPr>
        <w:t xml:space="preserve">В этом Отчете в целях защиты земных станций </w:t>
      </w:r>
      <w:proofErr w:type="spellStart"/>
      <w:r w:rsidR="006375D1" w:rsidRPr="0057735F">
        <w:rPr>
          <w:lang w:val="ru-RU"/>
        </w:rPr>
        <w:t>СКИ</w:t>
      </w:r>
      <w:proofErr w:type="spellEnd"/>
      <w:r w:rsidR="006375D1" w:rsidRPr="0057735F">
        <w:rPr>
          <w:lang w:val="ru-RU"/>
        </w:rPr>
        <w:t xml:space="preserve"> расстояния разноса между станциями воздушных судов и несколькими земными станциями </w:t>
      </w:r>
      <w:proofErr w:type="spellStart"/>
      <w:r w:rsidR="006375D1" w:rsidRPr="0057735F">
        <w:rPr>
          <w:lang w:val="ru-RU"/>
        </w:rPr>
        <w:t>СКИ</w:t>
      </w:r>
      <w:proofErr w:type="spellEnd"/>
      <w:r w:rsidR="006375D1" w:rsidRPr="0057735F">
        <w:rPr>
          <w:lang w:val="ru-RU"/>
        </w:rPr>
        <w:t xml:space="preserve"> представлены как функция высоты воздушного судна</w:t>
      </w:r>
      <w:r w:rsidR="00393878" w:rsidRPr="0057735F">
        <w:rPr>
          <w:lang w:val="ru-RU"/>
        </w:rPr>
        <w:t xml:space="preserve">. </w:t>
      </w:r>
      <w:r w:rsidR="006375D1" w:rsidRPr="0057735F">
        <w:rPr>
          <w:lang w:val="ru-RU"/>
        </w:rPr>
        <w:t xml:space="preserve">Результаты показывают, что </w:t>
      </w:r>
      <w:r w:rsidR="00831F63" w:rsidRPr="0057735F">
        <w:rPr>
          <w:lang w:val="ru-RU"/>
        </w:rPr>
        <w:t>действующее в настоящее время предварительно установленное координационное расстояние</w:t>
      </w:r>
      <w:r w:rsidR="00393878" w:rsidRPr="0057735F">
        <w:rPr>
          <w:lang w:val="ru-RU"/>
        </w:rPr>
        <w:t xml:space="preserve"> 500</w:t>
      </w:r>
      <w:r w:rsidR="00831F63" w:rsidRPr="0057735F">
        <w:rPr>
          <w:lang w:val="ru-RU"/>
        </w:rPr>
        <w:t> км, указанное в Таблице 10 Дополнения 7 к Приложению 7 Регламента радиосвязи (</w:t>
      </w:r>
      <w:proofErr w:type="spellStart"/>
      <w:r w:rsidR="00831F63" w:rsidRPr="0057735F">
        <w:rPr>
          <w:lang w:val="ru-RU"/>
        </w:rPr>
        <w:t>РР</w:t>
      </w:r>
      <w:proofErr w:type="spellEnd"/>
      <w:r w:rsidR="00831F63" w:rsidRPr="0057735F">
        <w:rPr>
          <w:lang w:val="ru-RU"/>
        </w:rPr>
        <w:t xml:space="preserve">), недостаточно для защиты земных станций </w:t>
      </w:r>
      <w:proofErr w:type="spellStart"/>
      <w:r w:rsidR="00831F63" w:rsidRPr="0057735F">
        <w:rPr>
          <w:lang w:val="ru-RU"/>
        </w:rPr>
        <w:t>СКИ</w:t>
      </w:r>
      <w:proofErr w:type="spellEnd"/>
      <w:r w:rsidR="008775DD" w:rsidRPr="0057735F">
        <w:rPr>
          <w:lang w:val="ru-RU"/>
        </w:rPr>
        <w:t xml:space="preserve">, </w:t>
      </w:r>
      <w:r w:rsidR="00334CE8" w:rsidRPr="0057735F">
        <w:rPr>
          <w:lang w:val="ru-RU"/>
        </w:rPr>
        <w:t xml:space="preserve">на практике </w:t>
      </w:r>
      <w:r w:rsidR="008775DD" w:rsidRPr="0057735F">
        <w:rPr>
          <w:lang w:val="ru-RU"/>
        </w:rPr>
        <w:t xml:space="preserve">для их защиты потребуется </w:t>
      </w:r>
      <w:r w:rsidR="00393878" w:rsidRPr="0057735F">
        <w:rPr>
          <w:lang w:val="ru-RU"/>
        </w:rPr>
        <w:t>880 </w:t>
      </w:r>
      <w:r w:rsidR="008775DD" w:rsidRPr="0057735F">
        <w:rPr>
          <w:lang w:val="ru-RU"/>
        </w:rPr>
        <w:t>км. На основании этого Отчета 7-я Исследовательская комиссия утвердила Рекомендацию МСЭ</w:t>
      </w:r>
      <w:r w:rsidR="00393878" w:rsidRPr="0057735F">
        <w:rPr>
          <w:lang w:val="ru-RU"/>
        </w:rPr>
        <w:t xml:space="preserve">-R </w:t>
      </w:r>
      <w:proofErr w:type="spellStart"/>
      <w:r w:rsidR="00393878" w:rsidRPr="0057735F">
        <w:rPr>
          <w:lang w:val="ru-RU"/>
        </w:rPr>
        <w:lastRenderedPageBreak/>
        <w:t>SA.2078</w:t>
      </w:r>
      <w:proofErr w:type="spellEnd"/>
      <w:r w:rsidR="00393878" w:rsidRPr="0057735F">
        <w:rPr>
          <w:lang w:val="ru-RU"/>
        </w:rPr>
        <w:t>-0</w:t>
      </w:r>
      <w:r w:rsidR="008775DD" w:rsidRPr="0057735F">
        <w:rPr>
          <w:lang w:val="ru-RU"/>
        </w:rPr>
        <w:t xml:space="preserve">, в которой рекомендуется использовать координационное расстояние между земными станциями </w:t>
      </w:r>
      <w:proofErr w:type="spellStart"/>
      <w:r w:rsidR="008775DD" w:rsidRPr="0057735F">
        <w:rPr>
          <w:lang w:val="ru-RU"/>
        </w:rPr>
        <w:t>СКИ</w:t>
      </w:r>
      <w:proofErr w:type="spellEnd"/>
      <w:r w:rsidR="008775DD" w:rsidRPr="0057735F">
        <w:rPr>
          <w:lang w:val="ru-RU"/>
        </w:rPr>
        <w:t xml:space="preserve"> и станциями воздушных судов, составляющее</w:t>
      </w:r>
      <w:r w:rsidR="00393878" w:rsidRPr="0057735F">
        <w:rPr>
          <w:lang w:val="ru-RU"/>
        </w:rPr>
        <w:t xml:space="preserve"> 880</w:t>
      </w:r>
      <w:r w:rsidR="008775DD" w:rsidRPr="0057735F">
        <w:rPr>
          <w:lang w:val="ru-RU"/>
        </w:rPr>
        <w:t> км</w:t>
      </w:r>
      <w:r w:rsidR="00393878" w:rsidRPr="0057735F">
        <w:rPr>
          <w:lang w:val="ru-RU"/>
        </w:rPr>
        <w:t>.</w:t>
      </w:r>
    </w:p>
    <w:p w:rsidR="00393878" w:rsidRPr="0057735F" w:rsidRDefault="008775DD" w:rsidP="00F75B61">
      <w:pPr>
        <w:rPr>
          <w:lang w:val="ru-RU"/>
        </w:rPr>
      </w:pPr>
      <w:r w:rsidRPr="0057735F">
        <w:rPr>
          <w:lang w:val="ru-RU"/>
        </w:rPr>
        <w:t xml:space="preserve">В последней строке Таблицы 10 Дополнения 7 к Приложению 7 действующего </w:t>
      </w:r>
      <w:proofErr w:type="spellStart"/>
      <w:r w:rsidRPr="0057735F">
        <w:rPr>
          <w:lang w:val="ru-RU"/>
        </w:rPr>
        <w:t>РР</w:t>
      </w:r>
      <w:proofErr w:type="spellEnd"/>
      <w:r w:rsidRPr="0057735F">
        <w:rPr>
          <w:lang w:val="ru-RU"/>
        </w:rPr>
        <w:t xml:space="preserve"> </w:t>
      </w:r>
      <w:r w:rsidR="009427AB" w:rsidRPr="0057735F">
        <w:rPr>
          <w:lang w:val="ru-RU"/>
        </w:rPr>
        <w:t xml:space="preserve">указано равное 500 км </w:t>
      </w:r>
      <w:r w:rsidRPr="0057735F">
        <w:rPr>
          <w:lang w:val="ru-RU"/>
        </w:rPr>
        <w:t xml:space="preserve">предварительно установленное координационное расстояние между подвижными (воздушное судно) станциями и станциями наземного базирования </w:t>
      </w:r>
      <w:r w:rsidR="009427AB" w:rsidRPr="0057735F">
        <w:rPr>
          <w:lang w:val="ru-RU"/>
        </w:rPr>
        <w:t>в полосах, ситуация совместного использования частот в которых не охвачена в других строках</w:t>
      </w:r>
      <w:r w:rsidR="00393878" w:rsidRPr="0057735F">
        <w:rPr>
          <w:lang w:val="ru-RU"/>
        </w:rPr>
        <w:t xml:space="preserve">. </w:t>
      </w:r>
      <w:r w:rsidR="009427AB" w:rsidRPr="0057735F">
        <w:rPr>
          <w:lang w:val="ru-RU"/>
        </w:rPr>
        <w:t>Вследствие того</w:t>
      </w:r>
      <w:r w:rsidR="00103B11" w:rsidRPr="0057735F">
        <w:rPr>
          <w:lang w:val="ru-RU"/>
        </w:rPr>
        <w:t>,</w:t>
      </w:r>
      <w:r w:rsidR="009427AB" w:rsidRPr="0057735F">
        <w:rPr>
          <w:lang w:val="ru-RU"/>
        </w:rPr>
        <w:t xml:space="preserve"> что </w:t>
      </w:r>
      <w:r w:rsidR="0077496A" w:rsidRPr="0057735F">
        <w:rPr>
          <w:lang w:val="ru-RU"/>
        </w:rPr>
        <w:t xml:space="preserve">действующая </w:t>
      </w:r>
      <w:r w:rsidR="0057735F" w:rsidRPr="0057735F">
        <w:rPr>
          <w:lang w:val="ru-RU"/>
        </w:rPr>
        <w:t>Таблица </w:t>
      </w:r>
      <w:r w:rsidR="0077496A" w:rsidRPr="0057735F">
        <w:rPr>
          <w:lang w:val="ru-RU"/>
        </w:rPr>
        <w:t xml:space="preserve">10 не содержит строки, в которой было бы определено координационное расстояние между земными станциями службы космических исследований и подвижными (воздушное судно) станциями в полосе </w:t>
      </w:r>
      <w:r w:rsidR="00393878" w:rsidRPr="0057735F">
        <w:rPr>
          <w:lang w:val="ru-RU"/>
        </w:rPr>
        <w:t>2200</w:t>
      </w:r>
      <w:r w:rsidR="0077496A" w:rsidRPr="0057735F">
        <w:rPr>
          <w:lang w:val="ru-RU"/>
        </w:rPr>
        <w:t>–</w:t>
      </w:r>
      <w:r w:rsidR="00393878" w:rsidRPr="0057735F">
        <w:rPr>
          <w:lang w:val="ru-RU"/>
        </w:rPr>
        <w:t>2290</w:t>
      </w:r>
      <w:r w:rsidR="0077496A" w:rsidRPr="0057735F">
        <w:rPr>
          <w:lang w:val="ru-RU"/>
        </w:rPr>
        <w:t> МГц, администрации</w:t>
      </w:r>
      <w:r w:rsidR="00F75B61" w:rsidRPr="0057735F">
        <w:rPr>
          <w:lang w:val="ru-RU"/>
        </w:rPr>
        <w:t xml:space="preserve"> используют, как правило, расстояние разноса между этими станциями, составляющее </w:t>
      </w:r>
      <w:r w:rsidR="00393878" w:rsidRPr="0057735F">
        <w:rPr>
          <w:lang w:val="ru-RU"/>
        </w:rPr>
        <w:t>500</w:t>
      </w:r>
      <w:r w:rsidR="00F75B61" w:rsidRPr="0057735F">
        <w:rPr>
          <w:lang w:val="ru-RU"/>
        </w:rPr>
        <w:t> км</w:t>
      </w:r>
      <w:r w:rsidR="00393878" w:rsidRPr="0057735F">
        <w:rPr>
          <w:lang w:val="ru-RU"/>
        </w:rPr>
        <w:t xml:space="preserve">. </w:t>
      </w:r>
    </w:p>
    <w:p w:rsidR="00393878" w:rsidRPr="0057735F" w:rsidRDefault="00F75B61" w:rsidP="00F75B61">
      <w:pPr>
        <w:rPr>
          <w:lang w:val="ru-RU"/>
        </w:rPr>
      </w:pPr>
      <w:r w:rsidRPr="0057735F">
        <w:rPr>
          <w:lang w:val="ru-RU"/>
        </w:rPr>
        <w:t xml:space="preserve">Вследствие этого в </w:t>
      </w:r>
      <w:hyperlink r:id="rId10" w:history="1">
        <w:r w:rsidRPr="0057735F">
          <w:rPr>
            <w:rStyle w:val="Hyperlink"/>
            <w:lang w:val="ru-RU"/>
          </w:rPr>
          <w:t>Документе </w:t>
        </w:r>
        <w:r w:rsidR="00393878" w:rsidRPr="0057735F">
          <w:rPr>
            <w:rStyle w:val="Hyperlink"/>
            <w:lang w:val="ru-RU"/>
          </w:rPr>
          <w:t>7/1005</w:t>
        </w:r>
      </w:hyperlink>
      <w:r w:rsidR="00393878" w:rsidRPr="0057735F">
        <w:rPr>
          <w:lang w:val="ru-RU"/>
        </w:rPr>
        <w:t xml:space="preserve"> </w:t>
      </w:r>
      <w:r w:rsidRPr="0057735F">
        <w:rPr>
          <w:lang w:val="ru-RU"/>
        </w:rPr>
        <w:t xml:space="preserve">предлагается добавить в </w:t>
      </w:r>
      <w:r w:rsidR="0057735F" w:rsidRPr="0057735F">
        <w:rPr>
          <w:lang w:val="ru-RU"/>
        </w:rPr>
        <w:t>Таблицу </w:t>
      </w:r>
      <w:r w:rsidRPr="0057735F">
        <w:rPr>
          <w:lang w:val="ru-RU"/>
        </w:rPr>
        <w:t xml:space="preserve">10 Дополнения 7 к Приложению 7 </w:t>
      </w:r>
      <w:proofErr w:type="spellStart"/>
      <w:r w:rsidRPr="0057735F">
        <w:rPr>
          <w:lang w:val="ru-RU"/>
        </w:rPr>
        <w:t>РР</w:t>
      </w:r>
      <w:proofErr w:type="spellEnd"/>
      <w:r w:rsidRPr="0057735F">
        <w:rPr>
          <w:lang w:val="ru-RU"/>
        </w:rPr>
        <w:t xml:space="preserve"> новую строку, в которой определяется требуемое расстояние разноса между станциями воздушных судов и земными станциями </w:t>
      </w:r>
      <w:proofErr w:type="spellStart"/>
      <w:r w:rsidRPr="0057735F">
        <w:rPr>
          <w:lang w:val="ru-RU"/>
        </w:rPr>
        <w:t>СКИ</w:t>
      </w:r>
      <w:proofErr w:type="spellEnd"/>
      <w:r w:rsidRPr="0057735F">
        <w:rPr>
          <w:lang w:val="ru-RU"/>
        </w:rPr>
        <w:t xml:space="preserve"> в полосе</w:t>
      </w:r>
      <w:r w:rsidR="00393878" w:rsidRPr="0057735F">
        <w:rPr>
          <w:lang w:val="ru-RU"/>
        </w:rPr>
        <w:t xml:space="preserve"> 2200</w:t>
      </w:r>
      <w:r w:rsidRPr="0057735F">
        <w:rPr>
          <w:lang w:val="ru-RU"/>
        </w:rPr>
        <w:t>–</w:t>
      </w:r>
      <w:r w:rsidR="00393878" w:rsidRPr="0057735F">
        <w:rPr>
          <w:lang w:val="ru-RU"/>
        </w:rPr>
        <w:t>2290</w:t>
      </w:r>
      <w:r w:rsidRPr="0057735F">
        <w:rPr>
          <w:lang w:val="ru-RU"/>
        </w:rPr>
        <w:t> МГц</w:t>
      </w:r>
      <w:r w:rsidR="00393878" w:rsidRPr="0057735F">
        <w:rPr>
          <w:lang w:val="ru-RU"/>
        </w:rPr>
        <w:t xml:space="preserve">. </w:t>
      </w:r>
    </w:p>
    <w:p w:rsidR="00393878" w:rsidRPr="0057735F" w:rsidRDefault="00531C91" w:rsidP="005E78C0">
      <w:pPr>
        <w:rPr>
          <w:lang w:val="ru-RU"/>
        </w:rPr>
      </w:pPr>
      <w:r w:rsidRPr="0057735F">
        <w:rPr>
          <w:lang w:val="ru-RU"/>
        </w:rPr>
        <w:t>Согласно Резолюции </w:t>
      </w:r>
      <w:r w:rsidR="00393878" w:rsidRPr="0057735F">
        <w:rPr>
          <w:b/>
          <w:lang w:val="ru-RU"/>
        </w:rPr>
        <w:t>74</w:t>
      </w:r>
      <w:r w:rsidR="00393878" w:rsidRPr="0057735F">
        <w:rPr>
          <w:lang w:val="ru-RU"/>
        </w:rPr>
        <w:t xml:space="preserve"> </w:t>
      </w:r>
      <w:r w:rsidR="00393878" w:rsidRPr="0057735F">
        <w:rPr>
          <w:b/>
          <w:bCs/>
          <w:lang w:val="ru-RU"/>
        </w:rPr>
        <w:t>(</w:t>
      </w:r>
      <w:proofErr w:type="spellStart"/>
      <w:r w:rsidRPr="0057735F">
        <w:rPr>
          <w:b/>
          <w:bCs/>
          <w:lang w:val="ru-RU"/>
        </w:rPr>
        <w:t>Пересм</w:t>
      </w:r>
      <w:proofErr w:type="spellEnd"/>
      <w:r w:rsidR="00393878" w:rsidRPr="0057735F">
        <w:rPr>
          <w:b/>
          <w:bCs/>
          <w:lang w:val="ru-RU"/>
        </w:rPr>
        <w:t>.</w:t>
      </w:r>
      <w:r w:rsidRPr="0057735F">
        <w:rPr>
          <w:b/>
          <w:bCs/>
          <w:lang w:val="ru-RU"/>
        </w:rPr>
        <w:t xml:space="preserve"> </w:t>
      </w:r>
      <w:proofErr w:type="spellStart"/>
      <w:r w:rsidRPr="0057735F">
        <w:rPr>
          <w:b/>
          <w:bCs/>
          <w:lang w:val="ru-RU"/>
        </w:rPr>
        <w:t>ВКР</w:t>
      </w:r>
      <w:proofErr w:type="spellEnd"/>
      <w:r w:rsidR="00393878" w:rsidRPr="0057735F">
        <w:rPr>
          <w:b/>
          <w:bCs/>
          <w:lang w:val="ru-RU"/>
        </w:rPr>
        <w:t>-03)</w:t>
      </w:r>
      <w:r w:rsidRPr="0057735F">
        <w:rPr>
          <w:lang w:val="ru-RU"/>
        </w:rPr>
        <w:t xml:space="preserve">, в которой описан процесс своевременного </w:t>
      </w:r>
      <w:r w:rsidR="004C5D23" w:rsidRPr="0057735F">
        <w:rPr>
          <w:lang w:val="ru-RU"/>
        </w:rPr>
        <w:t>обновления технической базы Приложения 7, 7-я Исследовательская комиссия обращается к Ассамблее радиосвязи для подтверждения необходимости изменени</w:t>
      </w:r>
      <w:r w:rsidR="005E78C0" w:rsidRPr="0057735F">
        <w:rPr>
          <w:lang w:val="ru-RU"/>
        </w:rPr>
        <w:t>я</w:t>
      </w:r>
      <w:r w:rsidR="004C5D23" w:rsidRPr="0057735F">
        <w:rPr>
          <w:lang w:val="ru-RU"/>
        </w:rPr>
        <w:t xml:space="preserve"> координационных параметров в Приложении 7</w:t>
      </w:r>
      <w:r w:rsidR="00393878" w:rsidRPr="0057735F">
        <w:rPr>
          <w:lang w:val="ru-RU"/>
        </w:rPr>
        <w:t xml:space="preserve">. </w:t>
      </w:r>
      <w:r w:rsidR="004C5D23" w:rsidRPr="0057735F">
        <w:rPr>
          <w:lang w:val="ru-RU"/>
        </w:rPr>
        <w:t xml:space="preserve">Если такое подтверждение будет получено, то согласно пункту 2 раздела </w:t>
      </w:r>
      <w:r w:rsidR="004C5D23" w:rsidRPr="0057735F">
        <w:rPr>
          <w:i/>
          <w:iCs/>
          <w:lang w:val="ru-RU"/>
        </w:rPr>
        <w:t xml:space="preserve">решает </w:t>
      </w:r>
      <w:r w:rsidR="004C5D23" w:rsidRPr="0057735F">
        <w:rPr>
          <w:lang w:val="ru-RU"/>
        </w:rPr>
        <w:t>Резолюции </w:t>
      </w:r>
      <w:r w:rsidR="004C5D23" w:rsidRPr="0057735F">
        <w:rPr>
          <w:b/>
          <w:lang w:val="ru-RU"/>
        </w:rPr>
        <w:t>74</w:t>
      </w:r>
      <w:r w:rsidR="004C5D23" w:rsidRPr="0057735F">
        <w:rPr>
          <w:lang w:val="ru-RU"/>
        </w:rPr>
        <w:t xml:space="preserve"> </w:t>
      </w:r>
      <w:r w:rsidR="004C5D23" w:rsidRPr="0057735F">
        <w:rPr>
          <w:b/>
          <w:bCs/>
          <w:lang w:val="ru-RU"/>
        </w:rPr>
        <w:t>(</w:t>
      </w:r>
      <w:proofErr w:type="spellStart"/>
      <w:r w:rsidR="004C5D23" w:rsidRPr="0057735F">
        <w:rPr>
          <w:b/>
          <w:bCs/>
          <w:lang w:val="ru-RU"/>
        </w:rPr>
        <w:t>Пересм</w:t>
      </w:r>
      <w:proofErr w:type="spellEnd"/>
      <w:r w:rsidR="004C5D23" w:rsidRPr="0057735F">
        <w:rPr>
          <w:b/>
          <w:bCs/>
          <w:lang w:val="ru-RU"/>
        </w:rPr>
        <w:t xml:space="preserve">. </w:t>
      </w:r>
      <w:proofErr w:type="spellStart"/>
      <w:r w:rsidR="004C5D23" w:rsidRPr="0057735F">
        <w:rPr>
          <w:b/>
          <w:bCs/>
          <w:lang w:val="ru-RU"/>
        </w:rPr>
        <w:t>ВКР</w:t>
      </w:r>
      <w:proofErr w:type="spellEnd"/>
      <w:r w:rsidR="004C5D23" w:rsidRPr="0057735F">
        <w:rPr>
          <w:b/>
          <w:bCs/>
          <w:lang w:val="ru-RU"/>
        </w:rPr>
        <w:t>-03)</w:t>
      </w:r>
      <w:r w:rsidR="00393878" w:rsidRPr="0057735F">
        <w:rPr>
          <w:lang w:val="ru-RU"/>
        </w:rPr>
        <w:t xml:space="preserve">, </w:t>
      </w:r>
      <w:r w:rsidR="004C5D23" w:rsidRPr="0057735F">
        <w:rPr>
          <w:lang w:val="ru-RU"/>
        </w:rPr>
        <w:t xml:space="preserve">Директор Бюро радиосвязи </w:t>
      </w:r>
      <w:r w:rsidR="005A7402" w:rsidRPr="0057735F">
        <w:rPr>
          <w:lang w:val="ru-RU"/>
        </w:rPr>
        <w:t xml:space="preserve">должен будет отразить этот вопрос в Отчете Директора для </w:t>
      </w:r>
      <w:proofErr w:type="spellStart"/>
      <w:r w:rsidR="005A7402" w:rsidRPr="0057735F">
        <w:rPr>
          <w:lang w:val="ru-RU"/>
        </w:rPr>
        <w:t>ВКР</w:t>
      </w:r>
      <w:proofErr w:type="spellEnd"/>
      <w:r w:rsidR="00393878" w:rsidRPr="0057735F">
        <w:rPr>
          <w:lang w:val="ru-RU"/>
        </w:rPr>
        <w:t>-15.</w:t>
      </w:r>
    </w:p>
    <w:p w:rsidR="00393878" w:rsidRPr="0057735F" w:rsidRDefault="00393878" w:rsidP="007A41CD">
      <w:pPr>
        <w:pStyle w:val="Heading1"/>
        <w:rPr>
          <w:lang w:val="ru-RU"/>
        </w:rPr>
      </w:pPr>
      <w:r w:rsidRPr="0057735F">
        <w:rPr>
          <w:lang w:val="ru-RU"/>
        </w:rPr>
        <w:t>10</w:t>
      </w:r>
      <w:r w:rsidRPr="0057735F">
        <w:rPr>
          <w:lang w:val="ru-RU"/>
        </w:rPr>
        <w:tab/>
        <w:t>Выводы</w:t>
      </w:r>
    </w:p>
    <w:p w:rsidR="00393878" w:rsidRPr="0057735F" w:rsidRDefault="00393878" w:rsidP="0057735F">
      <w:pPr>
        <w:rPr>
          <w:lang w:val="ru-RU"/>
        </w:rPr>
      </w:pPr>
      <w:r w:rsidRPr="0057735F">
        <w:rPr>
          <w:lang w:val="ru-RU"/>
        </w:rPr>
        <w:t xml:space="preserve">В течение </w:t>
      </w:r>
      <w:r w:rsidR="005E78C0" w:rsidRPr="0057735F">
        <w:rPr>
          <w:lang w:val="ru-RU"/>
        </w:rPr>
        <w:t>данного исследовательского</w:t>
      </w:r>
      <w:r w:rsidRPr="0057735F">
        <w:rPr>
          <w:lang w:val="ru-RU"/>
        </w:rPr>
        <w:t xml:space="preserve"> периода ИК работала хорошо. </w:t>
      </w:r>
      <w:r w:rsidR="005E78C0" w:rsidRPr="0057735F">
        <w:rPr>
          <w:lang w:val="ru-RU"/>
        </w:rPr>
        <w:t>Комиссия</w:t>
      </w:r>
      <w:r w:rsidRPr="0057735F">
        <w:rPr>
          <w:lang w:val="ru-RU"/>
        </w:rPr>
        <w:t xml:space="preserve"> смогла завершить всю свою работу, связанную с подготовкой </w:t>
      </w:r>
      <w:proofErr w:type="spellStart"/>
      <w:r w:rsidRPr="0057735F">
        <w:rPr>
          <w:lang w:val="ru-RU"/>
        </w:rPr>
        <w:t>ВКР</w:t>
      </w:r>
      <w:proofErr w:type="spellEnd"/>
      <w:r w:rsidRPr="0057735F">
        <w:rPr>
          <w:lang w:val="ru-RU"/>
        </w:rPr>
        <w:noBreakHyphen/>
        <w:t>1</w:t>
      </w:r>
      <w:r w:rsidR="005E78C0" w:rsidRPr="0057735F">
        <w:rPr>
          <w:lang w:val="ru-RU"/>
        </w:rPr>
        <w:t>5</w:t>
      </w:r>
      <w:r w:rsidRPr="0057735F">
        <w:rPr>
          <w:lang w:val="ru-RU"/>
        </w:rPr>
        <w:t xml:space="preserve">, приняв и утвердив все Отчеты и Рекомендации, которые необходимы для предлагаемых методов, описанных </w:t>
      </w:r>
      <w:r w:rsidR="0057735F" w:rsidRPr="0057735F">
        <w:rPr>
          <w:lang w:val="ru-RU"/>
        </w:rPr>
        <w:t>в</w:t>
      </w:r>
      <w:r w:rsidRPr="0057735F">
        <w:rPr>
          <w:lang w:val="ru-RU"/>
        </w:rPr>
        <w:t xml:space="preserve"> Отчете </w:t>
      </w:r>
      <w:proofErr w:type="spellStart"/>
      <w:r w:rsidRPr="0057735F">
        <w:rPr>
          <w:lang w:val="ru-RU"/>
        </w:rPr>
        <w:t>ПСК</w:t>
      </w:r>
      <w:proofErr w:type="spellEnd"/>
      <w:r w:rsidRPr="0057735F">
        <w:rPr>
          <w:lang w:val="ru-RU"/>
        </w:rPr>
        <w:t>. Сотрудничество между администрациями и Членами Сектора было образцовым.</w:t>
      </w:r>
    </w:p>
    <w:p w:rsidR="00393878" w:rsidRPr="0057735F" w:rsidRDefault="00393878" w:rsidP="00393878">
      <w:pPr>
        <w:rPr>
          <w:lang w:val="ru-RU"/>
        </w:rPr>
      </w:pPr>
      <w:r w:rsidRPr="0057735F">
        <w:rPr>
          <w:lang w:val="ru-RU"/>
        </w:rPr>
        <w:t xml:space="preserve">Рассмотрение Рекомендаций и Вопросов под руководством заместителей председателя и председателей </w:t>
      </w:r>
      <w:proofErr w:type="spellStart"/>
      <w:r w:rsidRPr="0057735F">
        <w:rPr>
          <w:lang w:val="ru-RU"/>
        </w:rPr>
        <w:t>РГ</w:t>
      </w:r>
      <w:proofErr w:type="spellEnd"/>
      <w:r w:rsidRPr="0057735F">
        <w:rPr>
          <w:lang w:val="ru-RU"/>
        </w:rPr>
        <w:t xml:space="preserve"> привело к тому, что несколько Рекомендаций были исключены и заменены более подходящими Отчетами, что в целом привело к более четкому соотношению Рекомендаций и Отчетов, при том что продолжаются исследования, имеющие значение для работы ИК.</w:t>
      </w:r>
    </w:p>
    <w:p w:rsidR="00393878" w:rsidRPr="0057735F" w:rsidRDefault="00393878" w:rsidP="007A41CD">
      <w:pPr>
        <w:pStyle w:val="Heading1"/>
        <w:rPr>
          <w:lang w:val="ru-RU"/>
        </w:rPr>
      </w:pPr>
      <w:r w:rsidRPr="0057735F">
        <w:rPr>
          <w:lang w:val="ru-RU"/>
        </w:rPr>
        <w:t>1</w:t>
      </w:r>
      <w:r w:rsidR="002B38FE" w:rsidRPr="0057735F">
        <w:rPr>
          <w:lang w:val="ru-RU"/>
        </w:rPr>
        <w:t>1</w:t>
      </w:r>
      <w:r w:rsidRPr="0057735F">
        <w:rPr>
          <w:lang w:val="ru-RU"/>
        </w:rPr>
        <w:tab/>
        <w:t>Заключительные замечания</w:t>
      </w:r>
    </w:p>
    <w:p w:rsidR="00393878" w:rsidRPr="0057735F" w:rsidRDefault="00393878" w:rsidP="002B38FE">
      <w:pPr>
        <w:rPr>
          <w:lang w:val="ru-RU"/>
        </w:rPr>
      </w:pPr>
      <w:r w:rsidRPr="0057735F">
        <w:rPr>
          <w:lang w:val="ru-RU"/>
        </w:rPr>
        <w:t xml:space="preserve">Как Председатель </w:t>
      </w:r>
      <w:proofErr w:type="spellStart"/>
      <w:r w:rsidRPr="0057735F">
        <w:rPr>
          <w:lang w:val="ru-RU"/>
        </w:rPr>
        <w:t>ИК7</w:t>
      </w:r>
      <w:proofErr w:type="spellEnd"/>
      <w:r w:rsidRPr="0057735F">
        <w:rPr>
          <w:lang w:val="ru-RU"/>
        </w:rPr>
        <w:t xml:space="preserve"> </w:t>
      </w:r>
      <w:r w:rsidR="002B38FE" w:rsidRPr="0057735F">
        <w:rPr>
          <w:lang w:val="ru-RU"/>
        </w:rPr>
        <w:t xml:space="preserve">я </w:t>
      </w:r>
      <w:r w:rsidRPr="0057735F">
        <w:rPr>
          <w:lang w:val="ru-RU"/>
        </w:rPr>
        <w:t>хотел бы выразить свою искреннюю благодарность председателям рабочих групп, которые руководили исследованиями на протяжении последних четырех лет. Их работа была достойна подражания, и вся ИК выражает им признательность за руководство. Хотел бы также поблагодарить заместителей председателей ИК за их сотрудничество и усердие при решении порученных им задач. Их рекомендации в рамках Руководящей группы в ряде случаев имели неоценимое значение и помогли ИК достичь своих целей.</w:t>
      </w:r>
    </w:p>
    <w:p w:rsidR="00393878" w:rsidRPr="0057735F" w:rsidRDefault="00393878" w:rsidP="00D77973">
      <w:pPr>
        <w:rPr>
          <w:lang w:val="ru-RU"/>
        </w:rPr>
      </w:pPr>
      <w:r w:rsidRPr="0057735F">
        <w:rPr>
          <w:lang w:val="ru-RU"/>
        </w:rPr>
        <w:t>У меня не хватает слов, чтобы выразить свое чувство уважения и восхищения работой персонала Бюро радиосвязи</w:t>
      </w:r>
      <w:r w:rsidR="002B38FE" w:rsidRPr="0057735F">
        <w:rPr>
          <w:lang w:val="ru-RU"/>
        </w:rPr>
        <w:t> –</w:t>
      </w:r>
      <w:r w:rsidRPr="0057735F">
        <w:rPr>
          <w:lang w:val="ru-RU"/>
        </w:rPr>
        <w:t xml:space="preserve"> от Директора и ниже. </w:t>
      </w:r>
      <w:r w:rsidR="002B38FE" w:rsidRPr="0057735F">
        <w:rPr>
          <w:lang w:val="ru-RU"/>
        </w:rPr>
        <w:t>М</w:t>
      </w:r>
      <w:r w:rsidRPr="0057735F">
        <w:rPr>
          <w:lang w:val="ru-RU"/>
        </w:rPr>
        <w:t xml:space="preserve">не посчастливилось работать с </w:t>
      </w:r>
      <w:r w:rsidR="00B54A9E" w:rsidRPr="0057735F">
        <w:rPr>
          <w:lang w:val="ru-RU"/>
        </w:rPr>
        <w:t xml:space="preserve">г-ном Вадимом </w:t>
      </w:r>
      <w:proofErr w:type="spellStart"/>
      <w:r w:rsidR="00B54A9E" w:rsidRPr="0057735F">
        <w:rPr>
          <w:lang w:val="ru-RU"/>
        </w:rPr>
        <w:t>НОЗДРИНЫМ</w:t>
      </w:r>
      <w:proofErr w:type="spellEnd"/>
      <w:r w:rsidR="00B54A9E" w:rsidRPr="0057735F">
        <w:rPr>
          <w:lang w:val="ru-RU"/>
        </w:rPr>
        <w:t xml:space="preserve"> в качестве</w:t>
      </w:r>
      <w:r w:rsidRPr="0057735F">
        <w:rPr>
          <w:lang w:val="ru-RU"/>
        </w:rPr>
        <w:t xml:space="preserve"> Советника. </w:t>
      </w:r>
      <w:r w:rsidR="002B38FE" w:rsidRPr="0057735F">
        <w:rPr>
          <w:lang w:val="ru-RU"/>
        </w:rPr>
        <w:t xml:space="preserve">Работа с ним </w:t>
      </w:r>
      <w:r w:rsidRPr="0057735F">
        <w:rPr>
          <w:lang w:val="ru-RU"/>
        </w:rPr>
        <w:t>доставил</w:t>
      </w:r>
      <w:r w:rsidR="002B38FE" w:rsidRPr="0057735F">
        <w:rPr>
          <w:lang w:val="ru-RU"/>
        </w:rPr>
        <w:t>а</w:t>
      </w:r>
      <w:r w:rsidRPr="0057735F">
        <w:rPr>
          <w:lang w:val="ru-RU"/>
        </w:rPr>
        <w:t xml:space="preserve"> </w:t>
      </w:r>
      <w:r w:rsidR="002B38FE" w:rsidRPr="0057735F">
        <w:rPr>
          <w:lang w:val="ru-RU"/>
        </w:rPr>
        <w:t xml:space="preserve">мне </w:t>
      </w:r>
      <w:r w:rsidRPr="0057735F">
        <w:rPr>
          <w:lang w:val="ru-RU"/>
        </w:rPr>
        <w:t>большое удовольствие.</w:t>
      </w:r>
    </w:p>
    <w:p w:rsidR="00393878" w:rsidRPr="0057735F" w:rsidRDefault="00393878" w:rsidP="00393878">
      <w:pPr>
        <w:rPr>
          <w:lang w:val="ru-RU"/>
        </w:rPr>
      </w:pPr>
      <w:r w:rsidRPr="0057735F">
        <w:rPr>
          <w:lang w:val="ru-RU"/>
        </w:rPr>
        <w:t xml:space="preserve">Я говорю </w:t>
      </w:r>
      <w:r w:rsidR="00B54A9E" w:rsidRPr="0057735F">
        <w:rPr>
          <w:lang w:val="ru-RU"/>
        </w:rPr>
        <w:t>"</w:t>
      </w:r>
      <w:r w:rsidRPr="0057735F">
        <w:rPr>
          <w:lang w:val="ru-RU"/>
        </w:rPr>
        <w:t>большое спасибо</w:t>
      </w:r>
      <w:r w:rsidR="00B54A9E" w:rsidRPr="0057735F">
        <w:rPr>
          <w:lang w:val="ru-RU"/>
        </w:rPr>
        <w:t>"</w:t>
      </w:r>
      <w:r w:rsidRPr="0057735F">
        <w:rPr>
          <w:lang w:val="ru-RU"/>
        </w:rPr>
        <w:t xml:space="preserve"> всем участникам ИК. Мне выпала большая честь и привилегия работать с вами в течение прошедших четырех лет.</w:t>
      </w:r>
    </w:p>
    <w:p w:rsidR="00393878" w:rsidRPr="0057735F" w:rsidRDefault="00393878" w:rsidP="00393878">
      <w:pPr>
        <w:spacing w:before="720"/>
        <w:jc w:val="center"/>
        <w:rPr>
          <w:lang w:val="ru-RU"/>
        </w:rPr>
      </w:pPr>
      <w:r w:rsidRPr="0057735F">
        <w:rPr>
          <w:lang w:val="ru-RU"/>
        </w:rPr>
        <w:t>______________</w:t>
      </w:r>
    </w:p>
    <w:sectPr w:rsidR="00393878" w:rsidRPr="0057735F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D1" w:rsidRDefault="006375D1">
      <w:r>
        <w:separator/>
      </w:r>
    </w:p>
  </w:endnote>
  <w:endnote w:type="continuationSeparator" w:id="0">
    <w:p w:rsidR="006375D1" w:rsidRDefault="0063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D1" w:rsidRPr="00A95CF4" w:rsidRDefault="006375D1">
    <w:pPr>
      <w:rPr>
        <w:lang w:val="en-US"/>
      </w:rPr>
    </w:pPr>
    <w:r>
      <w:fldChar w:fldCharType="begin"/>
    </w:r>
    <w:r w:rsidRPr="00A95CF4">
      <w:rPr>
        <w:lang w:val="en-US"/>
      </w:rPr>
      <w:instrText xml:space="preserve"> FILENAME \p  \* MERGEFORMAT </w:instrText>
    </w:r>
    <w:r>
      <w:fldChar w:fldCharType="separate"/>
    </w:r>
    <w:r w:rsidR="003F7A4B">
      <w:rPr>
        <w:noProof/>
        <w:lang w:val="en-US"/>
      </w:rPr>
      <w:t>P:\RUS\ITU-R\SG-R\SG07\1000\1001R.docx</w:t>
    </w:r>
    <w:r>
      <w:fldChar w:fldCharType="end"/>
    </w:r>
    <w:r w:rsidRPr="00A95CF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735F">
      <w:rPr>
        <w:noProof/>
      </w:rPr>
      <w:t>10.09.15</w:t>
    </w:r>
    <w:r>
      <w:fldChar w:fldCharType="end"/>
    </w:r>
    <w:r w:rsidRPr="00A95CF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7A4B">
      <w:rPr>
        <w:noProof/>
      </w:rPr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D1" w:rsidRPr="00A95CF4" w:rsidRDefault="006375D1" w:rsidP="0058095A">
    <w:pPr>
      <w:pStyle w:val="Footer"/>
      <w:rPr>
        <w:lang w:val="en-US"/>
      </w:rPr>
    </w:pPr>
    <w:r>
      <w:fldChar w:fldCharType="begin"/>
    </w:r>
    <w:r w:rsidRPr="00A95CF4">
      <w:rPr>
        <w:lang w:val="en-US"/>
      </w:rPr>
      <w:instrText xml:space="preserve"> FILENAME \p  \* MERGEFORMAT </w:instrText>
    </w:r>
    <w:r>
      <w:fldChar w:fldCharType="separate"/>
    </w:r>
    <w:r w:rsidR="003F7A4B">
      <w:rPr>
        <w:lang w:val="en-US"/>
      </w:rPr>
      <w:t>P:\RUS\ITU-R\SG-R\SG07\1000\1001R.docx</w:t>
    </w:r>
    <w:r>
      <w:fldChar w:fldCharType="end"/>
    </w:r>
    <w:r>
      <w:t xml:space="preserve"> (</w:t>
    </w:r>
    <w:r w:rsidRPr="00A95CF4">
      <w:rPr>
        <w:lang w:val="en-US"/>
      </w:rPr>
      <w:t>383155</w:t>
    </w:r>
    <w:r>
      <w:t>)</w:t>
    </w:r>
    <w:r w:rsidRPr="00A95CF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735F">
      <w:t>10.09.15</w:t>
    </w:r>
    <w:r>
      <w:fldChar w:fldCharType="end"/>
    </w:r>
    <w:r w:rsidRPr="00A95CF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7A4B">
      <w:t>10.09.15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D1" w:rsidRPr="00EE146A" w:rsidRDefault="006375D1" w:rsidP="00D77973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3F7A4B">
      <w:rPr>
        <w:lang w:val="fr-FR"/>
      </w:rPr>
      <w:t>P:\RUS\ITU-R\SG-R\SG07\1000\1001R.docx</w:t>
    </w:r>
    <w:r>
      <w:fldChar w:fldCharType="end"/>
    </w:r>
    <w:r>
      <w:t xml:space="preserve"> (</w:t>
    </w:r>
    <w:r w:rsidR="00D77973">
      <w:t>383155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735F">
      <w:t>10.09.15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F7A4B">
      <w:t>10.09.15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D1" w:rsidRDefault="006375D1">
      <w:r>
        <w:rPr>
          <w:b/>
        </w:rPr>
        <w:t>_______________</w:t>
      </w:r>
    </w:p>
  </w:footnote>
  <w:footnote w:type="continuationSeparator" w:id="0">
    <w:p w:rsidR="006375D1" w:rsidRDefault="0063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D1" w:rsidRDefault="006375D1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7735F">
      <w:rPr>
        <w:noProof/>
        <w:lang w:val="en-US"/>
      </w:rPr>
      <w:t>6</w:t>
    </w:r>
    <w:r>
      <w:rPr>
        <w:lang w:val="en-US"/>
      </w:rPr>
      <w:fldChar w:fldCharType="end"/>
    </w:r>
  </w:p>
  <w:p w:rsidR="006375D1" w:rsidRPr="009447A3" w:rsidRDefault="006375D1" w:rsidP="0058095A">
    <w:pPr>
      <w:pStyle w:val="Header"/>
      <w:rPr>
        <w:lang w:val="en-US"/>
      </w:rPr>
    </w:pPr>
    <w:r>
      <w:rPr>
        <w:lang w:val="ru-RU"/>
      </w:rPr>
      <w:t>7</w:t>
    </w:r>
    <w:r>
      <w:rPr>
        <w:lang w:val="en-US"/>
      </w:rPr>
      <w:t>/</w:t>
    </w:r>
    <w:r>
      <w:rPr>
        <w:lang w:val="ru-RU"/>
      </w:rPr>
      <w:t>1001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68EF6E11"/>
    <w:multiLevelType w:val="hybridMultilevel"/>
    <w:tmpl w:val="B7B2A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16569"/>
    <w:rsid w:val="000433D1"/>
    <w:rsid w:val="0007259F"/>
    <w:rsid w:val="000F08CF"/>
    <w:rsid w:val="00103B11"/>
    <w:rsid w:val="001355A1"/>
    <w:rsid w:val="00150CF5"/>
    <w:rsid w:val="001748E7"/>
    <w:rsid w:val="00185517"/>
    <w:rsid w:val="00197420"/>
    <w:rsid w:val="001B225D"/>
    <w:rsid w:val="001C5863"/>
    <w:rsid w:val="00213F8F"/>
    <w:rsid w:val="002170CB"/>
    <w:rsid w:val="00237057"/>
    <w:rsid w:val="002564D5"/>
    <w:rsid w:val="002B38FE"/>
    <w:rsid w:val="002C58D3"/>
    <w:rsid w:val="002D20C3"/>
    <w:rsid w:val="00334CE8"/>
    <w:rsid w:val="003426A9"/>
    <w:rsid w:val="00393878"/>
    <w:rsid w:val="003D2977"/>
    <w:rsid w:val="003E26B6"/>
    <w:rsid w:val="003F7A4B"/>
    <w:rsid w:val="00432094"/>
    <w:rsid w:val="00444993"/>
    <w:rsid w:val="004736F8"/>
    <w:rsid w:val="004844C1"/>
    <w:rsid w:val="004A639C"/>
    <w:rsid w:val="004B16C4"/>
    <w:rsid w:val="004C5D23"/>
    <w:rsid w:val="004F164F"/>
    <w:rsid w:val="00531C91"/>
    <w:rsid w:val="00541AC7"/>
    <w:rsid w:val="00556C7A"/>
    <w:rsid w:val="0057735F"/>
    <w:rsid w:val="0058095A"/>
    <w:rsid w:val="005950A9"/>
    <w:rsid w:val="005A7402"/>
    <w:rsid w:val="005B3BC4"/>
    <w:rsid w:val="005D5AC0"/>
    <w:rsid w:val="005E78C0"/>
    <w:rsid w:val="00625D3A"/>
    <w:rsid w:val="006375D1"/>
    <w:rsid w:val="00645B0F"/>
    <w:rsid w:val="006923E8"/>
    <w:rsid w:val="006C7DF0"/>
    <w:rsid w:val="006E21F1"/>
    <w:rsid w:val="00700190"/>
    <w:rsid w:val="00703FFC"/>
    <w:rsid w:val="0071246B"/>
    <w:rsid w:val="00713989"/>
    <w:rsid w:val="00756B1C"/>
    <w:rsid w:val="0077496A"/>
    <w:rsid w:val="007A41CD"/>
    <w:rsid w:val="007D1C8C"/>
    <w:rsid w:val="007F2416"/>
    <w:rsid w:val="00831F63"/>
    <w:rsid w:val="00835015"/>
    <w:rsid w:val="00845350"/>
    <w:rsid w:val="00853F66"/>
    <w:rsid w:val="008775DD"/>
    <w:rsid w:val="008B1239"/>
    <w:rsid w:val="008B544E"/>
    <w:rsid w:val="008D6235"/>
    <w:rsid w:val="008F4815"/>
    <w:rsid w:val="00930E2A"/>
    <w:rsid w:val="009427AB"/>
    <w:rsid w:val="00943EBD"/>
    <w:rsid w:val="009447A3"/>
    <w:rsid w:val="009771D6"/>
    <w:rsid w:val="009A3B0F"/>
    <w:rsid w:val="009E522C"/>
    <w:rsid w:val="00A05CE9"/>
    <w:rsid w:val="00A4637C"/>
    <w:rsid w:val="00A85931"/>
    <w:rsid w:val="00A95CF4"/>
    <w:rsid w:val="00AD4505"/>
    <w:rsid w:val="00AD66BD"/>
    <w:rsid w:val="00AF37E3"/>
    <w:rsid w:val="00B07E26"/>
    <w:rsid w:val="00B54A9E"/>
    <w:rsid w:val="00B56775"/>
    <w:rsid w:val="00B606DD"/>
    <w:rsid w:val="00B6748C"/>
    <w:rsid w:val="00BE5003"/>
    <w:rsid w:val="00C52226"/>
    <w:rsid w:val="00C539EE"/>
    <w:rsid w:val="00CB4574"/>
    <w:rsid w:val="00D21554"/>
    <w:rsid w:val="00D35A92"/>
    <w:rsid w:val="00D35AF0"/>
    <w:rsid w:val="00D433D1"/>
    <w:rsid w:val="00D471A9"/>
    <w:rsid w:val="00D77973"/>
    <w:rsid w:val="00DB5223"/>
    <w:rsid w:val="00DD7119"/>
    <w:rsid w:val="00E05242"/>
    <w:rsid w:val="00E14DA5"/>
    <w:rsid w:val="00EA045F"/>
    <w:rsid w:val="00EE146A"/>
    <w:rsid w:val="00EE7B72"/>
    <w:rsid w:val="00F36624"/>
    <w:rsid w:val="00F451F5"/>
    <w:rsid w:val="00F52FFE"/>
    <w:rsid w:val="00F75B61"/>
    <w:rsid w:val="00F80DF5"/>
    <w:rsid w:val="00F9578C"/>
    <w:rsid w:val="00FB4E64"/>
    <w:rsid w:val="00F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SourceChar">
    <w:name w:val="Source Char"/>
    <w:basedOn w:val="DefaultParagraphFont"/>
    <w:link w:val="Source"/>
    <w:locked/>
    <w:rsid w:val="0058095A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58095A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58095A"/>
    <w:rPr>
      <w:rFonts w:ascii="Times New Roman" w:eastAsia="Times New Roman" w:hAnsi="Times New Roman"/>
      <w:b/>
      <w:sz w:val="26"/>
      <w:lang w:val="en-GB" w:eastAsia="en-US"/>
    </w:rPr>
  </w:style>
  <w:style w:type="character" w:styleId="Hyperlink">
    <w:name w:val="Hyperlink"/>
    <w:rsid w:val="0058095A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8B544E"/>
    <w:rPr>
      <w:rFonts w:ascii="Times New Roman" w:eastAsia="Times New Roman" w:hAnsi="Times New Roman"/>
      <w:sz w:val="1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DB5223"/>
    <w:rPr>
      <w:rFonts w:ascii="Times New Roman" w:eastAsia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2D20C3"/>
    <w:rPr>
      <w:rFonts w:ascii="Times New Roman" w:eastAsia="Times New Roman" w:hAnsi="Times New Roman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433D1"/>
    <w:pPr>
      <w:ind w:left="720"/>
      <w:contextualSpacing/>
    </w:pPr>
    <w:rPr>
      <w:sz w:val="24"/>
    </w:rPr>
  </w:style>
  <w:style w:type="character" w:customStyle="1" w:styleId="Heading2Char">
    <w:name w:val="Heading 2 Char"/>
    <w:basedOn w:val="DefaultParagraphFont"/>
    <w:link w:val="Heading2"/>
    <w:locked/>
    <w:rsid w:val="00393878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393878"/>
    <w:rPr>
      <w:rFonts w:ascii="Times New Roman" w:eastAsia="Times New Roman" w:hAnsi="Times New Roman"/>
      <w:sz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21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7-C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7-RP-1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REP-SA.2276-2013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90</TotalTime>
  <Pages>6</Pages>
  <Words>2330</Words>
  <Characters>15173</Characters>
  <Application>Microsoft Office Word</Application>
  <DocSecurity>0</DocSecurity>
  <Lines>1379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16743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6</cp:revision>
  <cp:lastPrinted>2015-09-10T11:21:00Z</cp:lastPrinted>
  <dcterms:created xsi:type="dcterms:W3CDTF">2015-09-09T14:08:00Z</dcterms:created>
  <dcterms:modified xsi:type="dcterms:W3CDTF">2015-09-10T14:25:00Z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