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4E461E">
        <w:trPr>
          <w:cantSplit/>
        </w:trPr>
        <w:tc>
          <w:tcPr>
            <w:tcW w:w="6345" w:type="dxa"/>
          </w:tcPr>
          <w:p w:rsidR="004E461E" w:rsidRPr="00C63EB5" w:rsidRDefault="004E461E"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4E461E" w:rsidRDefault="004E461E" w:rsidP="005335D1">
            <w:pPr>
              <w:spacing w:line="240" w:lineRule="atLeast"/>
              <w:jc w:val="right"/>
            </w:pPr>
            <w:bookmarkStart w:id="1" w:name="ditulogo"/>
            <w:bookmarkEnd w:id="1"/>
            <w:r>
              <w:rPr>
                <w:noProof/>
                <w:lang w:val="en-GB"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E461E" w:rsidRPr="00617BE4">
        <w:trPr>
          <w:cantSplit/>
        </w:trPr>
        <w:tc>
          <w:tcPr>
            <w:tcW w:w="6345" w:type="dxa"/>
            <w:tcBorders>
              <w:bottom w:val="single" w:sz="12" w:space="0" w:color="auto"/>
            </w:tcBorders>
          </w:tcPr>
          <w:p w:rsidR="004E461E" w:rsidRPr="00617BE4" w:rsidRDefault="004E461E" w:rsidP="004E461E">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4E461E" w:rsidRPr="00617BE4" w:rsidRDefault="004E461E" w:rsidP="004E461E">
            <w:pPr>
              <w:spacing w:before="0" w:line="240" w:lineRule="atLeast"/>
              <w:rPr>
                <w:rFonts w:ascii="Verdana" w:hAnsi="Verdana"/>
                <w:szCs w:val="24"/>
              </w:rPr>
            </w:pPr>
          </w:p>
        </w:tc>
      </w:tr>
      <w:tr w:rsidR="004E461E" w:rsidRPr="00C324A8">
        <w:trPr>
          <w:cantSplit/>
        </w:trPr>
        <w:tc>
          <w:tcPr>
            <w:tcW w:w="6345" w:type="dxa"/>
            <w:tcBorders>
              <w:top w:val="single" w:sz="12" w:space="0" w:color="auto"/>
            </w:tcBorders>
          </w:tcPr>
          <w:p w:rsidR="004E461E" w:rsidRPr="00C324A8" w:rsidRDefault="004E461E" w:rsidP="004E461E">
            <w:pPr>
              <w:spacing w:before="0" w:after="48" w:line="240" w:lineRule="atLeast"/>
              <w:rPr>
                <w:rFonts w:ascii="Verdana" w:hAnsi="Verdana"/>
                <w:b/>
                <w:smallCaps/>
                <w:sz w:val="20"/>
              </w:rPr>
            </w:pPr>
          </w:p>
        </w:tc>
        <w:tc>
          <w:tcPr>
            <w:tcW w:w="3686" w:type="dxa"/>
            <w:tcBorders>
              <w:top w:val="single" w:sz="12" w:space="0" w:color="auto"/>
            </w:tcBorders>
          </w:tcPr>
          <w:p w:rsidR="004E461E" w:rsidRPr="00C324A8" w:rsidRDefault="004E461E" w:rsidP="004E461E">
            <w:pPr>
              <w:spacing w:before="0" w:line="240" w:lineRule="atLeast"/>
              <w:rPr>
                <w:rFonts w:ascii="Verdana" w:hAnsi="Verdana"/>
                <w:sz w:val="20"/>
              </w:rPr>
            </w:pPr>
          </w:p>
        </w:tc>
      </w:tr>
      <w:tr w:rsidR="004E461E" w:rsidRPr="00C324A8">
        <w:trPr>
          <w:cantSplit/>
          <w:trHeight w:val="23"/>
        </w:trPr>
        <w:tc>
          <w:tcPr>
            <w:tcW w:w="6345" w:type="dxa"/>
            <w:vMerge w:val="restart"/>
          </w:tcPr>
          <w:p w:rsidR="004E461E" w:rsidRPr="004E461E" w:rsidRDefault="004E461E" w:rsidP="004E461E">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3686" w:type="dxa"/>
          </w:tcPr>
          <w:p w:rsidR="004E461E" w:rsidRPr="004E461E" w:rsidRDefault="004E461E" w:rsidP="000D1CE2">
            <w:pPr>
              <w:tabs>
                <w:tab w:val="left" w:pos="851"/>
              </w:tabs>
              <w:spacing w:before="0" w:line="240" w:lineRule="atLeast"/>
              <w:rPr>
                <w:rFonts w:ascii="Verdana" w:hAnsi="Verdana"/>
                <w:sz w:val="20"/>
              </w:rPr>
            </w:pPr>
            <w:r>
              <w:rPr>
                <w:rFonts w:ascii="Verdana" w:hAnsi="Verdana"/>
                <w:b/>
                <w:sz w:val="20"/>
              </w:rPr>
              <w:t xml:space="preserve">Documento </w:t>
            </w:r>
            <w:r w:rsidR="000D1CE2">
              <w:rPr>
                <w:rFonts w:ascii="Verdana" w:hAnsi="Verdana"/>
                <w:b/>
                <w:sz w:val="20"/>
              </w:rPr>
              <w:t>5</w:t>
            </w:r>
            <w:r>
              <w:rPr>
                <w:rFonts w:ascii="Verdana" w:hAnsi="Verdana"/>
                <w:b/>
                <w:sz w:val="20"/>
              </w:rPr>
              <w:t>/</w:t>
            </w:r>
            <w:r w:rsidR="000D1CE2">
              <w:rPr>
                <w:rFonts w:ascii="Verdana" w:hAnsi="Verdana"/>
                <w:b/>
                <w:sz w:val="20"/>
              </w:rPr>
              <w:t>1001</w:t>
            </w:r>
            <w:r>
              <w:rPr>
                <w:rFonts w:ascii="Verdana" w:hAnsi="Verdana"/>
                <w:b/>
                <w:sz w:val="20"/>
              </w:rPr>
              <w:t>-S</w:t>
            </w:r>
          </w:p>
        </w:tc>
      </w:tr>
      <w:tr w:rsidR="004E461E" w:rsidRPr="00C324A8">
        <w:trPr>
          <w:cantSplit/>
          <w:trHeight w:val="23"/>
        </w:trPr>
        <w:tc>
          <w:tcPr>
            <w:tcW w:w="6345" w:type="dxa"/>
            <w:vMerge/>
          </w:tcPr>
          <w:p w:rsidR="004E461E" w:rsidRPr="00C324A8" w:rsidRDefault="004E461E">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4E461E" w:rsidRPr="004E461E" w:rsidRDefault="004E461E" w:rsidP="00750E69">
            <w:pPr>
              <w:tabs>
                <w:tab w:val="left" w:pos="993"/>
              </w:tabs>
              <w:spacing w:before="0"/>
              <w:rPr>
                <w:rFonts w:ascii="Verdana" w:hAnsi="Verdana"/>
                <w:sz w:val="20"/>
              </w:rPr>
            </w:pPr>
            <w:r>
              <w:rPr>
                <w:rFonts w:ascii="Verdana" w:hAnsi="Verdana"/>
                <w:b/>
                <w:sz w:val="20"/>
              </w:rPr>
              <w:t>1</w:t>
            </w:r>
            <w:r w:rsidR="00750E69">
              <w:rPr>
                <w:rFonts w:ascii="Verdana" w:hAnsi="Verdana"/>
                <w:b/>
                <w:sz w:val="20"/>
              </w:rPr>
              <w:t>6</w:t>
            </w:r>
            <w:r>
              <w:rPr>
                <w:rFonts w:ascii="Verdana" w:hAnsi="Verdana"/>
                <w:b/>
                <w:sz w:val="20"/>
              </w:rPr>
              <w:t xml:space="preserve"> de </w:t>
            </w:r>
            <w:r w:rsidR="00750E69">
              <w:rPr>
                <w:rFonts w:ascii="Verdana" w:hAnsi="Verdana"/>
                <w:b/>
                <w:sz w:val="20"/>
              </w:rPr>
              <w:t xml:space="preserve">septiembre </w:t>
            </w:r>
            <w:r>
              <w:rPr>
                <w:rFonts w:ascii="Verdana" w:hAnsi="Verdana"/>
                <w:b/>
                <w:sz w:val="20"/>
              </w:rPr>
              <w:t>de 2015</w:t>
            </w:r>
          </w:p>
        </w:tc>
      </w:tr>
      <w:tr w:rsidR="004E461E" w:rsidRPr="00C324A8">
        <w:trPr>
          <w:cantSplit/>
          <w:trHeight w:val="23"/>
        </w:trPr>
        <w:tc>
          <w:tcPr>
            <w:tcW w:w="6345" w:type="dxa"/>
            <w:vMerge/>
          </w:tcPr>
          <w:p w:rsidR="004E461E" w:rsidRPr="00C324A8" w:rsidRDefault="004E461E">
            <w:pPr>
              <w:tabs>
                <w:tab w:val="left" w:pos="851"/>
              </w:tabs>
              <w:spacing w:line="240" w:lineRule="atLeast"/>
              <w:rPr>
                <w:rFonts w:ascii="Verdana" w:hAnsi="Verdana"/>
                <w:b/>
                <w:sz w:val="20"/>
              </w:rPr>
            </w:pPr>
            <w:bookmarkStart w:id="6" w:name="dorlang" w:colFirst="1" w:colLast="1"/>
            <w:bookmarkEnd w:id="5"/>
          </w:p>
        </w:tc>
        <w:tc>
          <w:tcPr>
            <w:tcW w:w="3686" w:type="dxa"/>
          </w:tcPr>
          <w:p w:rsidR="004E461E" w:rsidRPr="004E461E" w:rsidRDefault="004E461E" w:rsidP="004E461E">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C00643">
        <w:trPr>
          <w:cantSplit/>
        </w:trPr>
        <w:tc>
          <w:tcPr>
            <w:tcW w:w="10031" w:type="dxa"/>
          </w:tcPr>
          <w:p w:rsidR="00C00643" w:rsidRPr="00F9410F" w:rsidRDefault="00C00643" w:rsidP="00750E69">
            <w:pPr>
              <w:pStyle w:val="Source"/>
              <w:rPr>
                <w:lang w:val="es-ES"/>
              </w:rPr>
            </w:pPr>
            <w:bookmarkStart w:id="7" w:name="dsource" w:colFirst="0" w:colLast="0"/>
            <w:bookmarkEnd w:id="0"/>
            <w:bookmarkEnd w:id="6"/>
            <w:r w:rsidRPr="00F9410F">
              <w:rPr>
                <w:lang w:val="es-ES"/>
              </w:rPr>
              <w:t>Presidente de la Comisión de Estudio 5</w:t>
            </w:r>
          </w:p>
        </w:tc>
      </w:tr>
      <w:tr w:rsidR="00C00643">
        <w:trPr>
          <w:cantSplit/>
        </w:trPr>
        <w:tc>
          <w:tcPr>
            <w:tcW w:w="10031" w:type="dxa"/>
          </w:tcPr>
          <w:p w:rsidR="00C00643" w:rsidRPr="00F9410F" w:rsidRDefault="00C00643" w:rsidP="00C00643">
            <w:pPr>
              <w:pStyle w:val="Title1"/>
              <w:rPr>
                <w:lang w:val="es-ES"/>
              </w:rPr>
            </w:pPr>
            <w:bookmarkStart w:id="8" w:name="dtitle1" w:colFirst="0" w:colLast="0"/>
            <w:bookmarkEnd w:id="7"/>
            <w:r w:rsidRPr="00F9410F">
              <w:rPr>
                <w:lang w:val="es-ES"/>
              </w:rPr>
              <w:t>INFORME SOBRE LAS ACTIVIDADES DE LA COMISIÓN DE ESTUDIO 5</w:t>
            </w:r>
          </w:p>
        </w:tc>
      </w:tr>
      <w:tr w:rsidR="004E461E">
        <w:trPr>
          <w:cantSplit/>
        </w:trPr>
        <w:tc>
          <w:tcPr>
            <w:tcW w:w="10031" w:type="dxa"/>
          </w:tcPr>
          <w:p w:rsidR="004E461E" w:rsidRDefault="004E461E">
            <w:pPr>
              <w:pStyle w:val="Title2"/>
            </w:pPr>
            <w:bookmarkStart w:id="9" w:name="dtitle2" w:colFirst="0" w:colLast="0"/>
            <w:bookmarkEnd w:id="8"/>
          </w:p>
        </w:tc>
      </w:tr>
    </w:tbl>
    <w:bookmarkEnd w:id="9"/>
    <w:p w:rsidR="00C00643" w:rsidRPr="00F9410F" w:rsidRDefault="00C00643" w:rsidP="00C00643">
      <w:pPr>
        <w:pStyle w:val="Heading1"/>
        <w:rPr>
          <w:lang w:val="es-ES"/>
        </w:rPr>
      </w:pPr>
      <w:r w:rsidRPr="00F9410F">
        <w:rPr>
          <w:lang w:val="es-ES"/>
        </w:rPr>
        <w:t>1</w:t>
      </w:r>
      <w:r w:rsidRPr="00F9410F">
        <w:rPr>
          <w:lang w:val="es-ES"/>
        </w:rPr>
        <w:tab/>
        <w:t>Introducción</w:t>
      </w:r>
    </w:p>
    <w:p w:rsidR="00C00643" w:rsidRPr="00F9410F" w:rsidRDefault="00C00643" w:rsidP="00FE0686">
      <w:pPr>
        <w:rPr>
          <w:lang w:val="es-ES"/>
        </w:rPr>
      </w:pPr>
      <w:r w:rsidRPr="00F9410F">
        <w:rPr>
          <w:lang w:val="es-ES" w:eastAsia="ja-JP"/>
        </w:rPr>
        <w:t>Durante el presente per</w:t>
      </w:r>
      <w:r w:rsidR="008E40F6">
        <w:rPr>
          <w:lang w:val="es-ES" w:eastAsia="ja-JP"/>
        </w:rPr>
        <w:t>i</w:t>
      </w:r>
      <w:r w:rsidRPr="00F9410F">
        <w:rPr>
          <w:lang w:val="es-ES" w:eastAsia="ja-JP"/>
        </w:rPr>
        <w:t xml:space="preserve">odo de estudios, posterior a la Asamblea de Radiocomunicaciones de </w:t>
      </w:r>
      <w:r w:rsidRPr="00F9410F">
        <w:rPr>
          <w:lang w:val="es-ES"/>
        </w:rPr>
        <w:t>20</w:t>
      </w:r>
      <w:r w:rsidRPr="00F9410F">
        <w:rPr>
          <w:lang w:val="es-ES" w:eastAsia="ja-JP"/>
        </w:rPr>
        <w:t xml:space="preserve">12 (AR-12), la Comisión de Estudio </w:t>
      </w:r>
      <w:r w:rsidRPr="00F9410F">
        <w:rPr>
          <w:lang w:val="es-ES"/>
        </w:rPr>
        <w:t xml:space="preserve">5 </w:t>
      </w:r>
      <w:r w:rsidRPr="00F9410F">
        <w:rPr>
          <w:lang w:val="es-ES" w:eastAsia="ja-JP"/>
        </w:rPr>
        <w:t xml:space="preserve">para </w:t>
      </w:r>
      <w:r w:rsidR="00FE0686">
        <w:rPr>
          <w:lang w:val="es-ES" w:eastAsia="ja-JP"/>
        </w:rPr>
        <w:t>«</w:t>
      </w:r>
      <w:r w:rsidRPr="00F9410F">
        <w:rPr>
          <w:lang w:val="es-ES"/>
        </w:rPr>
        <w:t>Servicios terrenales</w:t>
      </w:r>
      <w:r w:rsidR="00FE0686">
        <w:rPr>
          <w:lang w:val="es-ES"/>
        </w:rPr>
        <w:t>»</w:t>
      </w:r>
      <w:r w:rsidRPr="00F9410F">
        <w:rPr>
          <w:lang w:val="es-ES"/>
        </w:rPr>
        <w:t xml:space="preserve"> ha trabajado de acuerdo con la estructura siguiente</w:t>
      </w:r>
      <w:r w:rsidRPr="00F9410F">
        <w:rPr>
          <w:lang w:val="es-ES" w:eastAsia="ja-JP"/>
        </w:rPr>
        <w:t>:</w:t>
      </w:r>
      <w:r w:rsidRPr="00F9410F">
        <w:rPr>
          <w:lang w:val="es-ES"/>
        </w:rPr>
        <w:t xml:space="preserve"> </w:t>
      </w:r>
    </w:p>
    <w:p w:rsidR="00C00643" w:rsidRPr="00F9410F" w:rsidRDefault="00C00643" w:rsidP="00C00643">
      <w:pPr>
        <w:pStyle w:val="enumlev1"/>
        <w:rPr>
          <w:lang w:val="es-ES"/>
        </w:rPr>
      </w:pPr>
      <w:r w:rsidRPr="00F9410F">
        <w:rPr>
          <w:lang w:val="es-ES"/>
        </w:rPr>
        <w:t>−</w:t>
      </w:r>
      <w:r w:rsidRPr="00F9410F">
        <w:rPr>
          <w:lang w:val="es-ES"/>
        </w:rPr>
        <w:tab/>
        <w:t>Grupo de Trabajo 5A: Servicio móvil terrestre por encima de 30 </w:t>
      </w:r>
      <w:r w:rsidRPr="00F9410F">
        <w:rPr>
          <w:lang w:val="es-ES" w:eastAsia="ja-JP"/>
        </w:rPr>
        <w:t>MHz</w:t>
      </w:r>
      <w:r w:rsidRPr="00F9410F">
        <w:rPr>
          <w:rStyle w:val="FootnoteReference"/>
          <w:lang w:val="es-ES"/>
        </w:rPr>
        <w:t>(*)</w:t>
      </w:r>
      <w:r w:rsidRPr="00F9410F">
        <w:rPr>
          <w:lang w:val="es-ES"/>
        </w:rPr>
        <w:t xml:space="preserve"> </w:t>
      </w:r>
      <w:r w:rsidRPr="00F9410F">
        <w:rPr>
          <w:lang w:val="es-ES" w:eastAsia="ja-JP"/>
        </w:rPr>
        <w:t>(</w:t>
      </w:r>
      <w:r w:rsidRPr="00F9410F">
        <w:rPr>
          <w:lang w:val="es-ES"/>
        </w:rPr>
        <w:t>salvo las IMT), acceso inalámbrico en el servicio fijo y servicios de aficionados y de aficionados por satélite.</w:t>
      </w:r>
    </w:p>
    <w:p w:rsidR="00C00643" w:rsidRPr="00F9410F" w:rsidRDefault="00C00643" w:rsidP="00C00643">
      <w:pPr>
        <w:pStyle w:val="enumlev1"/>
        <w:rPr>
          <w:lang w:val="es-ES"/>
        </w:rPr>
      </w:pPr>
      <w:r w:rsidRPr="00F9410F">
        <w:rPr>
          <w:lang w:val="es-ES"/>
        </w:rPr>
        <w:t>−</w:t>
      </w:r>
      <w:r w:rsidRPr="00F9410F">
        <w:rPr>
          <w:lang w:val="es-ES"/>
        </w:rPr>
        <w:tab/>
        <w:t>Grupo de Trabajo 5B: Servicio móvil marítimo, incluido el Sistema Mundial de Socorro y Seguridad Marítimos (SMSSM), el servicio móvil aeronáutico y el</w:t>
      </w:r>
      <w:r w:rsidR="00FE0686">
        <w:rPr>
          <w:lang w:val="es-ES"/>
        </w:rPr>
        <w:t xml:space="preserve"> servicio de radiodeterminación.</w:t>
      </w:r>
    </w:p>
    <w:p w:rsidR="00C00643" w:rsidRPr="00F9410F" w:rsidRDefault="00C00643" w:rsidP="00C00643">
      <w:pPr>
        <w:pStyle w:val="enumlev1"/>
        <w:rPr>
          <w:lang w:val="es-ES"/>
        </w:rPr>
      </w:pPr>
      <w:r w:rsidRPr="00F9410F">
        <w:rPr>
          <w:lang w:val="es-ES"/>
        </w:rPr>
        <w:t>−</w:t>
      </w:r>
      <w:r w:rsidRPr="00F9410F">
        <w:rPr>
          <w:lang w:val="es-ES"/>
        </w:rPr>
        <w:tab/>
        <w:t>Grupo de Trabajo 5C: Sistemas fijos inalámbricos, sistemas por ondas decamétricas y otros sistemas por debajo de 30 MHz en los servi</w:t>
      </w:r>
      <w:r w:rsidR="00FE0686">
        <w:rPr>
          <w:lang w:val="es-ES"/>
        </w:rPr>
        <w:t>cios fijo y móvil terrestre.</w:t>
      </w:r>
    </w:p>
    <w:p w:rsidR="00C00643" w:rsidRPr="00F9410F" w:rsidRDefault="00C00643" w:rsidP="00C00643">
      <w:pPr>
        <w:pStyle w:val="enumlev1"/>
        <w:rPr>
          <w:lang w:val="es-ES" w:eastAsia="ja-JP"/>
        </w:rPr>
      </w:pPr>
      <w:r w:rsidRPr="00F9410F">
        <w:rPr>
          <w:lang w:val="es-ES"/>
        </w:rPr>
        <w:t>−</w:t>
      </w:r>
      <w:r w:rsidRPr="00F9410F">
        <w:rPr>
          <w:lang w:val="es-ES"/>
        </w:rPr>
        <w:tab/>
        <w:t>Grupo de Trabajo 5D: Sistemas IMT.</w:t>
      </w:r>
    </w:p>
    <w:p w:rsidR="00C00643" w:rsidRPr="00FE0686" w:rsidRDefault="00C00643" w:rsidP="00C00643">
      <w:pPr>
        <w:pStyle w:val="enumlev1"/>
        <w:rPr>
          <w:rFonts w:eastAsia="MS PGothic"/>
          <w:sz w:val="20"/>
          <w:lang w:val="es-ES" w:eastAsia="ja-JP"/>
        </w:rPr>
      </w:pPr>
      <w:r w:rsidRPr="00F9410F">
        <w:rPr>
          <w:vertAlign w:val="superscript"/>
          <w:lang w:val="es-ES" w:eastAsia="ja-JP"/>
        </w:rPr>
        <w:tab/>
      </w:r>
      <w:r w:rsidRPr="00FE0686">
        <w:rPr>
          <w:rStyle w:val="FootnoteReference"/>
          <w:sz w:val="20"/>
          <w:lang w:val="es-ES"/>
        </w:rPr>
        <w:t>(*)</w:t>
      </w:r>
      <w:r w:rsidR="00FE0686">
        <w:rPr>
          <w:sz w:val="21"/>
          <w:szCs w:val="21"/>
          <w:lang w:val="es-ES"/>
        </w:rPr>
        <w:tab/>
      </w:r>
      <w:r w:rsidRPr="00FE0686">
        <w:rPr>
          <w:sz w:val="20"/>
          <w:lang w:val="es-ES"/>
        </w:rPr>
        <w:t xml:space="preserve">Incluida la frecuencia exacta de </w:t>
      </w:r>
      <w:r w:rsidRPr="00FE0686">
        <w:rPr>
          <w:rFonts w:eastAsia="MS PGothic"/>
          <w:sz w:val="20"/>
          <w:lang w:val="es-ES" w:eastAsia="ja-JP"/>
        </w:rPr>
        <w:t>30 MHz.</w:t>
      </w:r>
    </w:p>
    <w:p w:rsidR="00C00643" w:rsidRPr="00F9410F" w:rsidRDefault="00C00643" w:rsidP="00C00643">
      <w:pPr>
        <w:rPr>
          <w:lang w:val="es-ES" w:eastAsia="ja-JP"/>
        </w:rPr>
      </w:pPr>
      <w:r w:rsidRPr="00F9410F">
        <w:rPr>
          <w:lang w:val="es-ES"/>
        </w:rPr>
        <w:t>Además de los Grupos de Trabajo anteriormente mencionados, la celebración de la RPC15</w:t>
      </w:r>
      <w:r w:rsidRPr="00F9410F">
        <w:rPr>
          <w:lang w:val="es-ES" w:eastAsia="ja-JP"/>
        </w:rPr>
        <w:t xml:space="preserve">-1 </w:t>
      </w:r>
      <w:r w:rsidRPr="00F9410F">
        <w:rPr>
          <w:lang w:val="es-ES"/>
        </w:rPr>
        <w:t>dio lugar al establecimiento del Grupo Mixto de Tareas Especiales </w:t>
      </w:r>
      <w:r w:rsidRPr="00F9410F">
        <w:rPr>
          <w:lang w:val="es-ES" w:eastAsia="ja-JP"/>
        </w:rPr>
        <w:t xml:space="preserve"> 4-5-6-7 entre las cuatro Comisiones de Estudio, 4, 5, 6 y 7 a</w:t>
      </w:r>
      <w:r w:rsidRPr="00F9410F">
        <w:rPr>
          <w:lang w:val="es-ES"/>
        </w:rPr>
        <w:t xml:space="preserve"> fin de abordar los estudios de compartición entre el servicio móvil  </w:t>
      </w:r>
      <w:r w:rsidRPr="00F9410F">
        <w:rPr>
          <w:lang w:val="es-ES" w:eastAsia="ja-JP"/>
        </w:rPr>
        <w:t xml:space="preserve">(sistemas IMT) </w:t>
      </w:r>
      <w:r w:rsidRPr="00F9410F">
        <w:rPr>
          <w:lang w:val="es-ES"/>
        </w:rPr>
        <w:t>y otros servicios con arreglo a los puntos 1.1 y 1.2 del orden del día de la CMR-15</w:t>
      </w:r>
      <w:r w:rsidRPr="00F9410F">
        <w:rPr>
          <w:lang w:val="es-ES" w:eastAsia="ja-JP"/>
        </w:rPr>
        <w:t>.</w:t>
      </w:r>
    </w:p>
    <w:p w:rsidR="00C00643" w:rsidRPr="00F9410F" w:rsidRDefault="00C00643" w:rsidP="00C00643">
      <w:pPr>
        <w:rPr>
          <w:lang w:val="es-ES" w:eastAsia="ja-JP"/>
        </w:rPr>
      </w:pPr>
      <w:r w:rsidRPr="00F9410F">
        <w:rPr>
          <w:lang w:val="es-ES" w:eastAsia="ja-JP"/>
        </w:rPr>
        <w:t>En el Cuadro A1-1 del Anexo 1 se detalla la estructura completa y la presidencia de la Comisión de Estudio 5.</w:t>
      </w:r>
    </w:p>
    <w:p w:rsidR="00C00643" w:rsidRPr="00F9410F" w:rsidRDefault="00C00643" w:rsidP="00C00643">
      <w:pPr>
        <w:rPr>
          <w:lang w:val="es-ES" w:eastAsia="ja-JP"/>
        </w:rPr>
      </w:pPr>
      <w:r w:rsidRPr="00F9410F">
        <w:rPr>
          <w:lang w:val="es-ES"/>
        </w:rPr>
        <w:t xml:space="preserve">En el presente Informe se resumen las actividades de la Comisión de Estudio 5 y sus grupos subordinados para el ciclo de estudios </w:t>
      </w:r>
      <w:r w:rsidRPr="00F9410F">
        <w:rPr>
          <w:lang w:val="es-ES" w:eastAsia="ja-JP"/>
        </w:rPr>
        <w:t>2012-2015.</w:t>
      </w:r>
    </w:p>
    <w:p w:rsidR="00C00643" w:rsidRPr="00F9410F" w:rsidRDefault="00C00643" w:rsidP="00C00643">
      <w:pPr>
        <w:pStyle w:val="Heading1"/>
        <w:rPr>
          <w:lang w:val="es-ES"/>
        </w:rPr>
      </w:pPr>
      <w:r w:rsidRPr="00F9410F">
        <w:rPr>
          <w:lang w:val="es-ES" w:eastAsia="ja-JP"/>
        </w:rPr>
        <w:lastRenderedPageBreak/>
        <w:t>2</w:t>
      </w:r>
      <w:r w:rsidRPr="00F9410F">
        <w:rPr>
          <w:lang w:val="es-ES"/>
        </w:rPr>
        <w:tab/>
        <w:t>Resultados de las reuniones de la Comisión de Estudio 5</w:t>
      </w:r>
    </w:p>
    <w:p w:rsidR="00C00643" w:rsidRPr="00F9410F" w:rsidRDefault="00C00643" w:rsidP="00C00643">
      <w:pPr>
        <w:pStyle w:val="Heading2"/>
        <w:rPr>
          <w:lang w:val="es-ES"/>
        </w:rPr>
      </w:pPr>
      <w:r w:rsidRPr="00F9410F">
        <w:rPr>
          <w:lang w:val="es-ES" w:eastAsia="ja-JP"/>
        </w:rPr>
        <w:t>2</w:t>
      </w:r>
      <w:r w:rsidRPr="00F9410F">
        <w:rPr>
          <w:lang w:val="es-ES"/>
        </w:rPr>
        <w:t>.1</w:t>
      </w:r>
      <w:r w:rsidRPr="00F9410F">
        <w:rPr>
          <w:lang w:val="es-ES"/>
        </w:rPr>
        <w:tab/>
        <w:t>Reuniones</w:t>
      </w:r>
    </w:p>
    <w:p w:rsidR="00C00643" w:rsidRPr="00F9410F" w:rsidRDefault="00C00643" w:rsidP="00C00643">
      <w:pPr>
        <w:rPr>
          <w:lang w:val="es-ES"/>
        </w:rPr>
      </w:pPr>
      <w:r w:rsidRPr="00F9410F">
        <w:rPr>
          <w:lang w:val="es-ES"/>
        </w:rPr>
        <w:t>La Comisión de Estudio 5 y sus grupos subordinados han celebrado muchas reuniones, tal y como se indica en el Cuadro A1</w:t>
      </w:r>
      <w:r w:rsidRPr="00F9410F">
        <w:rPr>
          <w:lang w:val="es-ES"/>
        </w:rPr>
        <w:noBreakHyphen/>
        <w:t>2 del Anexo 1. En esas reuniones, se elaboraron varios textos del UIT</w:t>
      </w:r>
      <w:r w:rsidRPr="00F9410F">
        <w:rPr>
          <w:lang w:val="es-ES"/>
        </w:rPr>
        <w:noBreakHyphen/>
        <w:t>R nuevos o revisados, tal y como se detalla en las secciones que siguen</w:t>
      </w:r>
      <w:r w:rsidRPr="00F9410F">
        <w:rPr>
          <w:lang w:val="es-ES" w:eastAsia="ja-JP"/>
        </w:rPr>
        <w:t>.</w:t>
      </w:r>
    </w:p>
    <w:p w:rsidR="00C00643" w:rsidRPr="00F9410F" w:rsidRDefault="00C00643" w:rsidP="00C00643">
      <w:pPr>
        <w:pStyle w:val="Heading2"/>
        <w:rPr>
          <w:lang w:val="es-ES"/>
        </w:rPr>
      </w:pPr>
      <w:r w:rsidRPr="00F9410F">
        <w:rPr>
          <w:lang w:val="es-ES" w:eastAsia="ja-JP"/>
        </w:rPr>
        <w:t>2</w:t>
      </w:r>
      <w:r w:rsidRPr="00F9410F">
        <w:rPr>
          <w:lang w:val="es-ES"/>
        </w:rPr>
        <w:t>.</w:t>
      </w:r>
      <w:r w:rsidRPr="00F9410F">
        <w:rPr>
          <w:lang w:val="es-ES" w:eastAsia="ja-JP"/>
        </w:rPr>
        <w:t>2</w:t>
      </w:r>
      <w:r w:rsidRPr="00F9410F">
        <w:rPr>
          <w:lang w:val="es-ES"/>
        </w:rPr>
        <w:tab/>
        <w:t>Elaboración de Recomendaciones nuevas/revisadas</w:t>
      </w:r>
    </w:p>
    <w:p w:rsidR="00C00643" w:rsidRPr="00F9410F" w:rsidRDefault="00C00643" w:rsidP="00C00643">
      <w:pPr>
        <w:rPr>
          <w:lang w:val="es-ES" w:eastAsia="ja-JP"/>
        </w:rPr>
      </w:pPr>
      <w:r w:rsidRPr="00F9410F">
        <w:rPr>
          <w:lang w:val="es-ES"/>
        </w:rPr>
        <w:t xml:space="preserve">Durante el presente periodo de estudios, la Comisión de Estudio 5 ha elaborado </w:t>
      </w:r>
      <w:r w:rsidRPr="00F9410F">
        <w:rPr>
          <w:lang w:val="es-ES" w:eastAsia="ja-JP"/>
        </w:rPr>
        <w:t>69</w:t>
      </w:r>
      <w:r w:rsidRPr="00F9410F">
        <w:rPr>
          <w:lang w:val="es-ES"/>
        </w:rPr>
        <w:t xml:space="preserve"> proyectos de Recomendación (</w:t>
      </w:r>
      <w:r w:rsidRPr="00F9410F">
        <w:rPr>
          <w:lang w:val="es-ES" w:eastAsia="ja-JP"/>
        </w:rPr>
        <w:t>13</w:t>
      </w:r>
      <w:r w:rsidRPr="00F9410F">
        <w:rPr>
          <w:lang w:val="es-ES"/>
        </w:rPr>
        <w:t xml:space="preserve"> nuevas y</w:t>
      </w:r>
      <w:r w:rsidRPr="00F9410F">
        <w:rPr>
          <w:lang w:val="es-ES" w:eastAsia="ja-JP"/>
        </w:rPr>
        <w:t xml:space="preserve"> 56</w:t>
      </w:r>
      <w:r w:rsidRPr="00F9410F">
        <w:rPr>
          <w:lang w:val="es-ES"/>
        </w:rPr>
        <w:t> revisadas)</w:t>
      </w:r>
      <w:r w:rsidRPr="00F9410F">
        <w:rPr>
          <w:lang w:val="es-ES" w:eastAsia="ja-JP"/>
        </w:rPr>
        <w:t xml:space="preserve"> que ya se han aprobado, tal y como se muestra en los Cuadros A2-1 y A2-2 del Anexo 2.</w:t>
      </w:r>
      <w:r w:rsidRPr="00F9410F">
        <w:rPr>
          <w:lang w:val="es-ES"/>
        </w:rPr>
        <w:t xml:space="preserve"> </w:t>
      </w:r>
    </w:p>
    <w:p w:rsidR="00C00643" w:rsidRPr="00F9410F" w:rsidRDefault="00C00643" w:rsidP="00C00643">
      <w:pPr>
        <w:rPr>
          <w:lang w:val="es-ES" w:eastAsia="ja-JP"/>
        </w:rPr>
      </w:pPr>
      <w:r w:rsidRPr="00F9410F">
        <w:rPr>
          <w:lang w:val="es-ES" w:eastAsia="ja-JP"/>
        </w:rPr>
        <w:t xml:space="preserve">Se han presentado cinco proyectos de Recomendación </w:t>
      </w:r>
      <w:r w:rsidRPr="00F9410F">
        <w:rPr>
          <w:lang w:val="es-ES"/>
        </w:rPr>
        <w:t>(tres nuevas y dos revisadas)</w:t>
      </w:r>
      <w:r w:rsidRPr="00F9410F">
        <w:rPr>
          <w:lang w:val="es-ES" w:eastAsia="ja-JP"/>
        </w:rPr>
        <w:t xml:space="preserve"> a esta Asamblea de Radiocomunicaciones para su examen, como se resume en las secciones </w:t>
      </w:r>
      <w:r w:rsidRPr="00F9410F">
        <w:rPr>
          <w:bCs/>
          <w:lang w:val="es-ES" w:eastAsia="ja-JP"/>
        </w:rPr>
        <w:t>2.2.1</w:t>
      </w:r>
      <w:r w:rsidRPr="00F9410F">
        <w:rPr>
          <w:bCs/>
          <w:lang w:val="es-ES" w:eastAsia="ja-JP"/>
        </w:rPr>
        <w:noBreakHyphen/>
        <w:t>2.2.5</w:t>
      </w:r>
      <w:r w:rsidRPr="00F9410F">
        <w:rPr>
          <w:lang w:val="es-ES" w:eastAsia="ja-JP"/>
        </w:rPr>
        <w:t xml:space="preserve"> siguientes (véase también el Cuadro A2-2 del Anexo 2).</w:t>
      </w:r>
    </w:p>
    <w:p w:rsidR="00C00643" w:rsidRPr="00F9410F" w:rsidRDefault="00C00643" w:rsidP="00C00643">
      <w:pPr>
        <w:rPr>
          <w:lang w:val="es-ES" w:eastAsia="ja-JP"/>
        </w:rPr>
      </w:pPr>
      <w:r w:rsidRPr="00F9410F">
        <w:rPr>
          <w:lang w:val="es-ES"/>
        </w:rPr>
        <w:t xml:space="preserve">Además, la Comisión de Estudio 5 acordó suprimir </w:t>
      </w:r>
      <w:r w:rsidRPr="00F9410F">
        <w:rPr>
          <w:lang w:val="es-ES" w:eastAsia="ja-JP"/>
        </w:rPr>
        <w:t xml:space="preserve">cinco </w:t>
      </w:r>
      <w:r w:rsidRPr="00F9410F">
        <w:rPr>
          <w:lang w:val="es-ES"/>
        </w:rPr>
        <w:t>Recomendaciones consideradas innecesarias u obsoletas (véase el Cuadro A2</w:t>
      </w:r>
      <w:r w:rsidRPr="00F9410F">
        <w:rPr>
          <w:lang w:val="es-ES"/>
        </w:rPr>
        <w:noBreakHyphen/>
        <w:t>3 del Anexo  2).</w:t>
      </w:r>
    </w:p>
    <w:p w:rsidR="00C00643" w:rsidRPr="00F9410F" w:rsidRDefault="00C00643" w:rsidP="00C00643">
      <w:pPr>
        <w:pStyle w:val="Heading3"/>
        <w:rPr>
          <w:lang w:val="es-ES" w:eastAsia="ja-JP"/>
        </w:rPr>
      </w:pPr>
      <w:r w:rsidRPr="00F9410F">
        <w:rPr>
          <w:lang w:val="es-ES" w:eastAsia="ja-JP"/>
        </w:rPr>
        <w:t>2.2.1</w:t>
      </w:r>
      <w:r w:rsidRPr="00F9410F">
        <w:rPr>
          <w:lang w:val="es-ES" w:eastAsia="ja-JP"/>
        </w:rPr>
        <w:tab/>
        <w:t xml:space="preserve">Documento </w:t>
      </w:r>
      <w:hyperlink r:id="rId8" w:history="1">
        <w:r w:rsidRPr="00F9410F">
          <w:rPr>
            <w:rStyle w:val="Hyperlink"/>
            <w:lang w:val="es-ES" w:eastAsia="ja-JP"/>
          </w:rPr>
          <w:t>5/1005</w:t>
        </w:r>
      </w:hyperlink>
      <w:r w:rsidRPr="00F9410F">
        <w:rPr>
          <w:lang w:val="es-ES" w:eastAsia="ja-JP"/>
        </w:rPr>
        <w:t xml:space="preserve"> (GT 5B):</w:t>
      </w:r>
      <w:r w:rsidRPr="00F9410F">
        <w:rPr>
          <w:lang w:val="es-ES"/>
        </w:rPr>
        <w:t xml:space="preserve"> </w:t>
      </w:r>
      <w:r w:rsidRPr="00F9410F">
        <w:rPr>
          <w:lang w:val="es-ES" w:eastAsia="ja-JP"/>
        </w:rPr>
        <w:t xml:space="preserve">Proyecto de revisión de la Recomendación UIT-R M.541-9 </w:t>
      </w:r>
      <w:r w:rsidRPr="00F9410F">
        <w:rPr>
          <w:b w:val="0"/>
          <w:lang w:val="es-ES" w:eastAsia="ja-JP"/>
        </w:rPr>
        <w:t>–</w:t>
      </w:r>
      <w:r w:rsidRPr="00F9410F">
        <w:rPr>
          <w:lang w:val="es-ES" w:eastAsia="ja-JP"/>
        </w:rPr>
        <w:t xml:space="preserve"> </w:t>
      </w:r>
      <w:r w:rsidRPr="00F9410F">
        <w:rPr>
          <w:lang w:val="es-ES"/>
        </w:rPr>
        <w:t>Procedimientos de explotación para la utilización de equipos</w:t>
      </w:r>
      <w:r w:rsidRPr="00F9410F">
        <w:rPr>
          <w:lang w:val="es-ES"/>
        </w:rPr>
        <w:br/>
        <w:t>de llamada selectiva digital en el servicio móvil marítimo</w:t>
      </w:r>
    </w:p>
    <w:p w:rsidR="00C00643" w:rsidRPr="00F9410F" w:rsidRDefault="00C00643" w:rsidP="00FE0686">
      <w:pPr>
        <w:rPr>
          <w:szCs w:val="24"/>
          <w:lang w:val="es-ES"/>
        </w:rPr>
      </w:pPr>
      <w:r w:rsidRPr="00F9410F">
        <w:rPr>
          <w:szCs w:val="24"/>
          <w:lang w:val="es-ES"/>
        </w:rPr>
        <w:t>La presente Recomendación define los procedimientos operacionales del equipo de llamada selectiva digital cuyas características técnicas se indican en la Recomendación UIT</w:t>
      </w:r>
      <w:r w:rsidRPr="00F9410F">
        <w:rPr>
          <w:szCs w:val="24"/>
          <w:lang w:val="es-ES"/>
        </w:rPr>
        <w:noBreakHyphen/>
        <w:t xml:space="preserve">R M.493. En los </w:t>
      </w:r>
      <w:r w:rsidR="00FE0686">
        <w:rPr>
          <w:szCs w:val="24"/>
          <w:lang w:val="es-ES"/>
        </w:rPr>
        <w:t>a</w:t>
      </w:r>
      <w:r w:rsidRPr="00F9410F">
        <w:rPr>
          <w:szCs w:val="24"/>
          <w:lang w:val="es-ES"/>
        </w:rPr>
        <w:t xml:space="preserve">nexos a la presente Recomendación se describen </w:t>
      </w:r>
      <w:r w:rsidRPr="00F9410F">
        <w:rPr>
          <w:lang w:val="es-ES"/>
        </w:rPr>
        <w:t>las disposiciones y los procedimientos para las llamadas de socorro, urgencia y seguridad y para las llamadas de rutina</w:t>
      </w:r>
      <w:r w:rsidRPr="00F9410F">
        <w:rPr>
          <w:szCs w:val="24"/>
          <w:lang w:val="es-ES"/>
        </w:rPr>
        <w:t xml:space="preserve">, así como </w:t>
      </w:r>
      <w:r w:rsidRPr="00F9410F">
        <w:rPr>
          <w:lang w:val="es-ES"/>
        </w:rPr>
        <w:t>los procedimientos operacionales que deben aplicar los barcos, las estaciones costeras</w:t>
      </w:r>
      <w:r w:rsidRPr="00F9410F">
        <w:rPr>
          <w:szCs w:val="24"/>
          <w:lang w:val="es-ES"/>
        </w:rPr>
        <w:t xml:space="preserve"> </w:t>
      </w:r>
      <w:r w:rsidRPr="00F9410F">
        <w:rPr>
          <w:szCs w:val="24"/>
          <w:lang w:val="es-ES" w:eastAsia="ja-JP"/>
        </w:rPr>
        <w:t>y los dispositivos de hombre al agua</w:t>
      </w:r>
      <w:r w:rsidRPr="00F9410F">
        <w:rPr>
          <w:szCs w:val="24"/>
          <w:lang w:val="es-ES"/>
        </w:rPr>
        <w:t>.</w:t>
      </w:r>
    </w:p>
    <w:p w:rsidR="00C00643" w:rsidRPr="00F9410F" w:rsidRDefault="00C00643" w:rsidP="00C00643">
      <w:pPr>
        <w:rPr>
          <w:szCs w:val="24"/>
          <w:lang w:val="es-ES"/>
        </w:rPr>
      </w:pPr>
      <w:r w:rsidRPr="00F9410F">
        <w:rPr>
          <w:szCs w:val="24"/>
          <w:lang w:val="es-ES" w:eastAsia="ja-JP"/>
        </w:rPr>
        <w:t>En el presente proyecto de revisión:</w:t>
      </w:r>
    </w:p>
    <w:p w:rsidR="00C00643" w:rsidRPr="00F9410F" w:rsidRDefault="00C00643" w:rsidP="00C00643">
      <w:pPr>
        <w:pStyle w:val="enumlev1"/>
        <w:rPr>
          <w:lang w:val="es-ES"/>
        </w:rPr>
      </w:pPr>
      <w:r w:rsidRPr="00F9410F">
        <w:rPr>
          <w:lang w:val="es-ES" w:eastAsia="ja-JP"/>
        </w:rPr>
        <w:t>–</w:t>
      </w:r>
      <w:r w:rsidRPr="00F9410F">
        <w:rPr>
          <w:lang w:val="es-ES" w:eastAsia="ja-JP"/>
        </w:rPr>
        <w:tab/>
      </w:r>
      <w:r w:rsidRPr="00F9410F">
        <w:rPr>
          <w:szCs w:val="24"/>
          <w:lang w:val="es-ES"/>
        </w:rPr>
        <w:t>se actualizan los procedimientos en relación con la situación actual del Reglamento de Radiocomunicaciones</w:t>
      </w:r>
      <w:r w:rsidRPr="00F9410F">
        <w:rPr>
          <w:lang w:val="es-ES" w:eastAsia="ja-JP"/>
        </w:rPr>
        <w:t>;</w:t>
      </w:r>
    </w:p>
    <w:p w:rsidR="00C00643" w:rsidRPr="00F9410F" w:rsidRDefault="00C00643" w:rsidP="00C00643">
      <w:pPr>
        <w:pStyle w:val="enumlev1"/>
        <w:rPr>
          <w:lang w:val="es-ES"/>
        </w:rPr>
      </w:pPr>
      <w:r w:rsidRPr="00F9410F">
        <w:rPr>
          <w:lang w:val="es-ES" w:eastAsia="ja-JP"/>
        </w:rPr>
        <w:t>–</w:t>
      </w:r>
      <w:r w:rsidRPr="00F9410F">
        <w:rPr>
          <w:lang w:val="es-ES" w:eastAsia="ja-JP"/>
        </w:rPr>
        <w:tab/>
        <w:t>se añade un nuevo Anexo 5 para los dispositivos de hombre al agua que utilizan la llamada selectiva digital en la banda de ondas métricas;</w:t>
      </w:r>
    </w:p>
    <w:p w:rsidR="00C00643" w:rsidRPr="00F9410F" w:rsidRDefault="00C00643" w:rsidP="00C00643">
      <w:pPr>
        <w:pStyle w:val="enumlev1"/>
        <w:rPr>
          <w:lang w:val="es-ES" w:eastAsia="ja-JP"/>
        </w:rPr>
      </w:pPr>
      <w:r w:rsidRPr="00F9410F">
        <w:rPr>
          <w:lang w:val="es-ES" w:eastAsia="ja-JP"/>
        </w:rPr>
        <w:t>–</w:t>
      </w:r>
      <w:r w:rsidRPr="00F9410F">
        <w:rPr>
          <w:lang w:val="es-ES" w:eastAsia="ja-JP"/>
        </w:rPr>
        <w:tab/>
        <w:t>se incluyen otras actualizaciones de orden editorial, por ejemplo adición de palabras clave.</w:t>
      </w:r>
    </w:p>
    <w:p w:rsidR="00C00643" w:rsidRPr="00F9410F" w:rsidRDefault="00C00643" w:rsidP="00FE0686">
      <w:pPr>
        <w:rPr>
          <w:rFonts w:asciiTheme="majorBidi" w:hAnsiTheme="majorBidi" w:cstheme="majorBidi"/>
          <w:lang w:val="es-ES" w:eastAsia="ja-JP"/>
        </w:rPr>
      </w:pPr>
      <w:r w:rsidRPr="00F9410F">
        <w:rPr>
          <w:rFonts w:asciiTheme="majorBidi" w:hAnsiTheme="majorBidi" w:cstheme="majorBidi"/>
          <w:lang w:val="es-ES" w:eastAsia="ja-JP"/>
        </w:rPr>
        <w:t xml:space="preserve">La parte esencial del presente documento se acordó sin que se formularan objeciones en la reunión de la Comisión de Estudio 5 de julio de 2015, y el procedimiento de adopción por correspondencia por una Comisión de Estudio (a través de </w:t>
      </w:r>
      <w:hyperlink r:id="rId9" w:history="1">
        <w:r w:rsidRPr="00F9410F">
          <w:rPr>
            <w:rStyle w:val="Hyperlink"/>
            <w:rFonts w:asciiTheme="majorBidi" w:hAnsiTheme="majorBidi" w:cstheme="majorBidi"/>
            <w:lang w:val="es-ES" w:eastAsia="ja-JP"/>
          </w:rPr>
          <w:t>CACE/742</w:t>
        </w:r>
      </w:hyperlink>
      <w:r w:rsidRPr="00F9410F">
        <w:rPr>
          <w:rFonts w:asciiTheme="majorBidi" w:hAnsiTheme="majorBidi" w:cstheme="majorBidi"/>
          <w:lang w:val="es-ES" w:eastAsia="ja-JP"/>
        </w:rPr>
        <w:t>) concluyó con éxito el 28 de septiembre de</w:t>
      </w:r>
      <w:r w:rsidR="00FE0686">
        <w:rPr>
          <w:rFonts w:asciiTheme="majorBidi" w:hAnsiTheme="majorBidi" w:cstheme="majorBidi"/>
          <w:lang w:val="es-ES" w:eastAsia="ja-JP"/>
        </w:rPr>
        <w:t> </w:t>
      </w:r>
      <w:r w:rsidRPr="00F9410F">
        <w:rPr>
          <w:rFonts w:asciiTheme="majorBidi" w:hAnsiTheme="majorBidi" w:cstheme="majorBidi"/>
          <w:lang w:val="es-ES" w:eastAsia="ja-JP"/>
        </w:rPr>
        <w:t>2015.</w:t>
      </w:r>
    </w:p>
    <w:p w:rsidR="00C00643" w:rsidRPr="00F9410F" w:rsidRDefault="00C00643" w:rsidP="00C00643">
      <w:pPr>
        <w:rPr>
          <w:lang w:val="es-ES"/>
        </w:rPr>
      </w:pPr>
      <w:r w:rsidRPr="00F9410F">
        <w:rPr>
          <w:rFonts w:asciiTheme="majorBidi" w:hAnsiTheme="majorBidi" w:cstheme="majorBidi"/>
          <w:lang w:val="es-ES" w:eastAsia="ja-JP"/>
        </w:rPr>
        <w:t xml:space="preserve">Dado que esta es una de las Recomendaciones incorporadas por referencia al Reglamento de Radiocomunicaciones a las que no puede aplicarse el procedimiento PAAS, en la reunión de la Comisión de Estudio se decidió tratar de obtener la aprobación de este proyecto de revisión en la presente Asamblea de Radiocomunicaciones, de acuerdo con el punto </w:t>
      </w:r>
      <w:r w:rsidRPr="00F9410F">
        <w:rPr>
          <w:lang w:val="es-ES" w:eastAsia="ja-JP"/>
        </w:rPr>
        <w:t>10.4.2 de la Resolución UIT</w:t>
      </w:r>
      <w:r w:rsidRPr="00F9410F">
        <w:rPr>
          <w:lang w:val="es-ES" w:eastAsia="ja-JP"/>
        </w:rPr>
        <w:noBreakHyphen/>
        <w:t>R 1</w:t>
      </w:r>
      <w:r w:rsidRPr="00F9410F">
        <w:rPr>
          <w:lang w:val="es-ES" w:eastAsia="ja-JP"/>
        </w:rPr>
        <w:noBreakHyphen/>
        <w:t>6, aduciendo la siguiente justificación:</w:t>
      </w:r>
    </w:p>
    <w:p w:rsidR="00C00643" w:rsidRPr="00F9410F" w:rsidRDefault="00C00643" w:rsidP="00FE0686">
      <w:pPr>
        <w:ind w:leftChars="472" w:left="1133" w:firstLine="1"/>
        <w:rPr>
          <w:lang w:val="es-ES" w:eastAsia="ja-JP"/>
        </w:rPr>
      </w:pPr>
      <w:r w:rsidRPr="00F9410F">
        <w:rPr>
          <w:lang w:val="es-ES" w:eastAsia="ja-JP"/>
        </w:rPr>
        <w:t>La presente Recomendación, relacionada con cuestiones de seguridad, debe aprobarse a la mayor brevedad posible, al igual que la revisión de la Recomendación UIT</w:t>
      </w:r>
      <w:r w:rsidRPr="00F9410F">
        <w:rPr>
          <w:lang w:val="es-ES" w:eastAsia="ja-JP"/>
        </w:rPr>
        <w:noBreakHyphen/>
        <w:t>R M.493</w:t>
      </w:r>
      <w:r w:rsidR="00FE0686">
        <w:rPr>
          <w:lang w:val="es-ES" w:eastAsia="ja-JP"/>
        </w:rPr>
        <w:noBreakHyphen/>
      </w:r>
      <w:r w:rsidRPr="00F9410F">
        <w:rPr>
          <w:lang w:val="es-ES" w:eastAsia="ja-JP"/>
        </w:rPr>
        <w:t>13, que se ocupa de una cuestión similar. Esta revisión de la Recomendación UIT</w:t>
      </w:r>
      <w:r w:rsidRPr="00F9410F">
        <w:rPr>
          <w:lang w:val="es-ES" w:eastAsia="ja-JP"/>
        </w:rPr>
        <w:noBreakHyphen/>
        <w:t>R M.493-13 se aprobó el 30 de septiembre de 2015.</w:t>
      </w:r>
    </w:p>
    <w:p w:rsidR="00C00643" w:rsidRPr="00F9410F" w:rsidRDefault="00C00643" w:rsidP="00C8085F">
      <w:pPr>
        <w:pStyle w:val="Heading3"/>
        <w:rPr>
          <w:lang w:val="es-ES" w:eastAsia="ja-JP"/>
        </w:rPr>
      </w:pPr>
      <w:r w:rsidRPr="00F9410F">
        <w:rPr>
          <w:szCs w:val="24"/>
          <w:lang w:val="es-ES" w:eastAsia="ja-JP"/>
        </w:rPr>
        <w:lastRenderedPageBreak/>
        <w:t>2.2.2</w:t>
      </w:r>
      <w:r w:rsidRPr="00F9410F">
        <w:rPr>
          <w:szCs w:val="24"/>
          <w:lang w:val="es-ES" w:eastAsia="ja-JP"/>
        </w:rPr>
        <w:tab/>
      </w:r>
      <w:r w:rsidRPr="00F9410F">
        <w:rPr>
          <w:lang w:val="es-ES" w:eastAsia="ja-JP"/>
        </w:rPr>
        <w:t xml:space="preserve">Documento </w:t>
      </w:r>
      <w:hyperlink r:id="rId10" w:history="1">
        <w:r w:rsidRPr="00F9410F">
          <w:rPr>
            <w:rStyle w:val="Hyperlink"/>
            <w:lang w:val="es-ES" w:eastAsia="ja-JP"/>
          </w:rPr>
          <w:t>5/1006</w:t>
        </w:r>
      </w:hyperlink>
      <w:r w:rsidRPr="00F9410F">
        <w:rPr>
          <w:lang w:val="es-ES" w:eastAsia="ja-JP"/>
        </w:rPr>
        <w:t xml:space="preserve"> (GT 5B): </w:t>
      </w:r>
      <w:r w:rsidR="00C8085F">
        <w:rPr>
          <w:lang w:val="es-ES" w:eastAsia="ja-JP"/>
        </w:rPr>
        <w:t>P</w:t>
      </w:r>
      <w:r w:rsidRPr="00F9410F">
        <w:rPr>
          <w:lang w:val="es-ES" w:eastAsia="ja-JP"/>
        </w:rPr>
        <w:t>royecto de nueva Recomendación UIT-R M.[AMS</w:t>
      </w:r>
      <w:r w:rsidRPr="00F9410F">
        <w:rPr>
          <w:lang w:val="es-ES" w:eastAsia="ja-JP"/>
        </w:rPr>
        <w:noBreakHyphen/>
        <w:t>CHAR</w:t>
      </w:r>
      <w:r w:rsidRPr="00F9410F">
        <w:rPr>
          <w:lang w:val="es-ES" w:eastAsia="ja-JP"/>
        </w:rPr>
        <w:noBreakHyphen/>
        <w:t xml:space="preserve">15GHz] </w:t>
      </w:r>
      <w:r w:rsidR="00C8085F">
        <w:rPr>
          <w:lang w:val="es-ES" w:eastAsia="ja-JP"/>
        </w:rPr>
        <w:t>–</w:t>
      </w:r>
      <w:r w:rsidRPr="00F9410F">
        <w:rPr>
          <w:lang w:val="es-ES" w:eastAsia="ja-JP"/>
        </w:rPr>
        <w:t xml:space="preserve"> </w:t>
      </w:r>
      <w:r w:rsidRPr="00F9410F">
        <w:rPr>
          <w:color w:val="000000"/>
          <w:lang w:val="es-ES"/>
        </w:rPr>
        <w:t>Características técnicas y criterios de protección de los sistemas del servicio móvil aeronáutico en la banda de frecuencias 14,5-15,35 GHz</w:t>
      </w:r>
    </w:p>
    <w:p w:rsidR="00C00643" w:rsidRPr="00F9410F" w:rsidRDefault="00C00643" w:rsidP="00C00643">
      <w:pPr>
        <w:rPr>
          <w:rFonts w:asciiTheme="majorBidi" w:hAnsiTheme="majorBidi" w:cstheme="majorBidi"/>
          <w:szCs w:val="24"/>
          <w:lang w:val="es-ES"/>
        </w:rPr>
      </w:pPr>
      <w:r w:rsidRPr="00F9410F">
        <w:rPr>
          <w:rFonts w:asciiTheme="majorBidi" w:hAnsiTheme="majorBidi" w:cstheme="majorBidi"/>
          <w:szCs w:val="24"/>
          <w:lang w:val="es-ES"/>
        </w:rPr>
        <w:t>Este proyecto de nueva Recomendación proporciona información sobre las características técnicas y los criterios de protección para los sistemas del servicio móvil aeronáutico (SMA) que funcionan en la banda de frecuencias 14,5-15,35 GHz o que está previsto que funcionen en dicha banda para su utilización en estudios de compartición y compatibilidad, según sea necesario.</w:t>
      </w:r>
      <w:r w:rsidRPr="00F9410F">
        <w:rPr>
          <w:rFonts w:eastAsia="Batang"/>
          <w:szCs w:val="24"/>
          <w:lang w:val="es-ES"/>
        </w:rPr>
        <w:t xml:space="preserve"> </w:t>
      </w:r>
    </w:p>
    <w:p w:rsidR="00C00643" w:rsidRPr="00F9410F" w:rsidRDefault="00C00643" w:rsidP="000D1CE2">
      <w:pPr>
        <w:rPr>
          <w:lang w:val="es-ES" w:eastAsia="ja-JP"/>
        </w:rPr>
      </w:pPr>
      <w:r w:rsidRPr="00F9410F">
        <w:rPr>
          <w:lang w:val="es-ES" w:eastAsia="ja-JP"/>
        </w:rPr>
        <w:t>En la reunión de la Comisión de Estudio 5</w:t>
      </w:r>
      <w:r w:rsidR="00824CFC">
        <w:rPr>
          <w:lang w:val="es-ES" w:eastAsia="ja-JP"/>
        </w:rPr>
        <w:t>,</w:t>
      </w:r>
      <w:r w:rsidRPr="00F9410F">
        <w:rPr>
          <w:lang w:val="es-ES" w:eastAsia="ja-JP"/>
        </w:rPr>
        <w:t xml:space="preserve"> de julio de 2015, una administración se opuso a este proyecto de nueva Recomendación, relativa al punto 1.6 del orden del día de la CMR-15, en los siguientes términos: </w:t>
      </w:r>
    </w:p>
    <w:p w:rsidR="00C00643" w:rsidRPr="00F9410F" w:rsidRDefault="000D1CE2" w:rsidP="000D1CE2">
      <w:pPr>
        <w:pStyle w:val="enumlev1"/>
        <w:rPr>
          <w:spacing w:val="-4"/>
          <w:szCs w:val="24"/>
          <w:lang w:val="es-ES"/>
        </w:rPr>
      </w:pPr>
      <w:r>
        <w:rPr>
          <w:lang w:val="es-ES"/>
        </w:rPr>
        <w:tab/>
      </w:r>
      <w:r w:rsidR="00C00643" w:rsidRPr="00F9410F">
        <w:rPr>
          <w:lang w:val="es-ES"/>
        </w:rPr>
        <w:t>La Federación de Rusia se opone a que se examine el proyecto de nueva Recomendación UIT-R</w:t>
      </w:r>
      <w:r w:rsidR="00C00643" w:rsidRPr="00F9410F">
        <w:rPr>
          <w:spacing w:val="-4"/>
          <w:szCs w:val="24"/>
          <w:lang w:val="es-ES"/>
        </w:rPr>
        <w:t xml:space="preserve"> M.[AMS-CHAR 15GHz] </w:t>
      </w:r>
      <w:r w:rsidR="00C00643" w:rsidRPr="00F9410F">
        <w:rPr>
          <w:lang w:val="es-ES"/>
        </w:rPr>
        <w:t>en la reunión de la CE 5 y a que se envíe para su adopción y aprobación simultáneas por correspondencia porque los sistemas de telemedida aeronáutica con las características recomendadas impondrán unas restricciones indebidas a los sistemas actuales y futuros en las redes móviles y del servicio fijo a causa del uso ilimitado de retransmisiones entre aeronaves, hecho que provoca una ambigüedad en la coordinación de dichos sistemas con otros usos en la banda</w:t>
      </w:r>
      <w:r w:rsidR="00C00643" w:rsidRPr="00F9410F">
        <w:rPr>
          <w:spacing w:val="-4"/>
          <w:szCs w:val="24"/>
          <w:lang w:val="es-ES"/>
        </w:rPr>
        <w:t>. Por este motivo, es necesario seguir describiendo e investigando la hipótesis de utilización anteriormente mencionada en el GT 5B antes de considerar su adopción y aprobación en una futura reunión de la CE 5.</w:t>
      </w:r>
    </w:p>
    <w:p w:rsidR="00C00643" w:rsidRPr="00F9410F" w:rsidRDefault="00C00643" w:rsidP="000D1CE2">
      <w:pPr>
        <w:rPr>
          <w:lang w:val="es-ES" w:eastAsia="ja-JP"/>
        </w:rPr>
      </w:pPr>
      <w:r w:rsidRPr="00F9410F">
        <w:rPr>
          <w:lang w:val="es-ES" w:eastAsia="ja-JP"/>
        </w:rPr>
        <w:t>En consecuencia, se ha trasladado el proyecto de nueva Recomendación a esta Asamblea de Radiocomunicaciones para su consideración, de acuerdo con el punto 10.2.1.2 a) de la Resolución UIT-R 1-6.</w:t>
      </w:r>
    </w:p>
    <w:p w:rsidR="00C00643" w:rsidRPr="00F9410F" w:rsidRDefault="00C00643" w:rsidP="00824CFC">
      <w:pPr>
        <w:pStyle w:val="Heading3"/>
        <w:rPr>
          <w:lang w:val="es-ES"/>
        </w:rPr>
      </w:pPr>
      <w:r w:rsidRPr="00F9410F">
        <w:rPr>
          <w:lang w:val="es-ES"/>
        </w:rPr>
        <w:t>2.2.3</w:t>
      </w:r>
      <w:r w:rsidRPr="00F9410F">
        <w:rPr>
          <w:lang w:val="es-ES"/>
        </w:rPr>
        <w:tab/>
        <w:t xml:space="preserve">Documento </w:t>
      </w:r>
      <w:hyperlink r:id="rId11" w:history="1">
        <w:r w:rsidRPr="00F9410F">
          <w:rPr>
            <w:rStyle w:val="Hyperlink"/>
            <w:lang w:val="es-ES"/>
          </w:rPr>
          <w:t>5/1007</w:t>
        </w:r>
      </w:hyperlink>
      <w:r w:rsidRPr="00F9410F">
        <w:rPr>
          <w:lang w:val="es-ES"/>
        </w:rPr>
        <w:t xml:space="preserve"> (GT 5B): </w:t>
      </w:r>
      <w:r w:rsidR="00824CFC">
        <w:rPr>
          <w:lang w:val="es-ES"/>
        </w:rPr>
        <w:t>P</w:t>
      </w:r>
      <w:r w:rsidRPr="00F9410F">
        <w:rPr>
          <w:lang w:val="es-ES"/>
        </w:rPr>
        <w:t xml:space="preserve">royecto de nueva Recomendación UIT-R M.[VDES] </w:t>
      </w:r>
      <w:r w:rsidR="00824CFC">
        <w:rPr>
          <w:lang w:val="es-ES"/>
        </w:rPr>
        <w:t>–</w:t>
      </w:r>
      <w:r w:rsidRPr="00F9410F">
        <w:rPr>
          <w:lang w:val="es-ES"/>
        </w:rPr>
        <w:t xml:space="preserve"> </w:t>
      </w:r>
      <w:r w:rsidRPr="00F9410F">
        <w:rPr>
          <w:color w:val="000000"/>
          <w:lang w:val="es-ES"/>
        </w:rPr>
        <w:t>Características técnicas para un sistema de intercambio de datos en ondas métricas en las bandas de ondas métricas del servicio móvil marítimo</w:t>
      </w:r>
    </w:p>
    <w:p w:rsidR="00C00643" w:rsidRPr="00F9410F" w:rsidRDefault="00C00643" w:rsidP="00C00643">
      <w:pPr>
        <w:rPr>
          <w:szCs w:val="24"/>
          <w:lang w:val="es-ES" w:eastAsia="ja-JP"/>
        </w:rPr>
      </w:pPr>
      <w:r w:rsidRPr="00F9410F">
        <w:rPr>
          <w:szCs w:val="24"/>
          <w:lang w:val="es-ES"/>
        </w:rPr>
        <w:t>En la presente Recomendación se detallan las características técnicas de un sistema de intercambio de datos en ondas métricas que integra las funciones de intercambio de datos en ondas métricas, mensajes específicos de aplicación y sistema de identificación automático (AIS) en la banda atribuida al servicio móvil marítimo de ondas métricas (156,025</w:t>
      </w:r>
      <w:r w:rsidRPr="00F9410F">
        <w:rPr>
          <w:szCs w:val="24"/>
          <w:lang w:val="es-ES"/>
        </w:rPr>
        <w:noBreakHyphen/>
        <w:t xml:space="preserve">162,025 MHz). </w:t>
      </w:r>
    </w:p>
    <w:p w:rsidR="00C00643" w:rsidRPr="00F9410F" w:rsidRDefault="00C00643" w:rsidP="00C00643">
      <w:pPr>
        <w:rPr>
          <w:lang w:val="es-ES" w:eastAsia="ja-JP"/>
        </w:rPr>
      </w:pPr>
      <w:r w:rsidRPr="00F9410F">
        <w:rPr>
          <w:lang w:val="es-ES" w:eastAsia="ja-JP"/>
        </w:rPr>
        <w:t>En la reunión de la Comisión de Estudio 5 de julio de 2015, una administración se opuso a este proyecto de nueva Recomendación, relativa al punto 1.16 del orden del día de la CMR-15, en los siguientes términos:</w:t>
      </w:r>
    </w:p>
    <w:p w:rsidR="00C00643" w:rsidRPr="00F9410F" w:rsidRDefault="00C00643" w:rsidP="00C00643">
      <w:pPr>
        <w:ind w:left="567" w:right="567"/>
        <w:rPr>
          <w:szCs w:val="24"/>
          <w:lang w:val="es-ES"/>
        </w:rPr>
      </w:pPr>
      <w:r w:rsidRPr="00F9410F">
        <w:rPr>
          <w:spacing w:val="-4"/>
          <w:szCs w:val="24"/>
          <w:lang w:val="es-ES"/>
        </w:rPr>
        <w:t>La Federación de Rusia declara que el proyecto de nueva Recomendación UIT</w:t>
      </w:r>
      <w:r w:rsidRPr="00F9410F">
        <w:rPr>
          <w:szCs w:val="24"/>
          <w:lang w:val="es-ES"/>
        </w:rPr>
        <w:t>-R M.[VDES] se ha elaborado para un nuevo sistema de intercambio de datos en ondas métricas que integra las funciones de intercambio de datos en ondas métricas, mensajes específicos de aplicación y sistema de identificación automático (AIS) en la banda atribuida al servicio móvil marítimo de ondas métricas (156,025-162,025 MHz). En la parte relativa al intercambio de datos en ondas métricas se propone utilizar ambos segmentos (marítimos) terrenales en bandas de frecuencia ya atribuidas e iden</w:t>
      </w:r>
      <w:r>
        <w:rPr>
          <w:szCs w:val="24"/>
          <w:lang w:val="es-ES"/>
        </w:rPr>
        <w:t>ti</w:t>
      </w:r>
      <w:r w:rsidRPr="00F9410F">
        <w:rPr>
          <w:szCs w:val="24"/>
          <w:lang w:val="es-ES"/>
        </w:rPr>
        <w:t xml:space="preserve">ficadas y en el segmento de satélite. La identificación de canales para la parte de satélite del intercambio de datos en ondas métricas debería llevarse a cabo en la atribución al servicio móvil (marítimo) por satélite, que todavía está a la espera de una decisión de la CMR-15. Por este motivo, la aprobación de esta Recomendación prejuzgará el resultado de la CMR-15 respecto del punto 1.16 del orden del día y debería posponerse hasta la próxima reunión de la CE 5, teniendo en cuenta el resultado de la CMR-15. </w:t>
      </w:r>
    </w:p>
    <w:p w:rsidR="00C00643" w:rsidRPr="00F9410F" w:rsidRDefault="00C00643" w:rsidP="00C00643">
      <w:pPr>
        <w:rPr>
          <w:lang w:val="es-ES" w:eastAsia="ja-JP"/>
        </w:rPr>
      </w:pPr>
      <w:r w:rsidRPr="00F9410F">
        <w:rPr>
          <w:lang w:val="es-ES" w:eastAsia="ja-JP"/>
        </w:rPr>
        <w:lastRenderedPageBreak/>
        <w:t>En consecuencia, se ha trasladado el proyecto de nueva Recomendación a esta Asamblea de Radiocomunicaciones para su consideración, de acuerdo con el punto 10.2.1.2 a) de la Resolución UIT-R 1-6.</w:t>
      </w:r>
    </w:p>
    <w:p w:rsidR="00C00643" w:rsidRPr="00F9410F" w:rsidRDefault="00C00643" w:rsidP="00E20F0A">
      <w:pPr>
        <w:pStyle w:val="Heading3"/>
        <w:rPr>
          <w:lang w:val="es-ES" w:eastAsia="ja-JP"/>
        </w:rPr>
      </w:pPr>
      <w:r w:rsidRPr="00F9410F">
        <w:rPr>
          <w:lang w:val="es-ES" w:eastAsia="ja-JP"/>
        </w:rPr>
        <w:t>2.2.4</w:t>
      </w:r>
      <w:r w:rsidRPr="00F9410F">
        <w:rPr>
          <w:lang w:val="es-ES" w:eastAsia="ja-JP"/>
        </w:rPr>
        <w:tab/>
        <w:t>Documento</w:t>
      </w:r>
      <w:r w:rsidRPr="00F9410F">
        <w:rPr>
          <w:lang w:val="es-ES"/>
        </w:rPr>
        <w:t xml:space="preserve"> </w:t>
      </w:r>
      <w:hyperlink r:id="rId12" w:history="1">
        <w:r w:rsidRPr="00F9410F">
          <w:rPr>
            <w:rStyle w:val="Hyperlink"/>
            <w:lang w:val="es-ES" w:eastAsia="ja-JP"/>
          </w:rPr>
          <w:t>5/1008</w:t>
        </w:r>
      </w:hyperlink>
      <w:r w:rsidRPr="00F9410F">
        <w:rPr>
          <w:lang w:val="es-ES" w:eastAsia="ja-JP"/>
        </w:rPr>
        <w:t xml:space="preserve"> (GT 5D): </w:t>
      </w:r>
      <w:r w:rsidR="00E20F0A">
        <w:rPr>
          <w:lang w:val="es-ES" w:eastAsia="ja-JP"/>
        </w:rPr>
        <w:t>P</w:t>
      </w:r>
      <w:r w:rsidRPr="00F9410F">
        <w:rPr>
          <w:lang w:val="es-ES" w:eastAsia="ja-JP"/>
        </w:rPr>
        <w:t xml:space="preserve">royecto de revisión de la Recomendación UIT-R </w:t>
      </w:r>
      <w:r w:rsidRPr="00F9410F">
        <w:rPr>
          <w:lang w:val="es-ES"/>
        </w:rPr>
        <w:t>M.1036</w:t>
      </w:r>
      <w:r w:rsidRPr="00F9410F">
        <w:rPr>
          <w:lang w:val="es-ES" w:eastAsia="ja-JP"/>
        </w:rPr>
        <w:t xml:space="preserve"> </w:t>
      </w:r>
      <w:r w:rsidR="00E20F0A">
        <w:rPr>
          <w:lang w:val="es-ES" w:eastAsia="ja-JP"/>
        </w:rPr>
        <w:t>–</w:t>
      </w:r>
      <w:r w:rsidRPr="00F9410F">
        <w:rPr>
          <w:lang w:val="es-ES" w:eastAsia="ja-JP"/>
        </w:rPr>
        <w:t xml:space="preserve"> </w:t>
      </w:r>
      <w:r w:rsidRPr="00F9410F">
        <w:rPr>
          <w:lang w:val="es-ES"/>
        </w:rPr>
        <w:t>Disposiciones de frecuencias para la implementación de la componente terrenal de las telecomunicaciones móviles internacionales (IMT) en las bandas identificadas en el Reglamento de Radiocomunicaciones (RR) para las IMT</w:t>
      </w:r>
    </w:p>
    <w:p w:rsidR="00C00643" w:rsidRPr="00F9410F" w:rsidRDefault="00C00643" w:rsidP="00C00643">
      <w:pPr>
        <w:rPr>
          <w:szCs w:val="16"/>
          <w:lang w:val="es-ES" w:eastAsia="ja-JP"/>
        </w:rPr>
      </w:pPr>
      <w:r w:rsidRPr="00F9410F">
        <w:rPr>
          <w:lang w:val="es-ES"/>
        </w:rPr>
        <w:t>Esta Recomendación proporciona directrices sobre la selección de disposiciones de frecuencias de transmisión y recepción aplicables a la componente terrenal de los sistemas IMT, así como sobre las propias disposiciones</w:t>
      </w:r>
      <w:r w:rsidRPr="00F9410F">
        <w:rPr>
          <w:rFonts w:eastAsia="Batang"/>
          <w:szCs w:val="16"/>
          <w:lang w:val="es-ES"/>
        </w:rPr>
        <w:t xml:space="preserve">, en las bandas identificadas en el RR para las IMT. </w:t>
      </w:r>
    </w:p>
    <w:p w:rsidR="00C00643" w:rsidRPr="00F9410F" w:rsidRDefault="00C00643" w:rsidP="004F3A6C">
      <w:pPr>
        <w:suppressAutoHyphens/>
        <w:rPr>
          <w:rFonts w:eastAsia="Batang"/>
          <w:i/>
          <w:iCs/>
          <w:lang w:val="es-ES"/>
        </w:rPr>
      </w:pPr>
      <w:r w:rsidRPr="00F9410F">
        <w:rPr>
          <w:rFonts w:eastAsia="Batang"/>
          <w:bCs/>
          <w:iCs/>
          <w:lang w:val="es-ES"/>
        </w:rPr>
        <w:t>En el presente proyecto de revisión se han revisado las disposiciones de fr</w:t>
      </w:r>
      <w:r w:rsidR="004F3A6C">
        <w:rPr>
          <w:rFonts w:eastAsia="Batang"/>
          <w:bCs/>
          <w:iCs/>
          <w:lang w:val="es-ES"/>
        </w:rPr>
        <w:t>ecuencias para las bandas de la</w:t>
      </w:r>
      <w:r w:rsidRPr="00F9410F">
        <w:rPr>
          <w:rFonts w:eastAsia="Batang"/>
          <w:bCs/>
          <w:iCs/>
          <w:lang w:val="es-ES"/>
        </w:rPr>
        <w:t xml:space="preserve"> secci</w:t>
      </w:r>
      <w:r w:rsidR="004F3A6C">
        <w:rPr>
          <w:rFonts w:eastAsia="Batang"/>
          <w:bCs/>
          <w:iCs/>
          <w:lang w:val="es-ES"/>
        </w:rPr>
        <w:t>ón</w:t>
      </w:r>
      <w:r w:rsidRPr="00F9410F">
        <w:rPr>
          <w:rFonts w:eastAsia="Batang"/>
          <w:bCs/>
          <w:iCs/>
          <w:lang w:val="es-ES"/>
        </w:rPr>
        <w:t xml:space="preserve"> 1</w:t>
      </w:r>
      <w:r w:rsidRPr="00F9410F">
        <w:rPr>
          <w:bCs/>
          <w:iCs/>
          <w:lang w:val="es-ES" w:eastAsia="ja-JP"/>
        </w:rPr>
        <w:t xml:space="preserve"> (450-470 MHz)</w:t>
      </w:r>
      <w:r w:rsidRPr="00F9410F">
        <w:rPr>
          <w:rFonts w:eastAsia="Batang"/>
          <w:bCs/>
          <w:iCs/>
          <w:lang w:val="es-ES"/>
        </w:rPr>
        <w:t xml:space="preserve">, </w:t>
      </w:r>
      <w:r w:rsidR="004F3A6C">
        <w:rPr>
          <w:rFonts w:eastAsia="Batang"/>
          <w:bCs/>
          <w:iCs/>
          <w:lang w:val="es-ES"/>
        </w:rPr>
        <w:t xml:space="preserve">sección </w:t>
      </w:r>
      <w:r w:rsidRPr="00F9410F">
        <w:rPr>
          <w:rFonts w:eastAsia="Batang"/>
          <w:bCs/>
          <w:iCs/>
          <w:lang w:val="es-ES"/>
        </w:rPr>
        <w:t xml:space="preserve">2 </w:t>
      </w:r>
      <w:r w:rsidRPr="00F9410F">
        <w:rPr>
          <w:bCs/>
          <w:iCs/>
          <w:lang w:val="es-ES" w:eastAsia="ja-JP"/>
        </w:rPr>
        <w:t xml:space="preserve">(694-960 MHz) </w:t>
      </w:r>
      <w:r w:rsidRPr="00F9410F">
        <w:rPr>
          <w:rFonts w:eastAsia="Batang"/>
          <w:bCs/>
          <w:iCs/>
          <w:lang w:val="es-ES"/>
        </w:rPr>
        <w:t xml:space="preserve">y </w:t>
      </w:r>
      <w:r w:rsidR="004F3A6C">
        <w:rPr>
          <w:rFonts w:eastAsia="Batang"/>
          <w:bCs/>
          <w:iCs/>
          <w:lang w:val="es-ES"/>
        </w:rPr>
        <w:t>sección </w:t>
      </w:r>
      <w:r w:rsidRPr="00F9410F">
        <w:rPr>
          <w:rFonts w:eastAsia="Batang"/>
          <w:bCs/>
          <w:iCs/>
          <w:lang w:val="es-ES"/>
        </w:rPr>
        <w:t xml:space="preserve">3 </w:t>
      </w:r>
      <w:r w:rsidRPr="00F9410F">
        <w:rPr>
          <w:bCs/>
          <w:iCs/>
          <w:lang w:val="es-ES" w:eastAsia="ja-JP"/>
        </w:rPr>
        <w:t>(1 710-2 200 MHz)</w:t>
      </w:r>
      <w:r w:rsidRPr="00F9410F">
        <w:rPr>
          <w:rFonts w:eastAsia="Batang"/>
          <w:bCs/>
          <w:iCs/>
          <w:lang w:val="es-ES"/>
        </w:rPr>
        <w:t xml:space="preserve">. Se han añadido dos </w:t>
      </w:r>
      <w:r w:rsidRPr="00F9410F">
        <w:rPr>
          <w:rFonts w:eastAsia="Batang"/>
          <w:bCs/>
          <w:i/>
          <w:iCs/>
          <w:lang w:val="es-ES"/>
        </w:rPr>
        <w:t xml:space="preserve">reconociendo </w:t>
      </w:r>
      <w:r w:rsidRPr="00F9410F">
        <w:rPr>
          <w:rFonts w:eastAsia="Batang"/>
          <w:bCs/>
          <w:iCs/>
          <w:lang w:val="es-ES"/>
        </w:rPr>
        <w:t>a fin de tener en cuenta las componentes terrenal y de satélite de los sistemas IMT en algunas de las bandas incluidas.</w:t>
      </w:r>
    </w:p>
    <w:p w:rsidR="00C00643" w:rsidRPr="00F9410F" w:rsidRDefault="00C00643" w:rsidP="00C00643">
      <w:pPr>
        <w:rPr>
          <w:lang w:val="es-ES" w:eastAsia="ja-JP"/>
        </w:rPr>
      </w:pPr>
      <w:r w:rsidRPr="00F9410F">
        <w:rPr>
          <w:lang w:val="es-ES" w:eastAsia="ja-JP"/>
        </w:rPr>
        <w:t xml:space="preserve">En la reunión de la Comisión de Estudio 5, celebrada en julio de 2015, dos administraciones formularon objeciones respecto del proyecto de revisión de la Recomendación, mientras que otras se mostraron a favor de aprobarlo. </w:t>
      </w:r>
    </w:p>
    <w:p w:rsidR="00C00643" w:rsidRPr="00F9410F" w:rsidRDefault="00C00643" w:rsidP="00C00643">
      <w:pPr>
        <w:rPr>
          <w:lang w:val="es-ES" w:eastAsia="ja-JP"/>
        </w:rPr>
      </w:pPr>
      <w:r w:rsidRPr="00F9410F">
        <w:rPr>
          <w:lang w:val="es-ES" w:eastAsia="ja-JP"/>
        </w:rPr>
        <w:t xml:space="preserve">En el Documento 5/1008 se resume la discusión del proyecto de revisión durante la reunión de la Comisión de Estudio 5 y el texto de la objeción (véase también el </w:t>
      </w:r>
      <w:hyperlink r:id="rId13" w:history="1">
        <w:r w:rsidRPr="00F9410F">
          <w:rPr>
            <w:rStyle w:val="Hyperlink"/>
            <w:lang w:val="es-ES" w:eastAsia="ja-JP"/>
          </w:rPr>
          <w:t>Documento 5/270</w:t>
        </w:r>
      </w:hyperlink>
      <w:r w:rsidRPr="00F9410F">
        <w:rPr>
          <w:lang w:val="es-ES" w:eastAsia="ja-JP"/>
        </w:rPr>
        <w:t>: Resumen de los debates de la reunión de la Comisión de Estudio 5 celebrada en julio de 2015).</w:t>
      </w:r>
    </w:p>
    <w:p w:rsidR="00C00643" w:rsidRPr="00F9410F" w:rsidRDefault="00C00643" w:rsidP="00A243FF">
      <w:pPr>
        <w:rPr>
          <w:lang w:val="es-ES" w:eastAsia="ja-JP"/>
        </w:rPr>
      </w:pPr>
      <w:r w:rsidRPr="00F9410F">
        <w:rPr>
          <w:lang w:val="es-ES" w:eastAsia="ja-JP"/>
        </w:rPr>
        <w:t xml:space="preserve">Durante la reunión se señaló que el proyecto de revisión incluía, en su sección 2 </w:t>
      </w:r>
      <w:r w:rsidRPr="00F9410F">
        <w:rPr>
          <w:bCs/>
          <w:iCs/>
          <w:lang w:val="es-ES" w:eastAsia="ja-JP"/>
        </w:rPr>
        <w:t>(694</w:t>
      </w:r>
      <w:r w:rsidRPr="00F9410F">
        <w:rPr>
          <w:bCs/>
          <w:iCs/>
          <w:lang w:val="es-ES" w:eastAsia="ja-JP"/>
        </w:rPr>
        <w:noBreakHyphen/>
        <w:t xml:space="preserve">960 MHz), </w:t>
      </w:r>
      <w:r w:rsidRPr="00F9410F">
        <w:rPr>
          <w:lang w:val="es-ES" w:eastAsia="ja-JP"/>
        </w:rPr>
        <w:t>elementos pertinentes para el punto 1.2 del orden del día de la CMR-15. En consecuencia, se ha trasladado a esta Asamblea de Radiocomunicaciones para su consideración, de acuerdo con el punto</w:t>
      </w:r>
      <w:r w:rsidR="00A243FF">
        <w:rPr>
          <w:lang w:val="es-ES" w:eastAsia="ja-JP"/>
        </w:rPr>
        <w:t> </w:t>
      </w:r>
      <w:r w:rsidRPr="00F9410F">
        <w:rPr>
          <w:lang w:val="es-ES" w:eastAsia="ja-JP"/>
        </w:rPr>
        <w:t>10.2.1.2 a) de la Resolución UIT-R 1-6.</w:t>
      </w:r>
    </w:p>
    <w:p w:rsidR="00C00643" w:rsidRPr="00F9410F" w:rsidRDefault="00C00643" w:rsidP="004F3A6C">
      <w:pPr>
        <w:pStyle w:val="Heading3"/>
        <w:rPr>
          <w:lang w:val="es-ES" w:eastAsia="ja-JP"/>
        </w:rPr>
      </w:pPr>
      <w:r w:rsidRPr="00F9410F">
        <w:rPr>
          <w:lang w:val="es-ES" w:eastAsia="ja-JP"/>
        </w:rPr>
        <w:t>2.2.5</w:t>
      </w:r>
      <w:r w:rsidRPr="00F9410F">
        <w:rPr>
          <w:lang w:val="es-ES" w:eastAsia="ja-JP"/>
        </w:rPr>
        <w:tab/>
        <w:t>Documento</w:t>
      </w:r>
      <w:r w:rsidRPr="00F9410F">
        <w:rPr>
          <w:lang w:val="es-ES"/>
        </w:rPr>
        <w:t xml:space="preserve"> </w:t>
      </w:r>
      <w:hyperlink r:id="rId14" w:history="1">
        <w:r w:rsidRPr="00F9410F">
          <w:rPr>
            <w:rStyle w:val="Hyperlink"/>
            <w:lang w:val="es-ES" w:eastAsia="ja-JP"/>
          </w:rPr>
          <w:t>5/1009</w:t>
        </w:r>
      </w:hyperlink>
      <w:r w:rsidRPr="00F9410F">
        <w:rPr>
          <w:lang w:val="es-ES" w:eastAsia="ja-JP"/>
        </w:rPr>
        <w:t xml:space="preserve"> (GT 5D): </w:t>
      </w:r>
      <w:r w:rsidR="004F3A6C">
        <w:rPr>
          <w:lang w:val="es-ES" w:eastAsia="ja-JP"/>
        </w:rPr>
        <w:t>P</w:t>
      </w:r>
      <w:r w:rsidRPr="00F9410F">
        <w:rPr>
          <w:lang w:val="es-ES" w:eastAsia="ja-JP"/>
        </w:rPr>
        <w:t xml:space="preserve">royecto de nueva Recomendación UIT-R </w:t>
      </w:r>
      <w:r w:rsidRPr="00F9410F">
        <w:rPr>
          <w:lang w:val="es-ES"/>
        </w:rPr>
        <w:t>M.[BSMS700]</w:t>
      </w:r>
      <w:r w:rsidRPr="00F9410F">
        <w:rPr>
          <w:lang w:val="es-ES" w:eastAsia="ja-JP"/>
        </w:rPr>
        <w:t xml:space="preserve"> </w:t>
      </w:r>
      <w:r w:rsidR="004F3A6C">
        <w:rPr>
          <w:lang w:val="es-ES" w:eastAsia="ja-JP"/>
        </w:rPr>
        <w:t>–</w:t>
      </w:r>
      <w:r w:rsidRPr="00F9410F">
        <w:rPr>
          <w:lang w:val="es-ES" w:eastAsia="ja-JP"/>
        </w:rPr>
        <w:t xml:space="preserve"> </w:t>
      </w:r>
      <w:r w:rsidRPr="00F9410F">
        <w:rPr>
          <w:color w:val="000000"/>
          <w:lang w:val="es-ES"/>
        </w:rPr>
        <w:t>Límite de emisiones fuera de banda específico de las estaciones móviles IMT que funcionan en la banda de frecuencias 694-790 MHz para la protección de los servicios existentes en la Región 1 en la banda de frecuencias inferior a 694 MHz</w:t>
      </w:r>
    </w:p>
    <w:p w:rsidR="00C00643" w:rsidRPr="00F9410F" w:rsidRDefault="00C00643" w:rsidP="000D1CE2">
      <w:pPr>
        <w:rPr>
          <w:szCs w:val="24"/>
          <w:lang w:val="es-ES"/>
        </w:rPr>
      </w:pPr>
      <w:r w:rsidRPr="00F9410F">
        <w:rPr>
          <w:szCs w:val="24"/>
          <w:lang w:val="es-ES" w:eastAsia="ja-JP"/>
        </w:rPr>
        <w:t xml:space="preserve">La presente Recomendación proporciona directrices </w:t>
      </w:r>
      <w:r w:rsidRPr="00F9410F">
        <w:rPr>
          <w:color w:val="000000"/>
          <w:lang w:val="es-ES"/>
        </w:rPr>
        <w:t>a las administraciones sobre el nivel específico de emisiones fuera de banda (OOBE) de las estaciones móviles IMT que funcionan en la banda de frecuencias 694-790 MHz para la banda de frecuencias por debajo de 694 MHz (la banda 470</w:t>
      </w:r>
      <w:r w:rsidR="000D1CE2">
        <w:rPr>
          <w:color w:val="000000"/>
          <w:lang w:val="es-ES"/>
        </w:rPr>
        <w:noBreakHyphen/>
      </w:r>
      <w:r w:rsidRPr="00F9410F">
        <w:rPr>
          <w:color w:val="000000"/>
          <w:lang w:val="es-ES"/>
        </w:rPr>
        <w:t>694</w:t>
      </w:r>
      <w:r w:rsidR="000D1CE2">
        <w:rPr>
          <w:color w:val="000000"/>
          <w:lang w:val="es-ES"/>
        </w:rPr>
        <w:t> </w:t>
      </w:r>
      <w:r w:rsidRPr="00F9410F">
        <w:rPr>
          <w:color w:val="000000"/>
          <w:lang w:val="es-ES"/>
        </w:rPr>
        <w:t>MHz) en la Región 1 para la protección de los servicios existentes</w:t>
      </w:r>
      <w:r w:rsidRPr="00F9410F">
        <w:rPr>
          <w:szCs w:val="24"/>
          <w:lang w:val="es-ES"/>
        </w:rPr>
        <w:t>.</w:t>
      </w:r>
    </w:p>
    <w:p w:rsidR="00C00643" w:rsidRPr="00F9410F" w:rsidRDefault="00C00643" w:rsidP="000D1CE2">
      <w:pPr>
        <w:rPr>
          <w:lang w:val="es-ES" w:eastAsia="ja-JP"/>
        </w:rPr>
      </w:pPr>
      <w:r w:rsidRPr="00F9410F">
        <w:rPr>
          <w:lang w:val="es-ES" w:eastAsia="ja-JP"/>
        </w:rPr>
        <w:t>En la reunión de la Comisión de Estudio 5, celebrada en julio de 2015, tres administraciones se opusieron al proyecto de nueva Recomendación, relativa al punto 1.2 del orden del día de la CMR</w:t>
      </w:r>
      <w:r w:rsidR="000D1CE2">
        <w:rPr>
          <w:lang w:val="es-ES" w:eastAsia="ja-JP"/>
        </w:rPr>
        <w:noBreakHyphen/>
      </w:r>
      <w:r w:rsidRPr="00F9410F">
        <w:rPr>
          <w:lang w:val="es-ES" w:eastAsia="ja-JP"/>
        </w:rPr>
        <w:t xml:space="preserve">15, mientras que otras administraciones se mostraron a favor de aprobarlo. </w:t>
      </w:r>
    </w:p>
    <w:p w:rsidR="00C00643" w:rsidRPr="00F9410F" w:rsidRDefault="00C00643" w:rsidP="00C00643">
      <w:pPr>
        <w:rPr>
          <w:lang w:val="es-ES" w:eastAsia="ja-JP"/>
        </w:rPr>
      </w:pPr>
      <w:r w:rsidRPr="00F9410F">
        <w:rPr>
          <w:lang w:val="es-ES" w:eastAsia="ja-JP"/>
        </w:rPr>
        <w:t xml:space="preserve">En el Documento 5/1009 se resume la discusión del proyecto de revisión en la reunión de la Comisión de Estudio 5 y el texto de la objeción (véase también el </w:t>
      </w:r>
      <w:hyperlink r:id="rId15" w:history="1">
        <w:r w:rsidRPr="00F9410F">
          <w:rPr>
            <w:rStyle w:val="Hyperlink"/>
            <w:lang w:val="es-ES" w:eastAsia="ja-JP"/>
          </w:rPr>
          <w:t>Documento 5/270</w:t>
        </w:r>
      </w:hyperlink>
      <w:r w:rsidRPr="00F9410F">
        <w:rPr>
          <w:lang w:val="es-ES" w:eastAsia="ja-JP"/>
        </w:rPr>
        <w:t>: Resumen de los debates de la reunión de la Comisión de Estudio 5 celebrada en julio de 2015).</w:t>
      </w:r>
    </w:p>
    <w:p w:rsidR="00C00643" w:rsidRPr="00F9410F" w:rsidRDefault="00C00643" w:rsidP="004F3A6C">
      <w:pPr>
        <w:rPr>
          <w:lang w:val="es-ES" w:eastAsia="ja-JP"/>
        </w:rPr>
      </w:pPr>
      <w:r w:rsidRPr="00F9410F">
        <w:rPr>
          <w:lang w:val="es-ES" w:eastAsia="ja-JP"/>
        </w:rPr>
        <w:t xml:space="preserve">Al igual que en el caso anterior, durante la reunión se señaló que este proyecto de nueva </w:t>
      </w:r>
      <w:r w:rsidR="004F3A6C">
        <w:rPr>
          <w:lang w:val="es-ES" w:eastAsia="ja-JP"/>
        </w:rPr>
        <w:t>R</w:t>
      </w:r>
      <w:r w:rsidRPr="00F9410F">
        <w:rPr>
          <w:lang w:val="es-ES" w:eastAsia="ja-JP"/>
        </w:rPr>
        <w:t>ecomendación era pertinente para el punto 1.2 del orden del día de la CMR-15. En consecuencia, se ha trasladado a esta Asamblea de Radiocomunicaciones para su consideración, de acuerdo con el punto 10.2.1.2 a) de la Resolución UIT-R 1-6.</w:t>
      </w:r>
    </w:p>
    <w:p w:rsidR="00C00643" w:rsidRPr="00F9410F" w:rsidRDefault="00C00643" w:rsidP="00C00643">
      <w:pPr>
        <w:pStyle w:val="Heading2"/>
        <w:rPr>
          <w:lang w:val="es-ES"/>
        </w:rPr>
      </w:pPr>
      <w:r w:rsidRPr="00F9410F">
        <w:rPr>
          <w:lang w:val="es-ES" w:eastAsia="ja-JP"/>
        </w:rPr>
        <w:lastRenderedPageBreak/>
        <w:t>2</w:t>
      </w:r>
      <w:r w:rsidRPr="00F9410F">
        <w:rPr>
          <w:lang w:val="es-ES"/>
        </w:rPr>
        <w:t>.</w:t>
      </w:r>
      <w:r w:rsidRPr="00F9410F">
        <w:rPr>
          <w:lang w:val="es-ES" w:eastAsia="ja-JP"/>
        </w:rPr>
        <w:t>3</w:t>
      </w:r>
      <w:r w:rsidRPr="00F9410F">
        <w:rPr>
          <w:lang w:val="es-ES"/>
        </w:rPr>
        <w:tab/>
        <w:t>Elaboración de Informes nuevos/revisados</w:t>
      </w:r>
    </w:p>
    <w:p w:rsidR="00C00643" w:rsidRPr="00F9410F" w:rsidRDefault="00C00643" w:rsidP="00C00643">
      <w:pPr>
        <w:rPr>
          <w:lang w:val="es-ES" w:eastAsia="ja-JP"/>
        </w:rPr>
      </w:pPr>
      <w:r w:rsidRPr="00F9410F">
        <w:rPr>
          <w:lang w:val="es-ES"/>
        </w:rPr>
        <w:t xml:space="preserve">La Comisión de Estudio 5 ha aprobado </w:t>
      </w:r>
      <w:r w:rsidRPr="00F9410F">
        <w:rPr>
          <w:lang w:val="es-ES" w:eastAsia="ja-JP"/>
        </w:rPr>
        <w:t>59</w:t>
      </w:r>
      <w:r w:rsidRPr="00F9410F">
        <w:rPr>
          <w:lang w:val="es-ES"/>
        </w:rPr>
        <w:t xml:space="preserve"> proyectos de Informes (</w:t>
      </w:r>
      <w:r w:rsidRPr="00F9410F">
        <w:rPr>
          <w:lang w:val="es-ES" w:eastAsia="ja-JP"/>
        </w:rPr>
        <w:t>52</w:t>
      </w:r>
      <w:r w:rsidRPr="00F9410F">
        <w:rPr>
          <w:lang w:val="es-ES"/>
        </w:rPr>
        <w:t xml:space="preserve"> nuevos y </w:t>
      </w:r>
      <w:r w:rsidRPr="00F9410F">
        <w:rPr>
          <w:lang w:val="es-ES" w:eastAsia="ja-JP"/>
        </w:rPr>
        <w:t>7</w:t>
      </w:r>
      <w:r w:rsidRPr="00F9410F">
        <w:rPr>
          <w:lang w:val="es-ES"/>
        </w:rPr>
        <w:t xml:space="preserve"> revisados), como se indica en el Cuadro A2</w:t>
      </w:r>
      <w:r w:rsidRPr="00F9410F">
        <w:rPr>
          <w:lang w:val="es-ES"/>
        </w:rPr>
        <w:noBreakHyphen/>
        <w:t>4 del Anexo 2</w:t>
      </w:r>
      <w:r w:rsidRPr="00F9410F">
        <w:rPr>
          <w:lang w:val="es-ES" w:eastAsia="ja-JP"/>
        </w:rPr>
        <w:t xml:space="preserve">. Muchos de ellos se han basado en los trabajos relacionados con la Conferencia, incluidos los elaborados por el </w:t>
      </w:r>
      <w:r w:rsidRPr="00F9410F">
        <w:rPr>
          <w:lang w:val="es-ES"/>
        </w:rPr>
        <w:t>Grupo Mixto de Tareas Especiales </w:t>
      </w:r>
      <w:r w:rsidRPr="00F9410F">
        <w:rPr>
          <w:lang w:val="es-ES" w:eastAsia="ja-JP"/>
        </w:rPr>
        <w:t>4-5-6-7.</w:t>
      </w:r>
      <w:r w:rsidRPr="00F9410F">
        <w:rPr>
          <w:lang w:val="es-ES"/>
        </w:rPr>
        <w:t xml:space="preserve"> </w:t>
      </w:r>
    </w:p>
    <w:p w:rsidR="00C00643" w:rsidRPr="00F9410F" w:rsidRDefault="00C00643" w:rsidP="00C00643">
      <w:pPr>
        <w:pStyle w:val="Heading2"/>
        <w:rPr>
          <w:lang w:val="es-ES" w:eastAsia="ja-JP"/>
        </w:rPr>
      </w:pPr>
      <w:r w:rsidRPr="00F9410F">
        <w:rPr>
          <w:lang w:val="es-ES" w:eastAsia="ja-JP"/>
        </w:rPr>
        <w:t>2.4</w:t>
      </w:r>
      <w:r w:rsidRPr="00F9410F">
        <w:rPr>
          <w:lang w:val="es-ES" w:eastAsia="ja-JP"/>
        </w:rPr>
        <w:tab/>
      </w:r>
      <w:r w:rsidRPr="00F9410F">
        <w:rPr>
          <w:lang w:val="es-ES"/>
        </w:rPr>
        <w:t>Revisión de las Resoluciones del UIT</w:t>
      </w:r>
      <w:r w:rsidRPr="00F9410F">
        <w:rPr>
          <w:lang w:val="es-ES"/>
        </w:rPr>
        <w:noBreakHyphen/>
        <w:t>R de interés específico para la Comisión de Estudio 5</w:t>
      </w:r>
    </w:p>
    <w:p w:rsidR="00C00643" w:rsidRPr="00F9410F" w:rsidRDefault="00C00643" w:rsidP="00C00643">
      <w:pPr>
        <w:rPr>
          <w:lang w:val="es-ES" w:eastAsia="ja-JP"/>
        </w:rPr>
      </w:pPr>
      <w:r w:rsidRPr="00F9410F">
        <w:rPr>
          <w:lang w:val="es-ES"/>
        </w:rPr>
        <w:t>La Comisión de Estudio 5 llevó a cabo la revisión de las Resoluciones del UIT</w:t>
      </w:r>
      <w:r w:rsidRPr="00F9410F">
        <w:rPr>
          <w:lang w:val="es-ES"/>
        </w:rPr>
        <w:noBreakHyphen/>
        <w:t>R relativas a los sistemas IMT. Dado que el ámbito de aplicación de las Resoluciones abarca las componentes terrenal y de satélite de las IMT, esta labor la llevaron a cabo conjuntamente los Grupos de Trabajo interesados de las Comisiones de Estudio 4 y 5</w:t>
      </w:r>
      <w:r w:rsidRPr="00F9410F">
        <w:rPr>
          <w:lang w:val="es-ES" w:eastAsia="ja-JP"/>
        </w:rPr>
        <w:t>.</w:t>
      </w:r>
    </w:p>
    <w:p w:rsidR="00C00643" w:rsidRPr="00F9410F" w:rsidRDefault="00C00643" w:rsidP="00C00643">
      <w:pPr>
        <w:rPr>
          <w:lang w:val="es-ES" w:eastAsia="ja-JP"/>
        </w:rPr>
      </w:pPr>
      <w:r w:rsidRPr="00F9410F">
        <w:rPr>
          <w:lang w:val="es-ES" w:eastAsia="ja-JP"/>
        </w:rPr>
        <w:t xml:space="preserve">En el Documento </w:t>
      </w:r>
      <w:hyperlink r:id="rId16" w:history="1">
        <w:r w:rsidRPr="00F9410F">
          <w:rPr>
            <w:rStyle w:val="Hyperlink"/>
            <w:lang w:val="es-ES" w:eastAsia="ja-JP"/>
          </w:rPr>
          <w:t>5/1004</w:t>
        </w:r>
      </w:hyperlink>
      <w:r w:rsidRPr="00F9410F">
        <w:rPr>
          <w:lang w:val="es-ES" w:eastAsia="ja-JP"/>
        </w:rPr>
        <w:t xml:space="preserve"> figuran los proyectos de revisión de las Resoluciones UIT</w:t>
      </w:r>
      <w:r w:rsidRPr="00F9410F">
        <w:rPr>
          <w:lang w:val="es-ES" w:eastAsia="ja-JP"/>
        </w:rPr>
        <w:noBreakHyphen/>
        <w:t>R 50-2 y UIT</w:t>
      </w:r>
      <w:r w:rsidRPr="00F9410F">
        <w:rPr>
          <w:lang w:val="es-ES" w:eastAsia="ja-JP"/>
        </w:rPr>
        <w:noBreakHyphen/>
        <w:t>R 56-1 y un proyecto de nueva Resolución UIT</w:t>
      </w:r>
      <w:r w:rsidRPr="00F9410F">
        <w:rPr>
          <w:lang w:val="es-ES" w:eastAsia="ja-JP"/>
        </w:rPr>
        <w:noBreakHyphen/>
        <w:t xml:space="preserve">R </w:t>
      </w:r>
      <w:r w:rsidRPr="00F9410F">
        <w:rPr>
          <w:bCs/>
          <w:lang w:val="es-ES" w:eastAsia="ja-JP"/>
        </w:rPr>
        <w:t>[IMT.PRINCIPLES]</w:t>
      </w:r>
      <w:r w:rsidRPr="00F9410F">
        <w:rPr>
          <w:lang w:val="es-ES" w:eastAsia="ja-JP"/>
        </w:rPr>
        <w:t xml:space="preserve">. </w:t>
      </w:r>
    </w:p>
    <w:p w:rsidR="00C00643" w:rsidRPr="00F9410F" w:rsidRDefault="00C00643" w:rsidP="00A243FF">
      <w:pPr>
        <w:rPr>
          <w:lang w:val="es-ES" w:eastAsia="ja-JP"/>
        </w:rPr>
      </w:pPr>
      <w:r w:rsidRPr="00F9410F">
        <w:rPr>
          <w:lang w:val="es-ES" w:eastAsia="ja-JP"/>
        </w:rPr>
        <w:t>La Comisión de Estudio 5 ha propuesto suprimir la Resolución UIT</w:t>
      </w:r>
      <w:r w:rsidRPr="00F9410F">
        <w:rPr>
          <w:lang w:val="es-ES" w:eastAsia="ja-JP"/>
        </w:rPr>
        <w:noBreakHyphen/>
        <w:t xml:space="preserve">R 17-2 </w:t>
      </w:r>
      <w:r w:rsidR="00FE0686">
        <w:rPr>
          <w:lang w:val="es-ES" w:eastAsia="ja-JP"/>
        </w:rPr>
        <w:t>«</w:t>
      </w:r>
      <w:r w:rsidRPr="00F9410F">
        <w:rPr>
          <w:color w:val="000000"/>
          <w:lang w:val="es-ES"/>
        </w:rPr>
        <w:t>Integración de las Telecomunicaciones Móviles Internacionales (IMT-2000 e IMT-Avanzadas) en las redes existentes</w:t>
      </w:r>
      <w:r w:rsidR="00FE0686">
        <w:rPr>
          <w:lang w:val="es-ES" w:eastAsia="ja-JP"/>
        </w:rPr>
        <w:t>»</w:t>
      </w:r>
      <w:r w:rsidRPr="00F9410F">
        <w:rPr>
          <w:lang w:val="es-ES" w:eastAsia="ja-JP"/>
        </w:rPr>
        <w:t xml:space="preserve"> dado que ha quedado obsoleta. La propuesta de supresión también se aborda en el Documento </w:t>
      </w:r>
      <w:hyperlink r:id="rId17" w:history="1">
        <w:r w:rsidR="00A243FF" w:rsidRPr="00A243FF">
          <w:rPr>
            <w:rStyle w:val="Hyperlink"/>
            <w:lang w:eastAsia="ja-JP"/>
          </w:rPr>
          <w:t>5/1004</w:t>
        </w:r>
      </w:hyperlink>
      <w:r w:rsidRPr="00F9410F">
        <w:rPr>
          <w:lang w:val="es-ES" w:eastAsia="ja-JP"/>
        </w:rPr>
        <w:t>.</w:t>
      </w:r>
    </w:p>
    <w:p w:rsidR="00C00643" w:rsidRPr="00F9410F" w:rsidRDefault="00C00643" w:rsidP="00C00643">
      <w:pPr>
        <w:pStyle w:val="Heading2"/>
        <w:rPr>
          <w:lang w:val="es-ES"/>
        </w:rPr>
      </w:pPr>
      <w:r w:rsidRPr="00F9410F">
        <w:rPr>
          <w:lang w:val="es-ES" w:eastAsia="ja-JP"/>
        </w:rPr>
        <w:t>2</w:t>
      </w:r>
      <w:r w:rsidRPr="00F9410F">
        <w:rPr>
          <w:lang w:val="es-ES"/>
        </w:rPr>
        <w:t>.</w:t>
      </w:r>
      <w:r w:rsidRPr="00F9410F">
        <w:rPr>
          <w:lang w:val="es-ES" w:eastAsia="ja-JP"/>
        </w:rPr>
        <w:t>5</w:t>
      </w:r>
      <w:r w:rsidRPr="00F9410F">
        <w:rPr>
          <w:lang w:val="es-ES"/>
        </w:rPr>
        <w:tab/>
        <w:t>Revisión de las Cuestiones</w:t>
      </w:r>
    </w:p>
    <w:p w:rsidR="00C00643" w:rsidRPr="00F9410F" w:rsidRDefault="00C00643" w:rsidP="00A243FF">
      <w:pPr>
        <w:rPr>
          <w:lang w:val="es-ES" w:eastAsia="ja-JP"/>
        </w:rPr>
      </w:pPr>
      <w:r w:rsidRPr="00F9410F">
        <w:rPr>
          <w:lang w:val="es-ES"/>
        </w:rPr>
        <w:t>Durante el presente periodo de estudios, los Grupos de Trabajo han procedido al examen de las Cuestiones, de conformidad con lo estipulado en la Resolución UIT</w:t>
      </w:r>
      <w:r w:rsidRPr="00F9410F">
        <w:rPr>
          <w:lang w:val="es-ES"/>
        </w:rPr>
        <w:noBreakHyphen/>
        <w:t>R 5</w:t>
      </w:r>
      <w:r w:rsidRPr="00F9410F">
        <w:rPr>
          <w:lang w:val="es-ES"/>
        </w:rPr>
        <w:noBreakHyphen/>
        <w:t>5. Fruto de esa labor ha sido la supresión o la revisión de un gran número de Cuestiones</w:t>
      </w:r>
      <w:r w:rsidRPr="00F9410F">
        <w:rPr>
          <w:lang w:val="es-ES" w:eastAsia="ja-JP"/>
        </w:rPr>
        <w:t xml:space="preserve">, </w:t>
      </w:r>
      <w:r w:rsidRPr="00F9410F">
        <w:rPr>
          <w:lang w:val="es-ES"/>
        </w:rPr>
        <w:t xml:space="preserve">como se indica en los Cuadros </w:t>
      </w:r>
      <w:r w:rsidRPr="00F9410F">
        <w:rPr>
          <w:lang w:val="es-ES" w:eastAsia="ja-JP"/>
        </w:rPr>
        <w:t>A2</w:t>
      </w:r>
      <w:r w:rsidR="00A243FF">
        <w:rPr>
          <w:lang w:val="es-ES" w:eastAsia="ja-JP"/>
        </w:rPr>
        <w:noBreakHyphen/>
      </w:r>
      <w:r w:rsidRPr="00F9410F">
        <w:rPr>
          <w:lang w:val="es-ES" w:eastAsia="ja-JP"/>
        </w:rPr>
        <w:t>6 y A2-7</w:t>
      </w:r>
      <w:r w:rsidRPr="00F9410F">
        <w:rPr>
          <w:lang w:val="es-ES"/>
        </w:rPr>
        <w:t xml:space="preserve"> del Anexo  2</w:t>
      </w:r>
      <w:r w:rsidRPr="00F9410F">
        <w:rPr>
          <w:lang w:val="es-ES" w:eastAsia="ja-JP"/>
        </w:rPr>
        <w:t>.</w:t>
      </w:r>
    </w:p>
    <w:p w:rsidR="00C00643" w:rsidRPr="00F9410F" w:rsidRDefault="00C00643" w:rsidP="00C00643">
      <w:pPr>
        <w:rPr>
          <w:szCs w:val="24"/>
          <w:lang w:val="es-ES" w:eastAsia="ja-JP"/>
        </w:rPr>
      </w:pPr>
      <w:r w:rsidRPr="00F9410F">
        <w:rPr>
          <w:szCs w:val="24"/>
          <w:lang w:val="es-ES" w:eastAsia="ja-JP"/>
        </w:rPr>
        <w:t xml:space="preserve">En el Documento </w:t>
      </w:r>
      <w:hyperlink r:id="rId18" w:history="1">
        <w:r w:rsidRPr="00F9410F">
          <w:rPr>
            <w:rStyle w:val="Hyperlink"/>
            <w:szCs w:val="24"/>
            <w:lang w:val="es-ES" w:eastAsia="ja-JP"/>
          </w:rPr>
          <w:t>5/1003</w:t>
        </w:r>
      </w:hyperlink>
      <w:r w:rsidRPr="00F9410F">
        <w:rPr>
          <w:szCs w:val="24"/>
          <w:lang w:val="es-ES" w:eastAsia="ja-JP"/>
        </w:rPr>
        <w:t xml:space="preserve"> </w:t>
      </w:r>
      <w:r w:rsidRPr="00F9410F">
        <w:rPr>
          <w:lang w:val="es-ES"/>
        </w:rPr>
        <w:t>se detalla la situación de las Cuestiones asignadas a la Comisión de Estudio 5</w:t>
      </w:r>
      <w:r w:rsidRPr="00F9410F">
        <w:rPr>
          <w:szCs w:val="24"/>
          <w:lang w:val="es-ES" w:eastAsia="ja-JP"/>
        </w:rPr>
        <w:t>.</w:t>
      </w:r>
    </w:p>
    <w:p w:rsidR="00C00643" w:rsidRPr="00F9410F" w:rsidRDefault="00C00643" w:rsidP="00C00643">
      <w:pPr>
        <w:pStyle w:val="Heading1"/>
        <w:rPr>
          <w:lang w:val="es-ES"/>
        </w:rPr>
      </w:pPr>
      <w:r w:rsidRPr="00F9410F">
        <w:rPr>
          <w:lang w:val="es-ES"/>
        </w:rPr>
        <w:t>3</w:t>
      </w:r>
      <w:r w:rsidRPr="00F9410F">
        <w:rPr>
          <w:lang w:val="es-ES"/>
        </w:rPr>
        <w:tab/>
        <w:t>Trabajos de la Comisión de Estudio 5 relativos a la CMR</w:t>
      </w:r>
    </w:p>
    <w:p w:rsidR="00C00643" w:rsidRPr="00F9410F" w:rsidRDefault="00C00643" w:rsidP="00C00643">
      <w:pPr>
        <w:rPr>
          <w:lang w:val="es-ES" w:eastAsia="ja-JP"/>
        </w:rPr>
      </w:pPr>
      <w:r w:rsidRPr="00F9410F">
        <w:rPr>
          <w:lang w:val="es-ES"/>
        </w:rPr>
        <w:t>En la RPC1</w:t>
      </w:r>
      <w:r w:rsidRPr="00F9410F">
        <w:rPr>
          <w:lang w:val="es-ES" w:eastAsia="ja-JP"/>
        </w:rPr>
        <w:t>5</w:t>
      </w:r>
      <w:r w:rsidRPr="00F9410F">
        <w:rPr>
          <w:lang w:val="es-ES"/>
        </w:rPr>
        <w:t>-1, celebrada en febrero de 20</w:t>
      </w:r>
      <w:r w:rsidRPr="00F9410F">
        <w:rPr>
          <w:lang w:val="es-ES" w:eastAsia="ja-JP"/>
        </w:rPr>
        <w:t>12,</w:t>
      </w:r>
      <w:r w:rsidRPr="00F9410F">
        <w:rPr>
          <w:lang w:val="es-ES"/>
        </w:rPr>
        <w:t xml:space="preserve"> se organizaron los estudios preparatorios de los puntos del orden del día de la CMR</w:t>
      </w:r>
      <w:r w:rsidRPr="00F9410F">
        <w:rPr>
          <w:lang w:val="es-ES"/>
        </w:rPr>
        <w:noBreakHyphen/>
        <w:t>1</w:t>
      </w:r>
      <w:r w:rsidRPr="00F9410F">
        <w:rPr>
          <w:lang w:val="es-ES" w:eastAsia="ja-JP"/>
        </w:rPr>
        <w:t>5</w:t>
      </w:r>
      <w:r w:rsidRPr="00F9410F">
        <w:rPr>
          <w:lang w:val="es-ES"/>
        </w:rPr>
        <w:t xml:space="preserve">. </w:t>
      </w:r>
      <w:r w:rsidRPr="00F9410F">
        <w:rPr>
          <w:lang w:val="es-ES" w:eastAsia="ja-JP"/>
        </w:rPr>
        <w:t xml:space="preserve">Muchos trabajos se asignaron a los Grupos de Trabajo de la Comisión de Estudio 5 en cuanto que grupo responsable de varios puntos del orden del día o interesado en ellos (véase el Cuadro A2-10 del Anexo 2). </w:t>
      </w:r>
    </w:p>
    <w:p w:rsidR="00C00643" w:rsidRPr="00F9410F" w:rsidRDefault="00C00643" w:rsidP="00C00643">
      <w:pPr>
        <w:rPr>
          <w:lang w:val="es-ES" w:eastAsia="ja-JP"/>
        </w:rPr>
      </w:pPr>
      <w:r w:rsidRPr="00F9410F">
        <w:rPr>
          <w:lang w:val="es-ES" w:eastAsia="ja-JP"/>
        </w:rPr>
        <w:t xml:space="preserve">Los grupos responsables (GT 5A y GT 5B) elaboraron con éxito el texto del proyecto de Informe de la RPC en las reuniones que mantuvieron en mayo de 2014, en el plazo señalado por el equipo de gestión de la RPC. </w:t>
      </w:r>
    </w:p>
    <w:p w:rsidR="00C00643" w:rsidRPr="00F9410F" w:rsidRDefault="00C00643" w:rsidP="00C00643">
      <w:pPr>
        <w:rPr>
          <w:lang w:val="es-ES"/>
        </w:rPr>
      </w:pPr>
      <w:r w:rsidRPr="00F9410F">
        <w:rPr>
          <w:lang w:val="es-ES" w:eastAsia="ja-JP"/>
        </w:rPr>
        <w:t>Además, los Grupos de Trabajo han concluido la elaboración de las Recomendaciones/Informes del UIT-R conexos coincidiendo con el fin de sus reuniones de julio de 2015. En las secciones 4.1.3, 4.2.3, 4.3.3 y 4.4.3 siguientes se detallan los trabajos efectuados por los Grupos de Trabajo pertinentes.</w:t>
      </w:r>
    </w:p>
    <w:p w:rsidR="00C00643" w:rsidRPr="00F9410F" w:rsidRDefault="00C00643" w:rsidP="00C00643">
      <w:pPr>
        <w:pStyle w:val="Heading1"/>
        <w:rPr>
          <w:lang w:val="es-ES"/>
        </w:rPr>
      </w:pPr>
      <w:r w:rsidRPr="00F9410F">
        <w:rPr>
          <w:lang w:val="es-ES"/>
        </w:rPr>
        <w:lastRenderedPageBreak/>
        <w:t>4</w:t>
      </w:r>
      <w:r w:rsidRPr="00F9410F">
        <w:rPr>
          <w:lang w:val="es-ES"/>
        </w:rPr>
        <w:tab/>
        <w:t>Actividades de los Grupos de Trabajo</w:t>
      </w:r>
    </w:p>
    <w:p w:rsidR="00C00643" w:rsidRPr="00F9410F" w:rsidRDefault="00C00643" w:rsidP="00C00643">
      <w:pPr>
        <w:pStyle w:val="Heading2"/>
        <w:rPr>
          <w:lang w:val="es-ES" w:eastAsia="ja-JP"/>
        </w:rPr>
      </w:pPr>
      <w:r w:rsidRPr="00F9410F">
        <w:rPr>
          <w:lang w:val="es-ES"/>
        </w:rPr>
        <w:t>4.1</w:t>
      </w:r>
      <w:r w:rsidRPr="00F9410F">
        <w:rPr>
          <w:lang w:val="es-ES"/>
        </w:rPr>
        <w:tab/>
        <w:t>Grupo de Trabajo 5A</w:t>
      </w:r>
    </w:p>
    <w:p w:rsidR="00C00643" w:rsidRPr="00F9410F" w:rsidRDefault="00C00643" w:rsidP="00C00643">
      <w:pPr>
        <w:pStyle w:val="Heading3"/>
        <w:rPr>
          <w:lang w:val="es-ES" w:eastAsia="ja-JP"/>
        </w:rPr>
      </w:pPr>
      <w:r w:rsidRPr="00F9410F">
        <w:rPr>
          <w:lang w:val="es-ES" w:eastAsia="ja-JP"/>
        </w:rPr>
        <w:t>4.1.1</w:t>
      </w:r>
      <w:r w:rsidRPr="00F9410F">
        <w:rPr>
          <w:lang w:val="es-ES"/>
        </w:rPr>
        <w:tab/>
        <w:t>Reuniones y estructura de los trabajos</w:t>
      </w:r>
    </w:p>
    <w:p w:rsidR="00C00643" w:rsidRPr="00F9410F" w:rsidRDefault="00C00643" w:rsidP="00C00643">
      <w:pPr>
        <w:rPr>
          <w:lang w:val="es-ES" w:eastAsia="ja-JP"/>
        </w:rPr>
      </w:pPr>
      <w:r w:rsidRPr="00F9410F">
        <w:rPr>
          <w:lang w:val="es-ES"/>
        </w:rPr>
        <w:t xml:space="preserve">El Grupo de Trabajo 5A ha celebrado </w:t>
      </w:r>
      <w:r w:rsidRPr="00F9410F">
        <w:rPr>
          <w:lang w:val="es-ES" w:eastAsia="ja-JP"/>
        </w:rPr>
        <w:t>siete</w:t>
      </w:r>
      <w:r w:rsidRPr="00F9410F">
        <w:rPr>
          <w:lang w:val="es-ES"/>
        </w:rPr>
        <w:t xml:space="preserve"> reuniones, tal y como se indica en el Cuadro </w:t>
      </w:r>
      <w:r w:rsidRPr="00F9410F">
        <w:rPr>
          <w:lang w:val="es-ES" w:eastAsia="ja-JP"/>
        </w:rPr>
        <w:t>A1-2 del Anexo 1. Presidió todas las reuniones e</w:t>
      </w:r>
      <w:r w:rsidRPr="00F9410F">
        <w:rPr>
          <w:lang w:val="es-ES"/>
        </w:rPr>
        <w:t>l Sr. José Costa (Canadá), Presidente del Grupo de Trabajo 5A.</w:t>
      </w:r>
    </w:p>
    <w:p w:rsidR="00C00643" w:rsidRPr="00F9410F" w:rsidRDefault="00C00643" w:rsidP="00C00643">
      <w:pPr>
        <w:rPr>
          <w:lang w:val="es-ES"/>
        </w:rPr>
      </w:pPr>
      <w:r w:rsidRPr="00F9410F">
        <w:rPr>
          <w:lang w:val="es-ES"/>
        </w:rPr>
        <w:t xml:space="preserve">Por lo general, el Grupo de Trabajo 5A ha establecido varios Grupos de Trabajo para llevar a cabo las tareas que le han sido encomendadas. </w:t>
      </w:r>
      <w:r w:rsidRPr="00F9410F">
        <w:rPr>
          <w:lang w:val="es-ES" w:eastAsia="ja-JP"/>
        </w:rPr>
        <w:t xml:space="preserve">En el presente ciclo de estudios, </w:t>
      </w:r>
      <w:r w:rsidRPr="00F9410F">
        <w:rPr>
          <w:lang w:val="es-ES"/>
        </w:rPr>
        <w:t>se ha adoptado la siguiente estructura de Grupos de Trabajo:</w:t>
      </w:r>
    </w:p>
    <w:p w:rsidR="00C00643" w:rsidRPr="00F9410F" w:rsidRDefault="00C00643" w:rsidP="00C00643">
      <w:pPr>
        <w:pStyle w:val="enumlev1"/>
        <w:rPr>
          <w:lang w:val="es-ES"/>
        </w:rPr>
      </w:pPr>
      <w:r w:rsidRPr="00F9410F">
        <w:rPr>
          <w:lang w:val="es-ES"/>
        </w:rPr>
        <w:t>−</w:t>
      </w:r>
      <w:r w:rsidRPr="00F9410F">
        <w:rPr>
          <w:lang w:val="es-ES"/>
        </w:rPr>
        <w:tab/>
        <w:t>GT 5A1: Servicio de aficionados.</w:t>
      </w:r>
    </w:p>
    <w:p w:rsidR="00C00643" w:rsidRPr="00F9410F" w:rsidRDefault="00C00643" w:rsidP="00C00643">
      <w:pPr>
        <w:pStyle w:val="enumlev1"/>
        <w:rPr>
          <w:lang w:val="es-ES" w:eastAsia="ja-JP"/>
        </w:rPr>
      </w:pPr>
      <w:r w:rsidRPr="00F9410F">
        <w:rPr>
          <w:lang w:val="es-ES"/>
        </w:rPr>
        <w:t>−</w:t>
      </w:r>
      <w:r w:rsidRPr="00F9410F">
        <w:rPr>
          <w:lang w:val="es-ES"/>
        </w:rPr>
        <w:tab/>
        <w:t>GT 5A2: Sistemas y normas.</w:t>
      </w:r>
    </w:p>
    <w:p w:rsidR="00C00643" w:rsidRPr="00F9410F" w:rsidRDefault="00C00643" w:rsidP="00C00643">
      <w:pPr>
        <w:pStyle w:val="enumlev1"/>
        <w:rPr>
          <w:lang w:val="es-ES" w:eastAsia="ja-JP"/>
        </w:rPr>
      </w:pPr>
      <w:r w:rsidRPr="00F9410F">
        <w:rPr>
          <w:lang w:val="es-ES"/>
        </w:rPr>
        <w:t>−</w:t>
      </w:r>
      <w:r w:rsidRPr="00F9410F">
        <w:rPr>
          <w:lang w:val="es-ES"/>
        </w:rPr>
        <w:tab/>
        <w:t>GT 5A</w:t>
      </w:r>
      <w:r w:rsidRPr="00F9410F">
        <w:rPr>
          <w:lang w:val="es-ES" w:eastAsia="ja-JP"/>
        </w:rPr>
        <w:t>3</w:t>
      </w:r>
      <w:r w:rsidRPr="00F9410F">
        <w:rPr>
          <w:lang w:val="es-ES"/>
        </w:rPr>
        <w:t>: Protección pública y operaciones de socorro en caso de catástrofe (PPDR</w:t>
      </w:r>
      <w:r w:rsidRPr="00F9410F">
        <w:rPr>
          <w:lang w:val="es-ES" w:eastAsia="ja-JP"/>
        </w:rPr>
        <w:t>)</w:t>
      </w:r>
      <w:r w:rsidRPr="00F9410F">
        <w:rPr>
          <w:lang w:val="es-ES"/>
        </w:rPr>
        <w:t>.</w:t>
      </w:r>
    </w:p>
    <w:p w:rsidR="00C00643" w:rsidRPr="00F9410F" w:rsidRDefault="00C00643" w:rsidP="00C00643">
      <w:pPr>
        <w:pStyle w:val="enumlev1"/>
        <w:keepNext/>
        <w:keepLines/>
        <w:rPr>
          <w:lang w:val="es-ES"/>
        </w:rPr>
      </w:pPr>
      <w:r w:rsidRPr="00F9410F">
        <w:rPr>
          <w:lang w:val="es-ES"/>
        </w:rPr>
        <w:t>−</w:t>
      </w:r>
      <w:r w:rsidRPr="00F9410F">
        <w:rPr>
          <w:lang w:val="es-ES"/>
        </w:rPr>
        <w:tab/>
        <w:t>GT 5A4: Interferencia y compartición.</w:t>
      </w:r>
    </w:p>
    <w:p w:rsidR="00C00643" w:rsidRPr="00F9410F" w:rsidRDefault="00C00643" w:rsidP="00C00643">
      <w:pPr>
        <w:pStyle w:val="enumlev1"/>
        <w:rPr>
          <w:lang w:val="es-ES"/>
        </w:rPr>
      </w:pPr>
      <w:r w:rsidRPr="00F9410F">
        <w:rPr>
          <w:lang w:val="es-ES"/>
        </w:rPr>
        <w:t>−</w:t>
      </w:r>
      <w:r w:rsidRPr="00F9410F">
        <w:rPr>
          <w:lang w:val="es-ES"/>
        </w:rPr>
        <w:tab/>
        <w:t>GT 5A5: Nuevas tecnologías.</w:t>
      </w:r>
    </w:p>
    <w:p w:rsidR="00C00643" w:rsidRPr="00F9410F" w:rsidRDefault="00C00643" w:rsidP="00C00643">
      <w:pPr>
        <w:rPr>
          <w:lang w:val="es-ES" w:eastAsia="ja-JP"/>
        </w:rPr>
      </w:pPr>
      <w:r w:rsidRPr="00F9410F">
        <w:rPr>
          <w:lang w:val="es-ES"/>
        </w:rPr>
        <w:t>Por otro lado, se han creado Grupos ad hoc y Grupos por Correspondencia, en función de las necesidades, para abordar temas específicos (como el Grupo por Correspondencia sobre cobertura local).</w:t>
      </w:r>
    </w:p>
    <w:p w:rsidR="00C00643" w:rsidRPr="00F9410F" w:rsidRDefault="00C00643" w:rsidP="00C00643">
      <w:pPr>
        <w:pStyle w:val="Heading3"/>
        <w:rPr>
          <w:lang w:val="es-ES"/>
        </w:rPr>
      </w:pPr>
      <w:r w:rsidRPr="00F9410F">
        <w:rPr>
          <w:lang w:val="es-ES" w:eastAsia="ja-JP"/>
        </w:rPr>
        <w:t>4.1.2</w:t>
      </w:r>
      <w:r w:rsidRPr="00F9410F">
        <w:rPr>
          <w:lang w:val="es-ES"/>
        </w:rPr>
        <w:tab/>
        <w:t>Resultados específicos</w:t>
      </w:r>
    </w:p>
    <w:p w:rsidR="00C00643" w:rsidRPr="00F9410F" w:rsidRDefault="00C00643" w:rsidP="00C00643">
      <w:pPr>
        <w:rPr>
          <w:lang w:val="es-ES"/>
        </w:rPr>
      </w:pPr>
      <w:r w:rsidRPr="00F9410F">
        <w:rPr>
          <w:lang w:val="es-ES"/>
        </w:rPr>
        <w:t xml:space="preserve">Durante el presente periodo de estudios, se ha prestado en todo momento una gran atención a la actividad del Grupo de Trabajo 5A, que se hace eco de los últimos avances tecnológicos en la esfera de las tecnologías y las aplicaciones del servicio móvil terrestre. Entre las esferas de las tecnologías del servicio móvil terrestre cabe destacar los sistemas de radiocomunicaciones inteligentes </w:t>
      </w:r>
      <w:r w:rsidRPr="00F9410F">
        <w:rPr>
          <w:lang w:val="es-ES" w:eastAsia="ja-JP"/>
        </w:rPr>
        <w:t xml:space="preserve">(CRS), </w:t>
      </w:r>
      <w:r w:rsidRPr="00F9410F">
        <w:rPr>
          <w:lang w:val="es-ES"/>
        </w:rPr>
        <w:t>los sistemas de transporte inteligentes (ITS), los sistemas de acceso inalámbrico de banda ancha (BWA) para cobertura local y los sistemas inalámbricos de múltiples gigabits (MGWS). Dichos estudios han permitido elaborar un gran número de proyectos de Recomendaciones nuevas o revisadas y sus Informes correspondientes.</w:t>
      </w:r>
    </w:p>
    <w:p w:rsidR="00C00643" w:rsidRPr="00F9410F" w:rsidRDefault="00C00643" w:rsidP="000D1CE2">
      <w:pPr>
        <w:rPr>
          <w:lang w:val="es-ES" w:eastAsia="ja-JP"/>
        </w:rPr>
      </w:pPr>
      <w:r w:rsidRPr="00F9410F">
        <w:rPr>
          <w:szCs w:val="24"/>
          <w:lang w:val="es-ES" w:eastAsia="ja-JP"/>
        </w:rPr>
        <w:t xml:space="preserve">En respuesta a la Resolución </w:t>
      </w:r>
      <w:r w:rsidRPr="00F9410F">
        <w:rPr>
          <w:szCs w:val="24"/>
          <w:lang w:val="es-ES"/>
        </w:rPr>
        <w:t>175 (</w:t>
      </w:r>
      <w:r w:rsidRPr="00F9410F">
        <w:rPr>
          <w:lang w:val="es-ES"/>
        </w:rPr>
        <w:t>Rev.</w:t>
      </w:r>
      <w:r w:rsidRPr="00F9410F">
        <w:rPr>
          <w:rFonts w:eastAsia="Calibri" w:cs="Calibri"/>
          <w:lang w:val="es-ES"/>
        </w:rPr>
        <w:t> </w:t>
      </w:r>
      <w:r w:rsidRPr="00F9410F">
        <w:rPr>
          <w:lang w:val="es-ES"/>
        </w:rPr>
        <w:t>Busán, 2014</w:t>
      </w:r>
      <w:r w:rsidRPr="00F9410F">
        <w:rPr>
          <w:szCs w:val="24"/>
          <w:lang w:val="es-ES"/>
        </w:rPr>
        <w:t xml:space="preserve">) de la Conferencia de Plenipotenciarios para que la UIT tenga en cuenta en su labor a las personas con discapacidad, el Grupo de Trabajo </w:t>
      </w:r>
      <w:r w:rsidRPr="00F9410F">
        <w:rPr>
          <w:szCs w:val="24"/>
          <w:lang w:val="es-ES" w:eastAsia="ja-JP"/>
        </w:rPr>
        <w:t xml:space="preserve">5A ha elaborado una nueva Cuestión UIT-R 254/5 </w:t>
      </w:r>
      <w:r w:rsidR="00FE0686">
        <w:rPr>
          <w:szCs w:val="24"/>
          <w:lang w:val="es-ES" w:eastAsia="ja-JP"/>
        </w:rPr>
        <w:t>«</w:t>
      </w:r>
      <w:r w:rsidRPr="00A243FF">
        <w:t>Explotación de un sistema de acceso público de radiocomunicaciones de corto alcance que sirva de soporte para los sistemas de ayuda a la audición</w:t>
      </w:r>
      <w:r w:rsidR="00FE0686">
        <w:rPr>
          <w:rFonts w:asciiTheme="majorBidi" w:hAnsiTheme="majorBidi" w:cstheme="majorBidi"/>
          <w:lang w:val="es-ES" w:eastAsia="ja-JP"/>
        </w:rPr>
        <w:t>»</w:t>
      </w:r>
      <w:r w:rsidRPr="00F9410F">
        <w:rPr>
          <w:rFonts w:asciiTheme="majorBidi" w:hAnsiTheme="majorBidi" w:cstheme="majorBidi"/>
          <w:lang w:val="es-ES" w:eastAsia="ja-JP"/>
        </w:rPr>
        <w:t>, y una Recomendación revisada UIT-R M.1076-0, en colaboración con el grupo correspondiente del UIT</w:t>
      </w:r>
      <w:r w:rsidR="000D1CE2">
        <w:rPr>
          <w:rFonts w:asciiTheme="majorBidi" w:hAnsiTheme="majorBidi" w:cstheme="majorBidi"/>
          <w:lang w:val="es-ES" w:eastAsia="ja-JP"/>
        </w:rPr>
        <w:noBreakHyphen/>
      </w:r>
      <w:r w:rsidRPr="00F9410F">
        <w:rPr>
          <w:rFonts w:asciiTheme="majorBidi" w:hAnsiTheme="majorBidi" w:cstheme="majorBidi"/>
          <w:lang w:val="es-ES" w:eastAsia="ja-JP"/>
        </w:rPr>
        <w:t>T.</w:t>
      </w:r>
    </w:p>
    <w:p w:rsidR="00C00643" w:rsidRPr="00F9410F" w:rsidRDefault="00C00643" w:rsidP="00C00643">
      <w:pPr>
        <w:rPr>
          <w:lang w:val="es-ES"/>
        </w:rPr>
      </w:pPr>
      <w:r w:rsidRPr="00F9410F">
        <w:rPr>
          <w:lang w:val="es-ES"/>
        </w:rPr>
        <w:t>Asimismo, el Grupo de Trabajo 5A ha elaborado un nuevo Informe UIT</w:t>
      </w:r>
      <w:r w:rsidRPr="00F9410F">
        <w:rPr>
          <w:lang w:val="es-ES"/>
        </w:rPr>
        <w:noBreakHyphen/>
        <w:t>R M.2</w:t>
      </w:r>
      <w:r w:rsidRPr="00F9410F">
        <w:rPr>
          <w:lang w:val="es-ES" w:eastAsia="ja-JP"/>
        </w:rPr>
        <w:t>330-0</w:t>
      </w:r>
      <w:r w:rsidRPr="00F9410F">
        <w:rPr>
          <w:lang w:val="es-ES"/>
        </w:rPr>
        <w:t xml:space="preserve"> sobre sistemas de radiocomunicaciones inteligentes en el servicio móvil terrestre</w:t>
      </w:r>
      <w:r w:rsidRPr="00F9410F">
        <w:rPr>
          <w:lang w:val="es-ES" w:eastAsia="ja-JP"/>
        </w:rPr>
        <w:t>, que constituye el segundo producto sobre este tipo de sistemas que se prepara en el marco de la Cuestión UIT</w:t>
      </w:r>
      <w:r w:rsidRPr="00F9410F">
        <w:rPr>
          <w:lang w:val="es-ES"/>
        </w:rPr>
        <w:noBreakHyphen/>
        <w:t xml:space="preserve">R 241/5. </w:t>
      </w:r>
    </w:p>
    <w:p w:rsidR="00C00643" w:rsidRPr="00F9410F" w:rsidRDefault="00C00643" w:rsidP="00C00643">
      <w:pPr>
        <w:rPr>
          <w:lang w:val="es-ES" w:eastAsia="ja-JP"/>
        </w:rPr>
      </w:pPr>
      <w:r w:rsidRPr="00F9410F">
        <w:rPr>
          <w:lang w:val="es-ES" w:eastAsia="ja-JP"/>
        </w:rPr>
        <w:t xml:space="preserve">En lo que respecta a las cuestiones relacionadas con la PPDR, el Grupo de Trabajo </w:t>
      </w:r>
      <w:r w:rsidRPr="00F9410F">
        <w:rPr>
          <w:lang w:val="es-ES"/>
        </w:rPr>
        <w:t>5A ha llevado a cabo los estudios de carácter general solicitados en las Resoluciones UIT</w:t>
      </w:r>
      <w:r w:rsidRPr="00F9410F">
        <w:rPr>
          <w:lang w:val="es-ES" w:eastAsia="ja-JP"/>
        </w:rPr>
        <w:t xml:space="preserve">-R 53 y UIT-R 55 o en las Resoluciones de la CMR, como la Resolución </w:t>
      </w:r>
      <w:r w:rsidRPr="00F9410F">
        <w:rPr>
          <w:b/>
          <w:lang w:val="es-ES" w:eastAsia="ja-JP"/>
        </w:rPr>
        <w:t>646</w:t>
      </w:r>
      <w:r w:rsidRPr="00F9410F">
        <w:rPr>
          <w:b/>
          <w:lang w:val="es-ES"/>
        </w:rPr>
        <w:t> (</w:t>
      </w:r>
      <w:r w:rsidRPr="00F9410F">
        <w:rPr>
          <w:b/>
          <w:lang w:val="es-ES" w:eastAsia="ja-JP"/>
        </w:rPr>
        <w:t>Rev.</w:t>
      </w:r>
      <w:r w:rsidRPr="00F9410F">
        <w:rPr>
          <w:b/>
          <w:lang w:val="es-ES"/>
        </w:rPr>
        <w:t>CMR</w:t>
      </w:r>
      <w:r w:rsidRPr="00F9410F">
        <w:rPr>
          <w:b/>
          <w:lang w:val="es-ES"/>
        </w:rPr>
        <w:noBreakHyphen/>
      </w:r>
      <w:r w:rsidRPr="00F9410F">
        <w:rPr>
          <w:b/>
          <w:lang w:val="es-ES" w:eastAsia="ja-JP"/>
        </w:rPr>
        <w:t>12</w:t>
      </w:r>
      <w:r w:rsidRPr="00F9410F">
        <w:rPr>
          <w:b/>
          <w:lang w:val="es-ES"/>
        </w:rPr>
        <w:t>)</w:t>
      </w:r>
      <w:r w:rsidRPr="00F9410F">
        <w:rPr>
          <w:lang w:val="es-ES"/>
        </w:rPr>
        <w:t>, hecho que ha desembocado en la revisión de la Recomendación UIT</w:t>
      </w:r>
      <w:r w:rsidRPr="00F9410F">
        <w:rPr>
          <w:lang w:val="es-ES" w:eastAsia="ja-JP"/>
        </w:rPr>
        <w:t xml:space="preserve">-R M.2015-0. Asimismo, también se llevaron a cabo muchos trabajos relativos a la PPDR para el punto 1.3 del orden del día de la CMR-15, tal y como se señala en la sección 4.1.3. </w:t>
      </w:r>
    </w:p>
    <w:p w:rsidR="00C00643" w:rsidRPr="00F9410F" w:rsidRDefault="00C00643" w:rsidP="00C00643">
      <w:pPr>
        <w:rPr>
          <w:lang w:val="es-ES"/>
        </w:rPr>
      </w:pPr>
      <w:r w:rsidRPr="00F9410F">
        <w:rPr>
          <w:lang w:val="es-ES"/>
        </w:rPr>
        <w:t>Los estudios sobre los servicios de aficionados han avanzado notablemente y han tenido resultados satisfactorios, incluida la elaboración de una nueva Recomendación UIT</w:t>
      </w:r>
      <w:r w:rsidRPr="00F9410F">
        <w:rPr>
          <w:lang w:val="es-ES" w:eastAsia="ja-JP"/>
        </w:rPr>
        <w:t xml:space="preserve">-R M.2034-0 y la revisión </w:t>
      </w:r>
      <w:r w:rsidRPr="00F9410F">
        <w:rPr>
          <w:lang w:val="es-ES" w:eastAsia="ja-JP"/>
        </w:rPr>
        <w:lastRenderedPageBreak/>
        <w:t>de la Recomendación UIT-R M.1544-0, así como la labor desarrollada para el punto 1.4 del orden del día de la CMR</w:t>
      </w:r>
      <w:r w:rsidRPr="00F9410F">
        <w:rPr>
          <w:lang w:val="es-ES"/>
        </w:rPr>
        <w:noBreakHyphen/>
        <w:t>1</w:t>
      </w:r>
      <w:r w:rsidRPr="00F9410F">
        <w:rPr>
          <w:lang w:val="es-ES" w:eastAsia="ja-JP"/>
        </w:rPr>
        <w:t>5</w:t>
      </w:r>
      <w:r w:rsidRPr="00F9410F">
        <w:rPr>
          <w:lang w:val="es-ES"/>
        </w:rPr>
        <w:t xml:space="preserve"> </w:t>
      </w:r>
      <w:r w:rsidRPr="00F9410F">
        <w:rPr>
          <w:lang w:val="es-ES" w:eastAsia="ja-JP"/>
        </w:rPr>
        <w:t>(véase la sección 4.1.3)</w:t>
      </w:r>
      <w:r w:rsidRPr="00F9410F">
        <w:rPr>
          <w:lang w:val="es-ES"/>
        </w:rPr>
        <w:t>.</w:t>
      </w:r>
    </w:p>
    <w:p w:rsidR="00C00643" w:rsidRPr="00F9410F" w:rsidRDefault="00C00643" w:rsidP="00C00643">
      <w:pPr>
        <w:pStyle w:val="Heading3"/>
        <w:rPr>
          <w:lang w:val="es-ES"/>
        </w:rPr>
      </w:pPr>
      <w:r w:rsidRPr="00F9410F">
        <w:rPr>
          <w:lang w:val="es-ES" w:eastAsia="ja-JP"/>
        </w:rPr>
        <w:t>4.1.3</w:t>
      </w:r>
      <w:r w:rsidRPr="00F9410F">
        <w:rPr>
          <w:lang w:val="es-ES"/>
        </w:rPr>
        <w:tab/>
        <w:t>Trabajos relativos a la preparación de la CMR</w:t>
      </w:r>
      <w:r w:rsidRPr="00F9410F">
        <w:rPr>
          <w:lang w:val="es-ES"/>
        </w:rPr>
        <w:noBreakHyphen/>
        <w:t>15</w:t>
      </w:r>
    </w:p>
    <w:p w:rsidR="00C00643" w:rsidRPr="00F9410F" w:rsidRDefault="00C00643" w:rsidP="00C00643">
      <w:pPr>
        <w:rPr>
          <w:color w:val="000080"/>
          <w:lang w:val="es-ES" w:eastAsia="ja-JP"/>
        </w:rPr>
      </w:pPr>
      <w:r w:rsidRPr="00F9410F">
        <w:rPr>
          <w:lang w:val="es-ES"/>
        </w:rPr>
        <w:t>El Grupo de Trabajo 5A ha sido designado grupo encargado de los puntos 1.3 y</w:t>
      </w:r>
      <w:r w:rsidRPr="00F9410F">
        <w:rPr>
          <w:lang w:val="es-ES" w:eastAsia="ja-JP"/>
        </w:rPr>
        <w:t xml:space="preserve"> 1.4 del orden del día y de parte del punto 1.18</w:t>
      </w:r>
      <w:r w:rsidRPr="00F9410F">
        <w:rPr>
          <w:lang w:val="es-ES"/>
        </w:rPr>
        <w:t xml:space="preserve">. Además, el GT </w:t>
      </w:r>
      <w:r w:rsidRPr="00F9410F">
        <w:rPr>
          <w:lang w:val="es-ES" w:eastAsia="ja-JP"/>
        </w:rPr>
        <w:t xml:space="preserve">5A ha sido designado grupo contribuyente en varios puntos más del orden del día. En ese sentido, el Grupo de Trabajo 5A ha elaborado las nuevas Recomendaciones e Informes que figuran en el Cuadro 1. </w:t>
      </w:r>
    </w:p>
    <w:p w:rsidR="00C00643" w:rsidRPr="00F9410F" w:rsidRDefault="00C00643" w:rsidP="00C00643">
      <w:pPr>
        <w:pStyle w:val="TableNo"/>
        <w:spacing w:before="360"/>
        <w:rPr>
          <w:lang w:val="es-ES" w:eastAsia="ja-JP"/>
        </w:rPr>
      </w:pPr>
      <w:r w:rsidRPr="00F9410F">
        <w:rPr>
          <w:lang w:val="es-ES" w:eastAsia="ja-JP"/>
        </w:rPr>
        <w:t>cuadro 1</w:t>
      </w:r>
    </w:p>
    <w:p w:rsidR="00C00643" w:rsidRPr="00F9410F" w:rsidRDefault="00C00643" w:rsidP="00C00643">
      <w:pPr>
        <w:pStyle w:val="Tabletitle"/>
        <w:rPr>
          <w:lang w:val="es-ES"/>
        </w:rPr>
      </w:pPr>
      <w:r w:rsidRPr="00F9410F">
        <w:rPr>
          <w:lang w:val="es-ES"/>
        </w:rPr>
        <w:t>Resultados del Grupo de Trabajo 5A relativos a la CMR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835"/>
        <w:gridCol w:w="5085"/>
      </w:tblGrid>
      <w:tr w:rsidR="00C00643" w:rsidRPr="00F9410F" w:rsidTr="002F1E53">
        <w:trPr>
          <w:jc w:val="center"/>
        </w:trPr>
        <w:tc>
          <w:tcPr>
            <w:tcW w:w="1402" w:type="dxa"/>
          </w:tcPr>
          <w:p w:rsidR="00C00643" w:rsidRPr="00F9410F" w:rsidRDefault="00C00643" w:rsidP="002F1E53">
            <w:pPr>
              <w:pStyle w:val="Tablehead"/>
              <w:rPr>
                <w:lang w:val="es-ES"/>
              </w:rPr>
            </w:pPr>
            <w:r w:rsidRPr="00F9410F">
              <w:rPr>
                <w:lang w:val="es-ES"/>
              </w:rPr>
              <w:t xml:space="preserve">Punto del orden del día </w:t>
            </w:r>
          </w:p>
        </w:tc>
        <w:tc>
          <w:tcPr>
            <w:tcW w:w="2835" w:type="dxa"/>
          </w:tcPr>
          <w:p w:rsidR="00C00643" w:rsidRPr="00F9410F" w:rsidRDefault="00C00643" w:rsidP="002F1E53">
            <w:pPr>
              <w:pStyle w:val="Tablehead"/>
              <w:rPr>
                <w:lang w:val="es-ES" w:eastAsia="ja-JP"/>
              </w:rPr>
            </w:pPr>
            <w:r w:rsidRPr="00F9410F">
              <w:rPr>
                <w:lang w:val="es-ES"/>
              </w:rPr>
              <w:t>Resoluciones de la CMR</w:t>
            </w:r>
          </w:p>
        </w:tc>
        <w:tc>
          <w:tcPr>
            <w:tcW w:w="5085" w:type="dxa"/>
          </w:tcPr>
          <w:p w:rsidR="00C00643" w:rsidRPr="00F9410F" w:rsidRDefault="00C00643" w:rsidP="002F1E53">
            <w:pPr>
              <w:pStyle w:val="Tablehead"/>
              <w:rPr>
                <w:lang w:val="es-ES" w:eastAsia="ja-JP"/>
              </w:rPr>
            </w:pPr>
            <w:r w:rsidRPr="00F9410F">
              <w:rPr>
                <w:lang w:val="es-ES" w:eastAsia="ja-JP"/>
              </w:rPr>
              <w:t>Recomendación e Informes conexos</w:t>
            </w:r>
          </w:p>
        </w:tc>
      </w:tr>
      <w:tr w:rsidR="00C00643" w:rsidRPr="00F9410F" w:rsidTr="002F1E53">
        <w:trPr>
          <w:jc w:val="center"/>
        </w:trPr>
        <w:tc>
          <w:tcPr>
            <w:tcW w:w="1402" w:type="dxa"/>
          </w:tcPr>
          <w:p w:rsidR="00C00643" w:rsidRPr="00F9410F" w:rsidRDefault="00C00643" w:rsidP="002F1E53">
            <w:pPr>
              <w:pStyle w:val="Tabletext"/>
              <w:jc w:val="center"/>
              <w:rPr>
                <w:lang w:val="es-ES"/>
              </w:rPr>
            </w:pPr>
            <w:r w:rsidRPr="00F9410F">
              <w:rPr>
                <w:lang w:val="es-ES"/>
              </w:rPr>
              <w:t>1. 3</w:t>
            </w:r>
          </w:p>
        </w:tc>
        <w:tc>
          <w:tcPr>
            <w:tcW w:w="2835" w:type="dxa"/>
          </w:tcPr>
          <w:p w:rsidR="00C00643" w:rsidRPr="00F9410F" w:rsidRDefault="00C00643" w:rsidP="002F1E53">
            <w:pPr>
              <w:pStyle w:val="Tabletext"/>
              <w:rPr>
                <w:b/>
                <w:lang w:val="es-ES" w:eastAsia="ja-JP"/>
              </w:rPr>
            </w:pPr>
            <w:r w:rsidRPr="00F9410F">
              <w:rPr>
                <w:lang w:val="es-ES" w:eastAsia="ja-JP"/>
              </w:rPr>
              <w:t xml:space="preserve">Resolución </w:t>
            </w:r>
            <w:r w:rsidRPr="00F9410F">
              <w:rPr>
                <w:b/>
                <w:lang w:val="es-ES" w:eastAsia="ja-JP"/>
              </w:rPr>
              <w:t>646</w:t>
            </w:r>
            <w:r w:rsidRPr="00F9410F">
              <w:rPr>
                <w:lang w:val="es-ES" w:eastAsia="ja-JP"/>
              </w:rPr>
              <w:t xml:space="preserve"> </w:t>
            </w:r>
            <w:r w:rsidRPr="00F9410F">
              <w:rPr>
                <w:b/>
                <w:lang w:val="es-ES" w:eastAsia="ja-JP"/>
              </w:rPr>
              <w:t>(</w:t>
            </w:r>
            <w:r w:rsidRPr="00F9410F">
              <w:rPr>
                <w:b/>
                <w:bCs/>
                <w:lang w:val="es-ES"/>
              </w:rPr>
              <w:t>Rev.CMR</w:t>
            </w:r>
            <w:r w:rsidRPr="00F9410F">
              <w:rPr>
                <w:b/>
                <w:bCs/>
                <w:lang w:val="es-ES"/>
              </w:rPr>
              <w:noBreakHyphen/>
              <w:t>12</w:t>
            </w:r>
            <w:r w:rsidRPr="00F9410F">
              <w:rPr>
                <w:b/>
                <w:lang w:val="es-ES" w:eastAsia="ja-JP"/>
              </w:rPr>
              <w:t>)</w:t>
            </w:r>
          </w:p>
          <w:p w:rsidR="00C00643" w:rsidRPr="00F9410F" w:rsidRDefault="00C00643" w:rsidP="002F1E53">
            <w:pPr>
              <w:pStyle w:val="Tabletext"/>
              <w:rPr>
                <w:lang w:val="es-ES"/>
              </w:rPr>
            </w:pPr>
            <w:r w:rsidRPr="00F9410F">
              <w:rPr>
                <w:lang w:val="es-ES" w:eastAsia="ja-JP"/>
              </w:rPr>
              <w:t>Resolución</w:t>
            </w:r>
            <w:r w:rsidRPr="00F9410F">
              <w:rPr>
                <w:rFonts w:ascii="Times New Roman Bold" w:hAnsi="Times New Roman Bold" w:cs="Times New Roman Bold"/>
                <w:b/>
                <w:bCs/>
                <w:lang w:val="es-ES"/>
              </w:rPr>
              <w:t xml:space="preserve"> 648 </w:t>
            </w:r>
            <w:r w:rsidRPr="00F9410F">
              <w:rPr>
                <w:b/>
                <w:bCs/>
                <w:lang w:val="es-ES" w:eastAsia="ja-JP"/>
              </w:rPr>
              <w:t>(</w:t>
            </w:r>
            <w:r w:rsidRPr="00F9410F">
              <w:rPr>
                <w:b/>
                <w:bCs/>
                <w:lang w:val="es-ES"/>
              </w:rPr>
              <w:t>CMR</w:t>
            </w:r>
            <w:r w:rsidRPr="00F9410F">
              <w:rPr>
                <w:b/>
                <w:bCs/>
                <w:lang w:val="es-ES" w:eastAsia="ja-JP"/>
              </w:rPr>
              <w:noBreakHyphen/>
              <w:t>12)</w:t>
            </w:r>
          </w:p>
        </w:tc>
        <w:tc>
          <w:tcPr>
            <w:tcW w:w="5085" w:type="dxa"/>
          </w:tcPr>
          <w:p w:rsidR="00C00643" w:rsidRPr="00F9410F" w:rsidRDefault="00C00643" w:rsidP="002F1E53">
            <w:pPr>
              <w:pStyle w:val="Tabletext"/>
              <w:rPr>
                <w:lang w:val="es-ES" w:eastAsia="ja-JP"/>
              </w:rPr>
            </w:pPr>
            <w:r w:rsidRPr="00F9410F">
              <w:rPr>
                <w:lang w:val="es-ES" w:eastAsia="ja-JP"/>
              </w:rPr>
              <w:t xml:space="preserve">Recomendación UIT-R M.2009-1 </w:t>
            </w:r>
            <w:r w:rsidRPr="00A365FB">
              <w:rPr>
                <w:vertAlign w:val="superscript"/>
              </w:rPr>
              <w:t>(*)</w:t>
            </w:r>
            <w:r w:rsidRPr="00F9410F">
              <w:rPr>
                <w:lang w:val="es-ES" w:eastAsia="ja-JP"/>
              </w:rPr>
              <w:t>,</w:t>
            </w:r>
          </w:p>
          <w:p w:rsidR="00C00643" w:rsidRPr="00F9410F" w:rsidRDefault="00C00643" w:rsidP="002F1E53">
            <w:pPr>
              <w:pStyle w:val="Tabletext"/>
              <w:rPr>
                <w:lang w:val="es-ES" w:eastAsia="ja-JP"/>
              </w:rPr>
            </w:pPr>
            <w:r w:rsidRPr="00F9410F">
              <w:rPr>
                <w:lang w:val="es-ES" w:eastAsia="ja-JP"/>
              </w:rPr>
              <w:t xml:space="preserve">Informe UIT-R M.2377 </w:t>
            </w:r>
            <w:r w:rsidRPr="00A365FB">
              <w:rPr>
                <w:vertAlign w:val="superscript"/>
              </w:rPr>
              <w:t>(**)</w:t>
            </w:r>
          </w:p>
        </w:tc>
      </w:tr>
      <w:tr w:rsidR="00C00643" w:rsidRPr="00740256" w:rsidTr="002F1E53">
        <w:trPr>
          <w:jc w:val="center"/>
        </w:trPr>
        <w:tc>
          <w:tcPr>
            <w:tcW w:w="1402" w:type="dxa"/>
          </w:tcPr>
          <w:p w:rsidR="00C00643" w:rsidRPr="00F9410F" w:rsidRDefault="00C00643" w:rsidP="002F1E53">
            <w:pPr>
              <w:pStyle w:val="Tabletext"/>
              <w:jc w:val="center"/>
              <w:rPr>
                <w:lang w:val="es-ES" w:eastAsia="ja-JP"/>
              </w:rPr>
            </w:pPr>
            <w:r w:rsidRPr="00F9410F">
              <w:rPr>
                <w:lang w:val="es-ES" w:eastAsia="ja-JP"/>
              </w:rPr>
              <w:t>1.4</w:t>
            </w:r>
          </w:p>
        </w:tc>
        <w:tc>
          <w:tcPr>
            <w:tcW w:w="2835" w:type="dxa"/>
          </w:tcPr>
          <w:p w:rsidR="00C00643" w:rsidRPr="00F9410F" w:rsidRDefault="00C00643" w:rsidP="002F1E53">
            <w:pPr>
              <w:pStyle w:val="Tabletext"/>
              <w:rPr>
                <w:lang w:val="es-ES"/>
              </w:rPr>
            </w:pPr>
            <w:r w:rsidRPr="00F9410F">
              <w:rPr>
                <w:lang w:val="es-ES" w:eastAsia="ja-JP"/>
              </w:rPr>
              <w:t>Resolución</w:t>
            </w:r>
            <w:r w:rsidRPr="00F9410F">
              <w:rPr>
                <w:rFonts w:ascii="Times New Roman Bold" w:hAnsi="Times New Roman Bold" w:cs="Times New Roman Bold"/>
                <w:b/>
                <w:bCs/>
                <w:lang w:val="es-ES"/>
              </w:rPr>
              <w:t xml:space="preserve"> 64</w:t>
            </w:r>
            <w:r w:rsidRPr="00F9410F">
              <w:rPr>
                <w:rFonts w:ascii="Times New Roman Bold" w:hAnsi="Times New Roman Bold" w:cs="Times New Roman Bold"/>
                <w:b/>
                <w:bCs/>
                <w:lang w:val="es-ES" w:eastAsia="ja-JP"/>
              </w:rPr>
              <w:t>9</w:t>
            </w:r>
            <w:r w:rsidRPr="00F9410F">
              <w:rPr>
                <w:rFonts w:ascii="Times New Roman Bold" w:hAnsi="Times New Roman Bold" w:cs="Times New Roman Bold"/>
                <w:b/>
                <w:bCs/>
                <w:lang w:val="es-ES"/>
              </w:rPr>
              <w:t xml:space="preserve"> </w:t>
            </w:r>
            <w:r w:rsidRPr="00F9410F">
              <w:rPr>
                <w:b/>
                <w:bCs/>
                <w:lang w:val="es-ES" w:eastAsia="ja-JP"/>
              </w:rPr>
              <w:t>(</w:t>
            </w:r>
            <w:r w:rsidRPr="00F9410F">
              <w:rPr>
                <w:b/>
                <w:bCs/>
                <w:lang w:val="es-ES"/>
              </w:rPr>
              <w:t>CMR</w:t>
            </w:r>
            <w:r w:rsidRPr="00F9410F">
              <w:rPr>
                <w:b/>
                <w:bCs/>
                <w:lang w:val="es-ES" w:eastAsia="ja-JP"/>
              </w:rPr>
              <w:noBreakHyphen/>
              <w:t>12)</w:t>
            </w:r>
          </w:p>
        </w:tc>
        <w:tc>
          <w:tcPr>
            <w:tcW w:w="5085" w:type="dxa"/>
          </w:tcPr>
          <w:p w:rsidR="00C00643" w:rsidRPr="00A07CD7" w:rsidRDefault="00C00643" w:rsidP="002F1E53">
            <w:pPr>
              <w:pStyle w:val="Tabletext"/>
              <w:rPr>
                <w:lang w:val="fr-CH" w:eastAsia="ja-JP"/>
              </w:rPr>
            </w:pPr>
            <w:r w:rsidRPr="00A07CD7">
              <w:rPr>
                <w:lang w:val="fr-CH" w:eastAsia="ja-JP"/>
              </w:rPr>
              <w:t>Informe UIT-R M.2281-0, Informe UIT-R M.2335-0</w:t>
            </w:r>
          </w:p>
        </w:tc>
      </w:tr>
      <w:tr w:rsidR="00C00643" w:rsidRPr="00F9410F" w:rsidTr="002F1E53">
        <w:trPr>
          <w:jc w:val="center"/>
        </w:trPr>
        <w:tc>
          <w:tcPr>
            <w:tcW w:w="1402" w:type="dxa"/>
          </w:tcPr>
          <w:p w:rsidR="00C00643" w:rsidRPr="00F9410F" w:rsidRDefault="00C00643" w:rsidP="002F1E53">
            <w:pPr>
              <w:pStyle w:val="Tabletext"/>
              <w:jc w:val="center"/>
              <w:rPr>
                <w:lang w:val="es-ES" w:eastAsia="ja-JP"/>
              </w:rPr>
            </w:pPr>
            <w:r w:rsidRPr="00F9410F">
              <w:rPr>
                <w:lang w:val="es-ES" w:eastAsia="ja-JP"/>
              </w:rPr>
              <w:t>1.6</w:t>
            </w:r>
          </w:p>
        </w:tc>
        <w:tc>
          <w:tcPr>
            <w:tcW w:w="2835" w:type="dxa"/>
          </w:tcPr>
          <w:p w:rsidR="00C00643" w:rsidRPr="00F9410F" w:rsidRDefault="00C00643" w:rsidP="002F1E53">
            <w:pPr>
              <w:pStyle w:val="Tabletext"/>
              <w:rPr>
                <w:lang w:val="es-ES" w:eastAsia="ja-JP"/>
              </w:rPr>
            </w:pPr>
            <w:r w:rsidRPr="00F9410F">
              <w:rPr>
                <w:lang w:val="es-ES" w:eastAsia="ja-JP"/>
              </w:rPr>
              <w:t xml:space="preserve">Resoluciones </w:t>
            </w:r>
            <w:r w:rsidRPr="00F9410F">
              <w:rPr>
                <w:b/>
                <w:lang w:val="es-ES" w:eastAsia="ja-JP"/>
              </w:rPr>
              <w:t>151 (</w:t>
            </w:r>
            <w:r w:rsidRPr="00F9410F">
              <w:rPr>
                <w:b/>
                <w:bCs/>
                <w:lang w:val="es-ES"/>
              </w:rPr>
              <w:t>CMR</w:t>
            </w:r>
            <w:r w:rsidRPr="00F9410F">
              <w:rPr>
                <w:b/>
                <w:lang w:val="es-ES" w:eastAsia="ja-JP"/>
              </w:rPr>
              <w:t xml:space="preserve">-12) </w:t>
            </w:r>
            <w:r w:rsidRPr="00F9410F">
              <w:rPr>
                <w:bCs/>
                <w:lang w:val="es-ES" w:eastAsia="ja-JP"/>
              </w:rPr>
              <w:t>y</w:t>
            </w:r>
            <w:r w:rsidRPr="00F9410F">
              <w:rPr>
                <w:lang w:val="es-ES" w:eastAsia="ja-JP"/>
              </w:rPr>
              <w:t xml:space="preserve"> </w:t>
            </w:r>
            <w:r w:rsidRPr="00F9410F">
              <w:rPr>
                <w:b/>
                <w:lang w:val="es-ES" w:eastAsia="ja-JP"/>
              </w:rPr>
              <w:t>152 (</w:t>
            </w:r>
            <w:r w:rsidRPr="00F9410F">
              <w:rPr>
                <w:b/>
                <w:bCs/>
                <w:lang w:val="es-ES"/>
              </w:rPr>
              <w:t>CMR</w:t>
            </w:r>
            <w:r w:rsidRPr="00F9410F">
              <w:rPr>
                <w:b/>
                <w:lang w:val="es-ES" w:eastAsia="ja-JP"/>
              </w:rPr>
              <w:t>-12)</w:t>
            </w:r>
          </w:p>
        </w:tc>
        <w:tc>
          <w:tcPr>
            <w:tcW w:w="5085" w:type="dxa"/>
          </w:tcPr>
          <w:p w:rsidR="00C00643" w:rsidRPr="00F9410F" w:rsidRDefault="00C00643" w:rsidP="002F1E53">
            <w:pPr>
              <w:pStyle w:val="Tabletext"/>
              <w:rPr>
                <w:lang w:val="es-ES" w:eastAsia="ja-JP"/>
              </w:rPr>
            </w:pPr>
            <w:r w:rsidRPr="00F9410F">
              <w:rPr>
                <w:lang w:val="es-ES" w:eastAsia="ja-JP"/>
              </w:rPr>
              <w:t>Recomendación</w:t>
            </w:r>
            <w:r w:rsidRPr="00F9410F">
              <w:rPr>
                <w:lang w:val="es-ES"/>
              </w:rPr>
              <w:t xml:space="preserve"> UIT-R M.2068-0</w:t>
            </w:r>
          </w:p>
        </w:tc>
      </w:tr>
      <w:tr w:rsidR="00C00643" w:rsidRPr="00F9410F" w:rsidTr="007366E6">
        <w:trPr>
          <w:jc w:val="center"/>
        </w:trPr>
        <w:tc>
          <w:tcPr>
            <w:tcW w:w="1402" w:type="dxa"/>
            <w:tcBorders>
              <w:bottom w:val="single" w:sz="4" w:space="0" w:color="auto"/>
            </w:tcBorders>
          </w:tcPr>
          <w:p w:rsidR="00C00643" w:rsidRPr="00F9410F" w:rsidRDefault="00C00643" w:rsidP="002F1E53">
            <w:pPr>
              <w:pStyle w:val="Tabletext"/>
              <w:jc w:val="center"/>
              <w:rPr>
                <w:lang w:val="es-ES" w:eastAsia="ja-JP"/>
              </w:rPr>
            </w:pPr>
            <w:r w:rsidRPr="00F9410F">
              <w:rPr>
                <w:lang w:val="es-ES" w:eastAsia="ja-JP"/>
              </w:rPr>
              <w:t>1.18</w:t>
            </w:r>
          </w:p>
        </w:tc>
        <w:tc>
          <w:tcPr>
            <w:tcW w:w="2835" w:type="dxa"/>
            <w:tcBorders>
              <w:bottom w:val="single" w:sz="4" w:space="0" w:color="auto"/>
            </w:tcBorders>
          </w:tcPr>
          <w:p w:rsidR="00C00643" w:rsidRPr="00F9410F" w:rsidRDefault="00C00643" w:rsidP="002F1E53">
            <w:pPr>
              <w:pStyle w:val="Tabletext"/>
              <w:rPr>
                <w:lang w:val="es-ES"/>
              </w:rPr>
            </w:pPr>
            <w:r w:rsidRPr="00F9410F">
              <w:rPr>
                <w:lang w:val="es-ES" w:eastAsia="ja-JP"/>
              </w:rPr>
              <w:t>Resolución</w:t>
            </w:r>
            <w:r w:rsidRPr="00F9410F">
              <w:rPr>
                <w:rFonts w:ascii="Times New Roman Bold" w:hAnsi="Times New Roman Bold" w:cs="Times New Roman Bold"/>
                <w:b/>
                <w:bCs/>
                <w:lang w:val="es-ES"/>
              </w:rPr>
              <w:t xml:space="preserve"> 6</w:t>
            </w:r>
            <w:r w:rsidRPr="00F9410F">
              <w:rPr>
                <w:rFonts w:ascii="Times New Roman Bold" w:hAnsi="Times New Roman Bold" w:cs="Times New Roman Bold"/>
                <w:b/>
                <w:bCs/>
                <w:lang w:val="es-ES" w:eastAsia="ja-JP"/>
              </w:rPr>
              <w:t>54</w:t>
            </w:r>
            <w:r w:rsidRPr="00F9410F">
              <w:rPr>
                <w:rFonts w:ascii="Times New Roman Bold" w:hAnsi="Times New Roman Bold" w:cs="Times New Roman Bold"/>
                <w:b/>
                <w:bCs/>
                <w:lang w:val="es-ES"/>
              </w:rPr>
              <w:t xml:space="preserve"> </w:t>
            </w:r>
            <w:r w:rsidRPr="00F9410F">
              <w:rPr>
                <w:b/>
                <w:bCs/>
                <w:lang w:val="es-ES" w:eastAsia="ja-JP"/>
              </w:rPr>
              <w:t>(</w:t>
            </w:r>
            <w:r w:rsidRPr="00F9410F">
              <w:rPr>
                <w:b/>
                <w:bCs/>
                <w:lang w:val="es-ES"/>
              </w:rPr>
              <w:t>CMR</w:t>
            </w:r>
            <w:r w:rsidRPr="00F9410F">
              <w:rPr>
                <w:b/>
                <w:bCs/>
                <w:lang w:val="es-ES" w:eastAsia="ja-JP"/>
              </w:rPr>
              <w:noBreakHyphen/>
              <w:t xml:space="preserve">12), </w:t>
            </w:r>
            <w:r w:rsidRPr="00F9410F">
              <w:rPr>
                <w:bCs/>
                <w:i/>
                <w:lang w:val="es-ES" w:eastAsia="ja-JP"/>
              </w:rPr>
              <w:t>invita al UIT-R</w:t>
            </w:r>
            <w:r w:rsidRPr="00F9410F">
              <w:rPr>
                <w:bCs/>
                <w:lang w:val="es-ES" w:eastAsia="ja-JP"/>
              </w:rPr>
              <w:t xml:space="preserve"> iii)</w:t>
            </w:r>
          </w:p>
        </w:tc>
        <w:tc>
          <w:tcPr>
            <w:tcW w:w="5085" w:type="dxa"/>
            <w:tcBorders>
              <w:bottom w:val="single" w:sz="4" w:space="0" w:color="auto"/>
            </w:tcBorders>
          </w:tcPr>
          <w:p w:rsidR="00C00643" w:rsidRPr="00F9410F" w:rsidRDefault="00C00643" w:rsidP="002F1E53">
            <w:pPr>
              <w:pStyle w:val="Tabletext"/>
              <w:rPr>
                <w:lang w:val="es-ES" w:eastAsia="ja-JP"/>
              </w:rPr>
            </w:pPr>
            <w:r w:rsidRPr="00F9410F">
              <w:rPr>
                <w:lang w:val="es-ES" w:eastAsia="ja-JP"/>
              </w:rPr>
              <w:t>Recomendación UIT-R M.2057-0</w:t>
            </w:r>
          </w:p>
        </w:tc>
      </w:tr>
      <w:tr w:rsidR="007366E6" w:rsidRPr="00F9410F" w:rsidTr="000F60BA">
        <w:trPr>
          <w:jc w:val="center"/>
        </w:trPr>
        <w:tc>
          <w:tcPr>
            <w:tcW w:w="9322" w:type="dxa"/>
            <w:gridSpan w:val="3"/>
            <w:tcBorders>
              <w:left w:val="nil"/>
              <w:bottom w:val="nil"/>
              <w:right w:val="nil"/>
            </w:tcBorders>
          </w:tcPr>
          <w:p w:rsidR="007366E6" w:rsidRPr="007366E6" w:rsidRDefault="007366E6" w:rsidP="00A365FB">
            <w:pPr>
              <w:pStyle w:val="Tablelegend"/>
              <w:rPr>
                <w:lang w:val="es-ES" w:eastAsia="ja-JP"/>
              </w:rPr>
            </w:pPr>
            <w:r w:rsidRPr="00A365FB">
              <w:rPr>
                <w:vertAlign w:val="superscript"/>
              </w:rPr>
              <w:t>(*)</w:t>
            </w:r>
            <w:r w:rsidRPr="007366E6">
              <w:rPr>
                <w:lang w:val="es-ES" w:eastAsia="ja-JP"/>
              </w:rPr>
              <w:tab/>
              <w:t xml:space="preserve">Esta Recomendación también está relacionada con el punto 1.9 </w:t>
            </w:r>
            <w:r w:rsidR="00A365FB">
              <w:rPr>
                <w:lang w:val="es-ES" w:eastAsia="ja-JP"/>
              </w:rPr>
              <w:t xml:space="preserve">del orden del día de la CMR-15 </w:t>
            </w:r>
            <w:r w:rsidRPr="007366E6">
              <w:rPr>
                <w:lang w:val="es-ES" w:eastAsia="ja-JP"/>
              </w:rPr>
              <w:t>(tema 9.1.7).</w:t>
            </w:r>
          </w:p>
          <w:p w:rsidR="007366E6" w:rsidRPr="00F9410F" w:rsidRDefault="007366E6" w:rsidP="007366E6">
            <w:pPr>
              <w:pStyle w:val="Tablelegend"/>
              <w:rPr>
                <w:lang w:val="es-ES" w:eastAsia="ja-JP"/>
              </w:rPr>
            </w:pPr>
            <w:r w:rsidRPr="00A365FB">
              <w:rPr>
                <w:vertAlign w:val="superscript"/>
                <w:lang w:val="es-ES" w:eastAsia="ja-JP"/>
              </w:rPr>
              <w:t>(**)</w:t>
            </w:r>
            <w:r w:rsidRPr="007366E6">
              <w:rPr>
                <w:lang w:val="es-ES" w:eastAsia="ja-JP"/>
              </w:rPr>
              <w:tab/>
              <w:t>Con la aprobación de este Informe, se suprimió el Informe UIT-R M.2033.</w:t>
            </w:r>
          </w:p>
        </w:tc>
      </w:tr>
    </w:tbl>
    <w:p w:rsidR="00C00643" w:rsidRPr="00F9410F" w:rsidRDefault="00C00643" w:rsidP="00C00643">
      <w:pPr>
        <w:pStyle w:val="Heading3"/>
        <w:rPr>
          <w:lang w:val="es-ES" w:eastAsia="ja-JP"/>
        </w:rPr>
      </w:pPr>
      <w:r w:rsidRPr="00F9410F">
        <w:rPr>
          <w:lang w:val="es-ES" w:eastAsia="ja-JP"/>
        </w:rPr>
        <w:t>4.1.4</w:t>
      </w:r>
      <w:r w:rsidRPr="00F9410F">
        <w:rPr>
          <w:lang w:val="es-ES"/>
        </w:rPr>
        <w:tab/>
        <w:t>Otras actividades conexas</w:t>
      </w:r>
    </w:p>
    <w:p w:rsidR="00C00643" w:rsidRPr="00F9410F" w:rsidRDefault="00C00643" w:rsidP="00C00643">
      <w:pPr>
        <w:spacing w:before="60" w:after="60"/>
        <w:rPr>
          <w:szCs w:val="24"/>
          <w:lang w:val="es-ES"/>
        </w:rPr>
      </w:pPr>
      <w:r w:rsidRPr="00F9410F">
        <w:rPr>
          <w:lang w:val="es-ES"/>
        </w:rPr>
        <w:t>Puesto que la BR ha proporcionado información actualizada sobre la situación de las actividades de socorro en caso de catástrofe con arreglo a la Resolución </w:t>
      </w:r>
      <w:r w:rsidRPr="00F9410F">
        <w:rPr>
          <w:b/>
          <w:bCs/>
          <w:lang w:val="es-ES"/>
        </w:rPr>
        <w:t xml:space="preserve"> 647 (</w:t>
      </w:r>
      <w:r w:rsidRPr="00F9410F">
        <w:rPr>
          <w:b/>
          <w:bCs/>
          <w:lang w:val="es-ES" w:eastAsia="ja-JP"/>
        </w:rPr>
        <w:t>Rev.</w:t>
      </w:r>
      <w:r w:rsidRPr="00F9410F">
        <w:rPr>
          <w:b/>
          <w:bCs/>
          <w:lang w:val="es-ES"/>
        </w:rPr>
        <w:t>CMR</w:t>
      </w:r>
      <w:r w:rsidRPr="00F9410F">
        <w:rPr>
          <w:b/>
          <w:bCs/>
          <w:lang w:val="es-ES"/>
        </w:rPr>
        <w:noBreakHyphen/>
      </w:r>
      <w:r w:rsidRPr="00F9410F">
        <w:rPr>
          <w:b/>
          <w:bCs/>
          <w:lang w:val="es-ES" w:eastAsia="ja-JP"/>
        </w:rPr>
        <w:t>12</w:t>
      </w:r>
      <w:r w:rsidRPr="00F9410F">
        <w:rPr>
          <w:b/>
          <w:bCs/>
          <w:lang w:val="es-ES"/>
        </w:rPr>
        <w:t>)</w:t>
      </w:r>
      <w:r w:rsidRPr="00F9410F">
        <w:rPr>
          <w:lang w:val="es-ES"/>
        </w:rPr>
        <w:t>, el GT 5A ha alentado a los Estados Miembros a que respondan al cuestionario, para lo cual los ha remitido a la siguiente página web:</w:t>
      </w:r>
      <w:r w:rsidRPr="00F9410F">
        <w:rPr>
          <w:szCs w:val="24"/>
          <w:lang w:val="es-ES"/>
        </w:rPr>
        <w:t xml:space="preserve"> </w:t>
      </w:r>
      <w:hyperlink r:id="rId19" w:history="1">
        <w:r w:rsidRPr="00F9410F">
          <w:rPr>
            <w:rStyle w:val="Hyperlink"/>
            <w:snapToGrid w:val="0"/>
            <w:szCs w:val="24"/>
            <w:lang w:val="es-ES"/>
          </w:rPr>
          <w:t>http://www.itu.int/ITUR/index.asp?category=information&amp;rlink=res647&amp;lang=en</w:t>
        </w:r>
      </w:hyperlink>
      <w:r w:rsidRPr="00F9410F">
        <w:rPr>
          <w:szCs w:val="24"/>
          <w:u w:val="single"/>
          <w:lang w:val="es-ES"/>
        </w:rPr>
        <w:t>.</w:t>
      </w:r>
    </w:p>
    <w:p w:rsidR="00C00643" w:rsidRPr="00F9410F" w:rsidRDefault="00C00643" w:rsidP="00C00643">
      <w:pPr>
        <w:rPr>
          <w:color w:val="000000"/>
          <w:szCs w:val="24"/>
          <w:lang w:val="es-ES" w:eastAsia="ja-JP"/>
        </w:rPr>
      </w:pPr>
      <w:r w:rsidRPr="00F9410F">
        <w:rPr>
          <w:lang w:val="es-ES" w:eastAsia="ja-JP"/>
        </w:rPr>
        <w:t xml:space="preserve">Durante el presente ciclo de estudios, el Grupo de Trabajo </w:t>
      </w:r>
      <w:r w:rsidRPr="00F9410F">
        <w:rPr>
          <w:lang w:val="es-ES"/>
        </w:rPr>
        <w:t>5A</w:t>
      </w:r>
      <w:r w:rsidRPr="00F9410F">
        <w:rPr>
          <w:color w:val="000000"/>
          <w:szCs w:val="24"/>
          <w:lang w:val="es-ES"/>
        </w:rPr>
        <w:t xml:space="preserve"> celebró los eventos siguientes a fin de facilitar sus actividades tanto en lo relativo a la elaboración de normas técnicas como a la preparación de la Conferencia</w:t>
      </w:r>
      <w:r w:rsidRPr="00F9410F">
        <w:rPr>
          <w:color w:val="000000"/>
          <w:szCs w:val="24"/>
          <w:lang w:val="es-ES" w:eastAsia="ja-JP"/>
        </w:rPr>
        <w:t>:</w:t>
      </w:r>
    </w:p>
    <w:p w:rsidR="00C00643" w:rsidRPr="00F9410F" w:rsidRDefault="00C00643" w:rsidP="00C00643">
      <w:pPr>
        <w:pStyle w:val="enumlev1"/>
        <w:rPr>
          <w:color w:val="000000"/>
          <w:lang w:val="es-ES" w:eastAsia="ja-JP"/>
        </w:rPr>
      </w:pPr>
      <w:r w:rsidRPr="00F9410F">
        <w:rPr>
          <w:lang w:val="es-ES"/>
        </w:rPr>
        <w:t>–</w:t>
      </w:r>
      <w:r w:rsidRPr="00F9410F">
        <w:rPr>
          <w:lang w:val="es-ES"/>
        </w:rPr>
        <w:tab/>
      </w:r>
      <w:hyperlink r:id="rId20" w:history="1">
        <w:r w:rsidRPr="00F9410F">
          <w:rPr>
            <w:rStyle w:val="Strong"/>
            <w:b w:val="0"/>
            <w:color w:val="02274B"/>
            <w:szCs w:val="24"/>
            <w:u w:val="single"/>
            <w:lang w:val="es-ES"/>
          </w:rPr>
          <w:t>Taller de los GT5A-GT5B-GT5C de preparación para la CMR-15</w:t>
        </w:r>
      </w:hyperlink>
      <w:r w:rsidRPr="00F9410F">
        <w:rPr>
          <w:color w:val="000000"/>
          <w:lang w:val="es-ES"/>
        </w:rPr>
        <w:t xml:space="preserve"> </w:t>
      </w:r>
      <w:r w:rsidRPr="00F9410F">
        <w:rPr>
          <w:color w:val="000000"/>
          <w:lang w:val="es-ES" w:eastAsia="ja-JP"/>
        </w:rPr>
        <w:t>(</w:t>
      </w:r>
      <w:r w:rsidRPr="00F9410F">
        <w:rPr>
          <w:color w:val="000000"/>
          <w:lang w:val="es-ES"/>
        </w:rPr>
        <w:t>23 de mayo de 2012</w:t>
      </w:r>
      <w:r w:rsidR="007366E6">
        <w:rPr>
          <w:color w:val="000000"/>
          <w:lang w:val="es-ES" w:eastAsia="ja-JP"/>
        </w:rPr>
        <w:t>)</w:t>
      </w:r>
    </w:p>
    <w:p w:rsidR="00C00643" w:rsidRPr="00F9410F" w:rsidRDefault="00C00643" w:rsidP="00C00643">
      <w:pPr>
        <w:pStyle w:val="enumlev1"/>
        <w:rPr>
          <w:color w:val="000000"/>
          <w:lang w:val="es-ES" w:eastAsia="ja-JP"/>
        </w:rPr>
      </w:pPr>
      <w:r w:rsidRPr="00F9410F">
        <w:rPr>
          <w:lang w:val="es-ES"/>
        </w:rPr>
        <w:t>–</w:t>
      </w:r>
      <w:r w:rsidRPr="00F9410F">
        <w:rPr>
          <w:lang w:val="es-ES"/>
        </w:rPr>
        <w:tab/>
      </w:r>
      <w:hyperlink r:id="rId21" w:history="1">
        <w:r w:rsidRPr="00F9410F">
          <w:rPr>
            <w:rStyle w:val="Strong"/>
            <w:b w:val="0"/>
            <w:color w:val="02274B"/>
            <w:szCs w:val="24"/>
            <w:u w:val="single"/>
            <w:lang w:val="es-ES"/>
          </w:rPr>
          <w:t>Taller sobre la banda de frecuencia de 79 GHz (radares a bordo de automóviles)</w:t>
        </w:r>
      </w:hyperlink>
      <w:r w:rsidR="007366E6">
        <w:rPr>
          <w:color w:val="000000"/>
          <w:lang w:val="es-ES" w:eastAsia="ja-JP"/>
        </w:rPr>
        <w:t xml:space="preserve"> (7 de noviembre de 2012)</w:t>
      </w:r>
    </w:p>
    <w:p w:rsidR="00C00643" w:rsidRPr="00F9410F" w:rsidRDefault="00C00643" w:rsidP="007366E6">
      <w:pPr>
        <w:pStyle w:val="enumlev1"/>
        <w:rPr>
          <w:color w:val="000000"/>
          <w:lang w:val="es-ES" w:eastAsia="ja-JP"/>
        </w:rPr>
      </w:pPr>
      <w:r w:rsidRPr="00F9410F">
        <w:rPr>
          <w:lang w:val="es-ES"/>
        </w:rPr>
        <w:t>–</w:t>
      </w:r>
      <w:r w:rsidRPr="00F9410F">
        <w:rPr>
          <w:lang w:val="es-ES"/>
        </w:rPr>
        <w:tab/>
      </w:r>
      <w:hyperlink r:id="rId22" w:history="1">
        <w:r w:rsidRPr="00F9410F">
          <w:rPr>
            <w:rStyle w:val="Hyperlink"/>
            <w:szCs w:val="24"/>
            <w:lang w:val="es-ES"/>
          </w:rPr>
          <w:t xml:space="preserve">Taller del Foro Mundial de Investigación </w:t>
        </w:r>
        <w:r w:rsidRPr="00F9410F">
          <w:rPr>
            <w:rStyle w:val="Hyperlink"/>
            <w:szCs w:val="24"/>
            <w:lang w:val="es-ES" w:eastAsia="ja-JP"/>
          </w:rPr>
          <w:t xml:space="preserve">(WWRF) </w:t>
        </w:r>
      </w:hyperlink>
      <w:r w:rsidRPr="00F9410F">
        <w:rPr>
          <w:lang w:val="es-ES" w:eastAsia="ja-JP"/>
        </w:rPr>
        <w:t>sobre requisitos y tecnologías para la próxima generación de comunicaciones móviles (</w:t>
      </w:r>
      <w:r w:rsidRPr="00F9410F">
        <w:rPr>
          <w:color w:val="000000"/>
          <w:lang w:val="es-ES"/>
        </w:rPr>
        <w:t>21 de mayo de 2013</w:t>
      </w:r>
      <w:r w:rsidRPr="00F9410F">
        <w:rPr>
          <w:color w:val="000000"/>
          <w:lang w:val="es-ES" w:eastAsia="ja-JP"/>
        </w:rPr>
        <w:t>)</w:t>
      </w:r>
    </w:p>
    <w:p w:rsidR="00C00643" w:rsidRPr="00F9410F" w:rsidRDefault="00C00643" w:rsidP="000E31FF">
      <w:pPr>
        <w:pStyle w:val="enumlev1"/>
        <w:rPr>
          <w:color w:val="000000"/>
          <w:lang w:val="es-ES" w:eastAsia="ja-JP"/>
        </w:rPr>
      </w:pPr>
      <w:r w:rsidRPr="00F9410F">
        <w:rPr>
          <w:lang w:val="es-ES"/>
        </w:rPr>
        <w:t>–</w:t>
      </w:r>
      <w:r w:rsidRPr="00F9410F">
        <w:rPr>
          <w:lang w:val="es-ES"/>
        </w:rPr>
        <w:tab/>
      </w:r>
      <w:hyperlink r:id="rId23" w:history="1">
        <w:r w:rsidRPr="00740256">
          <w:rPr>
            <w:rStyle w:val="Hyperlink"/>
            <w:rFonts w:eastAsia="MS Mincho"/>
          </w:rPr>
          <w:t>Seminario</w:t>
        </w:r>
        <w:r w:rsidRPr="00740256">
          <w:rPr>
            <w:rStyle w:val="Hyperlink"/>
            <w:rFonts w:eastAsia="MS Mincho"/>
            <w:bCs/>
          </w:rPr>
          <w:t xml:space="preserve"> del GT 5A sobre </w:t>
        </w:r>
        <w:r w:rsidR="000E31FF" w:rsidRPr="00740256">
          <w:rPr>
            <w:rStyle w:val="Hyperlink"/>
            <w:rFonts w:eastAsia="MS Mincho"/>
            <w:bCs/>
          </w:rPr>
          <w:t>S</w:t>
        </w:r>
        <w:r w:rsidRPr="00740256">
          <w:rPr>
            <w:rStyle w:val="Hyperlink"/>
            <w:rFonts w:eastAsia="MS Mincho"/>
            <w:bCs/>
          </w:rPr>
          <w:t>istemas de radiocomunicaciones inteligentes y la utilización de espacios blancos</w:t>
        </w:r>
      </w:hyperlink>
      <w:r w:rsidRPr="00740256">
        <w:rPr>
          <w:rStyle w:val="Hyperlink"/>
          <w:rFonts w:eastAsia="MS Mincho"/>
        </w:rPr>
        <w:t xml:space="preserve"> </w:t>
      </w:r>
      <w:r w:rsidRPr="00F9410F">
        <w:rPr>
          <w:color w:val="000000"/>
          <w:lang w:val="es-ES" w:eastAsia="ja-JP"/>
        </w:rPr>
        <w:t>(</w:t>
      </w:r>
      <w:r w:rsidRPr="00F9410F">
        <w:rPr>
          <w:color w:val="000000"/>
          <w:lang w:val="es-ES"/>
        </w:rPr>
        <w:t>18 de noviembre 2013</w:t>
      </w:r>
      <w:r w:rsidRPr="00F9410F">
        <w:rPr>
          <w:color w:val="000000"/>
          <w:lang w:val="es-ES" w:eastAsia="ja-JP"/>
        </w:rPr>
        <w:t>)</w:t>
      </w:r>
      <w:r w:rsidRPr="00F9410F">
        <w:rPr>
          <w:rFonts w:ascii="Segoe UI" w:hAnsi="Segoe UI" w:cs="Segoe UI"/>
          <w:color w:val="000000"/>
          <w:sz w:val="20"/>
          <w:lang w:val="es-ES" w:eastAsia="ja-JP"/>
        </w:rPr>
        <w:t>.</w:t>
      </w:r>
    </w:p>
    <w:p w:rsidR="00C00643" w:rsidRPr="00F9410F" w:rsidRDefault="00C00643" w:rsidP="000D1CE2">
      <w:pPr>
        <w:pStyle w:val="Heading2"/>
        <w:rPr>
          <w:lang w:val="es-ES"/>
        </w:rPr>
      </w:pPr>
      <w:r w:rsidRPr="00F9410F">
        <w:rPr>
          <w:lang w:val="es-ES"/>
        </w:rPr>
        <w:t>4.2</w:t>
      </w:r>
      <w:r w:rsidRPr="00F9410F">
        <w:rPr>
          <w:lang w:val="es-ES"/>
        </w:rPr>
        <w:tab/>
        <w:t>Grupo de Trabajo 5B</w:t>
      </w:r>
    </w:p>
    <w:p w:rsidR="00C00643" w:rsidRPr="00F9410F" w:rsidRDefault="00C00643" w:rsidP="00C00643">
      <w:pPr>
        <w:pStyle w:val="Heading3"/>
        <w:rPr>
          <w:lang w:val="es-ES"/>
        </w:rPr>
      </w:pPr>
      <w:r w:rsidRPr="00F9410F">
        <w:rPr>
          <w:lang w:val="es-ES" w:eastAsia="ja-JP"/>
        </w:rPr>
        <w:t>4.2.</w:t>
      </w:r>
      <w:r w:rsidRPr="00F9410F">
        <w:rPr>
          <w:lang w:val="es-ES"/>
        </w:rPr>
        <w:t>1</w:t>
      </w:r>
      <w:r w:rsidRPr="00F9410F">
        <w:rPr>
          <w:lang w:val="es-ES"/>
        </w:rPr>
        <w:tab/>
        <w:t>Reuniones y estructura de los trabajos</w:t>
      </w:r>
    </w:p>
    <w:p w:rsidR="00C00643" w:rsidRPr="00F9410F" w:rsidRDefault="00C00643" w:rsidP="00C00643">
      <w:pPr>
        <w:rPr>
          <w:lang w:val="es-ES"/>
        </w:rPr>
      </w:pPr>
      <w:r w:rsidRPr="00F9410F">
        <w:rPr>
          <w:lang w:val="es-ES"/>
        </w:rPr>
        <w:t>El Grupo de Trabajo 5B ha celebrado las siete reuniones que se indican en el Cuadro A1-2 del Anexo 1</w:t>
      </w:r>
      <w:r w:rsidRPr="00F9410F">
        <w:rPr>
          <w:lang w:val="es-ES" w:eastAsia="ja-JP"/>
        </w:rPr>
        <w:t xml:space="preserve">. Presidió todas las reuniones el Sr. </w:t>
      </w:r>
      <w:r w:rsidRPr="00F9410F">
        <w:rPr>
          <w:lang w:val="es-ES"/>
        </w:rPr>
        <w:t>J</w:t>
      </w:r>
      <w:r w:rsidRPr="00F9410F">
        <w:rPr>
          <w:lang w:val="es-ES" w:eastAsia="ja-JP"/>
        </w:rPr>
        <w:t>ohn</w:t>
      </w:r>
      <w:r w:rsidRPr="00F9410F">
        <w:rPr>
          <w:lang w:val="es-ES"/>
        </w:rPr>
        <w:t xml:space="preserve"> </w:t>
      </w:r>
      <w:r w:rsidRPr="00F9410F">
        <w:rPr>
          <w:lang w:val="es-ES" w:eastAsia="ja-JP"/>
        </w:rPr>
        <w:t>Mettrop</w:t>
      </w:r>
      <w:r w:rsidRPr="00F9410F">
        <w:rPr>
          <w:lang w:val="es-ES"/>
        </w:rPr>
        <w:t xml:space="preserve"> (R</w:t>
      </w:r>
      <w:r w:rsidRPr="00F9410F">
        <w:rPr>
          <w:lang w:val="es-ES" w:eastAsia="ja-JP"/>
        </w:rPr>
        <w:t>eino Unido</w:t>
      </w:r>
      <w:r w:rsidRPr="00F9410F">
        <w:rPr>
          <w:lang w:val="es-ES"/>
        </w:rPr>
        <w:t>), Presidente del Grupo de Trabajo 5</w:t>
      </w:r>
      <w:r w:rsidRPr="00F9410F">
        <w:rPr>
          <w:lang w:val="es-ES" w:eastAsia="ja-JP"/>
        </w:rPr>
        <w:t>B</w:t>
      </w:r>
      <w:r w:rsidRPr="00F9410F">
        <w:rPr>
          <w:lang w:val="es-ES"/>
        </w:rPr>
        <w:t>.</w:t>
      </w:r>
    </w:p>
    <w:p w:rsidR="00C00643" w:rsidRPr="00F9410F" w:rsidRDefault="00C00643" w:rsidP="000E31FF">
      <w:pPr>
        <w:rPr>
          <w:lang w:val="es-ES"/>
        </w:rPr>
      </w:pPr>
      <w:r w:rsidRPr="00F9410F">
        <w:rPr>
          <w:lang w:val="es-ES"/>
        </w:rPr>
        <w:lastRenderedPageBreak/>
        <w:t>El Grupo de Trabajo 5B ha est</w:t>
      </w:r>
      <w:r w:rsidR="000E31FF">
        <w:rPr>
          <w:lang w:val="es-ES"/>
        </w:rPr>
        <w:t>ablecido los siguientes cuatro G</w:t>
      </w:r>
      <w:r w:rsidRPr="00F9410F">
        <w:rPr>
          <w:lang w:val="es-ES"/>
        </w:rPr>
        <w:t xml:space="preserve">rupos de </w:t>
      </w:r>
      <w:r w:rsidR="000E31FF">
        <w:rPr>
          <w:lang w:val="es-ES"/>
        </w:rPr>
        <w:t>T</w:t>
      </w:r>
      <w:r w:rsidRPr="00F9410F">
        <w:rPr>
          <w:lang w:val="es-ES"/>
        </w:rPr>
        <w:t>rabajo, cada uno de ellos con un claro mandato para desempeñar sus tareas asignadas, a saber:</w:t>
      </w:r>
    </w:p>
    <w:p w:rsidR="00C00643" w:rsidRPr="00F9410F" w:rsidRDefault="00C00643" w:rsidP="00C00643">
      <w:pPr>
        <w:pStyle w:val="enumlev1"/>
        <w:rPr>
          <w:lang w:val="es-ES"/>
        </w:rPr>
      </w:pPr>
      <w:r w:rsidRPr="00F9410F">
        <w:rPr>
          <w:lang w:val="es-ES"/>
        </w:rPr>
        <w:t>−</w:t>
      </w:r>
      <w:r w:rsidRPr="00F9410F">
        <w:rPr>
          <w:lang w:val="es-ES"/>
        </w:rPr>
        <w:tab/>
        <w:t>GT 5B1: Servicio de radiodeterminación.</w:t>
      </w:r>
    </w:p>
    <w:p w:rsidR="00C00643" w:rsidRPr="00F9410F" w:rsidRDefault="00C00643" w:rsidP="00C00643">
      <w:pPr>
        <w:pStyle w:val="enumlev1"/>
        <w:rPr>
          <w:lang w:val="es-ES"/>
        </w:rPr>
      </w:pPr>
      <w:r w:rsidRPr="00F9410F">
        <w:rPr>
          <w:lang w:val="es-ES"/>
        </w:rPr>
        <w:t>−</w:t>
      </w:r>
      <w:r w:rsidRPr="00F9410F">
        <w:rPr>
          <w:lang w:val="es-ES"/>
        </w:rPr>
        <w:tab/>
        <w:t>GT 5B2: Servicio móvil aeronáutico.</w:t>
      </w:r>
    </w:p>
    <w:p w:rsidR="00C00643" w:rsidRPr="00F9410F" w:rsidRDefault="00C00643" w:rsidP="00C00643">
      <w:pPr>
        <w:pStyle w:val="enumlev1"/>
        <w:rPr>
          <w:lang w:val="es-ES" w:eastAsia="ja-JP"/>
        </w:rPr>
      </w:pPr>
      <w:r w:rsidRPr="00F9410F">
        <w:rPr>
          <w:lang w:val="es-ES"/>
        </w:rPr>
        <w:t>−</w:t>
      </w:r>
      <w:r w:rsidRPr="00F9410F">
        <w:rPr>
          <w:lang w:val="es-ES"/>
        </w:rPr>
        <w:tab/>
        <w:t>GT 5B3: Servicio móvil marítimo</w:t>
      </w:r>
      <w:r w:rsidRPr="00F9410F">
        <w:rPr>
          <w:lang w:val="es-ES" w:eastAsia="ja-JP"/>
        </w:rPr>
        <w:t>.</w:t>
      </w:r>
    </w:p>
    <w:p w:rsidR="00C00643" w:rsidRPr="00F9410F" w:rsidRDefault="00C00643" w:rsidP="00C00643">
      <w:pPr>
        <w:pStyle w:val="enumlev1"/>
        <w:rPr>
          <w:lang w:val="es-ES" w:eastAsia="ja-JP"/>
        </w:rPr>
      </w:pPr>
      <w:r w:rsidRPr="00F9410F">
        <w:rPr>
          <w:lang w:val="es-ES"/>
        </w:rPr>
        <w:t>−</w:t>
      </w:r>
      <w:r w:rsidRPr="00F9410F">
        <w:rPr>
          <w:lang w:val="es-ES"/>
        </w:rPr>
        <w:tab/>
        <w:t>GT 5B</w:t>
      </w:r>
      <w:r w:rsidRPr="00F9410F">
        <w:rPr>
          <w:lang w:val="es-ES" w:eastAsia="ja-JP"/>
        </w:rPr>
        <w:t>4</w:t>
      </w:r>
      <w:r w:rsidRPr="00F9410F">
        <w:rPr>
          <w:lang w:val="es-ES"/>
        </w:rPr>
        <w:t xml:space="preserve">: </w:t>
      </w:r>
      <w:r w:rsidRPr="00F9410F">
        <w:rPr>
          <w:lang w:val="es-ES" w:eastAsia="ja-JP"/>
        </w:rPr>
        <w:t>Otras cuestiones.</w:t>
      </w:r>
    </w:p>
    <w:p w:rsidR="00C00643" w:rsidRPr="00F9410F" w:rsidRDefault="00C00643" w:rsidP="004B2610">
      <w:pPr>
        <w:rPr>
          <w:lang w:val="es-ES"/>
        </w:rPr>
      </w:pPr>
      <w:r w:rsidRPr="00F9410F">
        <w:rPr>
          <w:lang w:val="es-ES"/>
        </w:rPr>
        <w:t xml:space="preserve">Además de los </w:t>
      </w:r>
      <w:r w:rsidR="004B2610" w:rsidRPr="00F9410F">
        <w:rPr>
          <w:lang w:val="es-ES"/>
        </w:rPr>
        <w:t xml:space="preserve">Grupos </w:t>
      </w:r>
      <w:r w:rsidR="004B2610">
        <w:rPr>
          <w:lang w:val="es-ES"/>
        </w:rPr>
        <w:t>d</w:t>
      </w:r>
      <w:r w:rsidR="004B2610" w:rsidRPr="00F9410F">
        <w:rPr>
          <w:lang w:val="es-ES"/>
        </w:rPr>
        <w:t xml:space="preserve">e Trabajo </w:t>
      </w:r>
      <w:r w:rsidRPr="00F9410F">
        <w:rPr>
          <w:lang w:val="es-ES"/>
        </w:rPr>
        <w:t>convencionales anteriormente mencionados, se han creado Grupos ad hoc y Grupos por Correspondencia, en función de las necesidades, para abordar otros temas específicos.</w:t>
      </w:r>
    </w:p>
    <w:p w:rsidR="00C00643" w:rsidRPr="00F9410F" w:rsidRDefault="00C00643" w:rsidP="00C00643">
      <w:pPr>
        <w:pStyle w:val="Heading3"/>
        <w:rPr>
          <w:lang w:val="es-ES"/>
        </w:rPr>
      </w:pPr>
      <w:r w:rsidRPr="00F9410F">
        <w:rPr>
          <w:lang w:val="es-ES" w:eastAsia="ja-JP"/>
        </w:rPr>
        <w:t>4.2.2</w:t>
      </w:r>
      <w:r w:rsidRPr="00F9410F">
        <w:rPr>
          <w:lang w:val="es-ES"/>
        </w:rPr>
        <w:tab/>
        <w:t>Resultados específicos</w:t>
      </w:r>
    </w:p>
    <w:p w:rsidR="00C00643" w:rsidRPr="00F9410F" w:rsidRDefault="00C00643" w:rsidP="00C00643">
      <w:pPr>
        <w:rPr>
          <w:lang w:val="es-ES"/>
        </w:rPr>
      </w:pPr>
      <w:r w:rsidRPr="00F9410F">
        <w:rPr>
          <w:lang w:val="es-ES"/>
        </w:rPr>
        <w:t>De conformidad con su amplio cometido, se ha asignado al Grupo de Trabajo 5B una gran carga de trabajo durante el presente ciclo de estudios, incluida la labor relacionada con la Conferencia. En sus siete reuniones, el Grupo de Trabajo 5B ha elaborado varios proyectos de Recomendaciones nuevas y revisadas en los ámbitos de los servicios de radiodeterminación, móvil aeronáutico y móvil marítimo, tanto a través de los trabajos relativos a la Conferencia como de los estudios habituales del UIT</w:t>
      </w:r>
      <w:r w:rsidRPr="00F9410F">
        <w:rPr>
          <w:lang w:val="es-ES"/>
        </w:rPr>
        <w:noBreakHyphen/>
        <w:t xml:space="preserve">R. </w:t>
      </w:r>
    </w:p>
    <w:p w:rsidR="00C00643" w:rsidRPr="00F9410F" w:rsidRDefault="00C00643" w:rsidP="00C00643">
      <w:pPr>
        <w:rPr>
          <w:lang w:val="es-ES"/>
        </w:rPr>
      </w:pPr>
      <w:r w:rsidRPr="00F9410F">
        <w:rPr>
          <w:lang w:val="es-ES"/>
        </w:rPr>
        <w:t>En la sección siguiente se detallan los resultados mencionados anteriormente, que incluyen una nueva Recomendación sobre características de un sistema digital de datos de navegación para difundir información de seguridad marítima en la banda de ondas decamétricas (Recomendación UIT</w:t>
      </w:r>
      <w:r w:rsidRPr="00F9410F">
        <w:rPr>
          <w:lang w:val="es-ES" w:eastAsia="ja-JP"/>
        </w:rPr>
        <w:t>-R M.2058).</w:t>
      </w:r>
    </w:p>
    <w:p w:rsidR="00C00643" w:rsidRPr="00F9410F" w:rsidRDefault="00C00643" w:rsidP="00C00643">
      <w:pPr>
        <w:rPr>
          <w:lang w:val="es-ES"/>
        </w:rPr>
      </w:pPr>
      <w:r w:rsidRPr="00F9410F">
        <w:rPr>
          <w:lang w:val="es-ES"/>
        </w:rPr>
        <w:t>El Grupo de Trabajo 5B ha actualizado numerosas Recomendaciones vigentes, en particular las relativas al servicio de seguridad, con el fin de reflejar adecuadamente las referencias más recientes a los documentos de la UIT y/o a normas elaboradas por organizaciones externas.</w:t>
      </w:r>
    </w:p>
    <w:p w:rsidR="00C00643" w:rsidRPr="00F9410F" w:rsidRDefault="00C00643" w:rsidP="00C00643">
      <w:pPr>
        <w:pStyle w:val="Heading3"/>
        <w:rPr>
          <w:lang w:val="es-ES" w:eastAsia="ja-JP"/>
        </w:rPr>
      </w:pPr>
      <w:r w:rsidRPr="00F9410F">
        <w:rPr>
          <w:lang w:val="es-ES" w:eastAsia="ja-JP"/>
        </w:rPr>
        <w:t>4.2.3</w:t>
      </w:r>
      <w:r w:rsidRPr="00F9410F">
        <w:rPr>
          <w:lang w:val="es-ES"/>
        </w:rPr>
        <w:tab/>
        <w:t>Trabajos relativos a la preparación de la CMR</w:t>
      </w:r>
      <w:r w:rsidRPr="00F9410F">
        <w:rPr>
          <w:lang w:val="es-ES" w:eastAsia="ja-JP"/>
        </w:rPr>
        <w:noBreakHyphen/>
      </w:r>
      <w:r w:rsidRPr="00F9410F">
        <w:rPr>
          <w:lang w:val="es-ES"/>
        </w:rPr>
        <w:t>1</w:t>
      </w:r>
      <w:r w:rsidRPr="00F9410F">
        <w:rPr>
          <w:lang w:val="es-ES" w:eastAsia="ja-JP"/>
        </w:rPr>
        <w:t>5</w:t>
      </w:r>
      <w:r w:rsidRPr="00F9410F">
        <w:rPr>
          <w:lang w:val="es-ES"/>
        </w:rPr>
        <w:t xml:space="preserve"> </w:t>
      </w:r>
      <w:r w:rsidRPr="00F9410F">
        <w:rPr>
          <w:lang w:val="es-ES" w:eastAsia="ja-JP"/>
        </w:rPr>
        <w:t>(distintos del seguimiento mundial de vuelos)</w:t>
      </w:r>
    </w:p>
    <w:p w:rsidR="00C00643" w:rsidRPr="00F9410F" w:rsidRDefault="00C00643" w:rsidP="00C00643">
      <w:pPr>
        <w:rPr>
          <w:lang w:val="es-ES" w:eastAsia="ja-JP"/>
        </w:rPr>
      </w:pPr>
      <w:r w:rsidRPr="00F9410F">
        <w:rPr>
          <w:lang w:val="es-ES"/>
        </w:rPr>
        <w:t xml:space="preserve">El Grupo de Trabajo 5B ha sido designado </w:t>
      </w:r>
      <w:r w:rsidRPr="00F9410F">
        <w:rPr>
          <w:lang w:val="es-ES" w:eastAsia="ja-JP"/>
        </w:rPr>
        <w:t xml:space="preserve">grupo encargado de cinco puntos del orden del día, a saber los puntos </w:t>
      </w:r>
      <w:r w:rsidRPr="00F9410F">
        <w:rPr>
          <w:lang w:val="es-ES"/>
        </w:rPr>
        <w:t>1.</w:t>
      </w:r>
      <w:r w:rsidRPr="00F9410F">
        <w:rPr>
          <w:lang w:val="es-ES" w:eastAsia="ja-JP"/>
        </w:rPr>
        <w:t>5</w:t>
      </w:r>
      <w:r w:rsidRPr="00F9410F">
        <w:rPr>
          <w:lang w:val="es-ES"/>
        </w:rPr>
        <w:t>, 1.</w:t>
      </w:r>
      <w:r w:rsidRPr="00F9410F">
        <w:rPr>
          <w:lang w:val="es-ES" w:eastAsia="ja-JP"/>
        </w:rPr>
        <w:t>15</w:t>
      </w:r>
      <w:r w:rsidRPr="00F9410F">
        <w:rPr>
          <w:lang w:val="es-ES"/>
        </w:rPr>
        <w:t>, 1.</w:t>
      </w:r>
      <w:r w:rsidRPr="00F9410F">
        <w:rPr>
          <w:lang w:val="es-ES" w:eastAsia="ja-JP"/>
        </w:rPr>
        <w:t>16</w:t>
      </w:r>
      <w:r w:rsidRPr="00F9410F">
        <w:rPr>
          <w:lang w:val="es-ES"/>
        </w:rPr>
        <w:t>, 1.1</w:t>
      </w:r>
      <w:r w:rsidRPr="00F9410F">
        <w:rPr>
          <w:lang w:val="es-ES" w:eastAsia="ja-JP"/>
        </w:rPr>
        <w:t>7</w:t>
      </w:r>
      <w:r w:rsidRPr="00F9410F">
        <w:rPr>
          <w:lang w:val="es-ES"/>
        </w:rPr>
        <w:t xml:space="preserve"> y 1.</w:t>
      </w:r>
      <w:r w:rsidRPr="00F9410F">
        <w:rPr>
          <w:lang w:val="es-ES" w:eastAsia="ja-JP"/>
        </w:rPr>
        <w:t>18 (en parte conjuntamente con el GT 5A)</w:t>
      </w:r>
      <w:r w:rsidRPr="00F9410F">
        <w:rPr>
          <w:lang w:val="es-ES"/>
        </w:rPr>
        <w:t xml:space="preserve">. </w:t>
      </w:r>
      <w:r w:rsidRPr="00F9410F">
        <w:rPr>
          <w:lang w:val="es-ES" w:eastAsia="ja-JP"/>
        </w:rPr>
        <w:t>Además, se ha designado al GT</w:t>
      </w:r>
      <w:r w:rsidR="004B2610">
        <w:rPr>
          <w:lang w:val="es-ES" w:eastAsia="ja-JP"/>
        </w:rPr>
        <w:t> </w:t>
      </w:r>
      <w:r w:rsidRPr="00F9410F">
        <w:rPr>
          <w:lang w:val="es-ES" w:eastAsia="ja-JP"/>
        </w:rPr>
        <w:t xml:space="preserve">5B como grupo contribuyente de otros puntos del orden del día. En consecuencia, este Grupo de Trabajo ha tenido que hacer frente a una </w:t>
      </w:r>
      <w:r w:rsidRPr="00F9410F">
        <w:rPr>
          <w:lang w:val="es-ES"/>
        </w:rPr>
        <w:t>carga de trabajo relacionada con la preparación de la RPC</w:t>
      </w:r>
      <w:r w:rsidRPr="00F9410F">
        <w:rPr>
          <w:lang w:val="es-ES"/>
        </w:rPr>
        <w:noBreakHyphen/>
        <w:t>15 muy elevada. En los Cuadros 2-1 y 2-2 se muestran los resultados obtenidos en sus siete reuniones</w:t>
      </w:r>
      <w:r w:rsidRPr="00F9410F">
        <w:rPr>
          <w:lang w:val="es-ES" w:eastAsia="ja-JP"/>
        </w:rPr>
        <w:t>.</w:t>
      </w:r>
    </w:p>
    <w:p w:rsidR="00C00643" w:rsidRPr="00F9410F" w:rsidRDefault="00C00643" w:rsidP="00C00643">
      <w:pPr>
        <w:tabs>
          <w:tab w:val="clear" w:pos="1134"/>
          <w:tab w:val="clear" w:pos="1871"/>
          <w:tab w:val="clear" w:pos="2268"/>
        </w:tabs>
        <w:overflowPunct/>
        <w:autoSpaceDE/>
        <w:autoSpaceDN/>
        <w:adjustRightInd/>
        <w:spacing w:before="0"/>
        <w:textAlignment w:val="auto"/>
        <w:rPr>
          <w:caps/>
          <w:sz w:val="20"/>
          <w:lang w:val="es-ES" w:eastAsia="ja-JP"/>
        </w:rPr>
      </w:pPr>
      <w:r w:rsidRPr="00F9410F">
        <w:rPr>
          <w:lang w:val="es-ES" w:eastAsia="ja-JP"/>
        </w:rPr>
        <w:br w:type="page"/>
      </w:r>
    </w:p>
    <w:p w:rsidR="00C00643" w:rsidRPr="00F9410F" w:rsidRDefault="00C00643" w:rsidP="00C00643">
      <w:pPr>
        <w:pStyle w:val="TableNo"/>
        <w:spacing w:before="360"/>
        <w:rPr>
          <w:lang w:val="es-ES" w:eastAsia="ja-JP"/>
        </w:rPr>
      </w:pPr>
      <w:r w:rsidRPr="00F9410F">
        <w:rPr>
          <w:lang w:val="es-ES" w:eastAsia="ja-JP"/>
        </w:rPr>
        <w:lastRenderedPageBreak/>
        <w:t>cuadro 2-1</w:t>
      </w:r>
    </w:p>
    <w:p w:rsidR="00C00643" w:rsidRPr="00F9410F" w:rsidRDefault="00C00643" w:rsidP="00C00643">
      <w:pPr>
        <w:pStyle w:val="Tabletitle"/>
        <w:rPr>
          <w:lang w:val="es-ES" w:eastAsia="ja-JP"/>
        </w:rPr>
      </w:pPr>
      <w:r w:rsidRPr="00F9410F">
        <w:rPr>
          <w:color w:val="000000"/>
          <w:lang w:val="es-ES"/>
        </w:rPr>
        <w:t>Resultados del Grupo de Trabajo 5B en cuanto que grupo encargado relativos a la CMR</w:t>
      </w:r>
      <w:r w:rsidRPr="00F9410F">
        <w:rPr>
          <w:lang w:val="es-ES" w:eastAsia="ja-JP"/>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C00643" w:rsidRPr="00F9410F" w:rsidTr="002F1E53">
        <w:trPr>
          <w:jc w:val="center"/>
        </w:trPr>
        <w:tc>
          <w:tcPr>
            <w:tcW w:w="1526" w:type="dxa"/>
          </w:tcPr>
          <w:p w:rsidR="00C00643" w:rsidRPr="00F9410F" w:rsidRDefault="00C00643" w:rsidP="002F1E53">
            <w:pPr>
              <w:pStyle w:val="Tablehead"/>
              <w:rPr>
                <w:lang w:val="es-ES"/>
              </w:rPr>
            </w:pPr>
            <w:r w:rsidRPr="00F9410F">
              <w:rPr>
                <w:lang w:val="es-ES"/>
              </w:rPr>
              <w:t xml:space="preserve">Punto del orden del día </w:t>
            </w:r>
          </w:p>
        </w:tc>
        <w:tc>
          <w:tcPr>
            <w:tcW w:w="2852" w:type="dxa"/>
            <w:vAlign w:val="center"/>
          </w:tcPr>
          <w:p w:rsidR="00C00643" w:rsidRPr="00F9410F" w:rsidRDefault="00C00643" w:rsidP="002F1E53">
            <w:pPr>
              <w:pStyle w:val="Tablehead"/>
              <w:rPr>
                <w:lang w:val="es-ES" w:eastAsia="ja-JP"/>
              </w:rPr>
            </w:pPr>
            <w:r w:rsidRPr="00F9410F">
              <w:rPr>
                <w:lang w:val="es-ES"/>
              </w:rPr>
              <w:t>Resoluciones de la CMR</w:t>
            </w:r>
          </w:p>
        </w:tc>
        <w:tc>
          <w:tcPr>
            <w:tcW w:w="4944" w:type="dxa"/>
            <w:vAlign w:val="center"/>
          </w:tcPr>
          <w:p w:rsidR="00C00643" w:rsidRPr="00F9410F" w:rsidRDefault="00C00643" w:rsidP="002F1E53">
            <w:pPr>
              <w:pStyle w:val="Tablehead"/>
              <w:rPr>
                <w:lang w:val="es-ES" w:eastAsia="ja-JP"/>
              </w:rPr>
            </w:pPr>
            <w:r w:rsidRPr="00F9410F">
              <w:rPr>
                <w:lang w:val="es-ES" w:eastAsia="ja-JP"/>
              </w:rPr>
              <w:t>Recomendaciones e Informes conexos</w:t>
            </w:r>
          </w:p>
        </w:tc>
      </w:tr>
      <w:tr w:rsidR="00C00643" w:rsidRPr="00F9410F" w:rsidTr="002F1E53">
        <w:trPr>
          <w:jc w:val="center"/>
        </w:trPr>
        <w:tc>
          <w:tcPr>
            <w:tcW w:w="1526" w:type="dxa"/>
          </w:tcPr>
          <w:p w:rsidR="00C00643" w:rsidRPr="00F9410F" w:rsidRDefault="00C00643" w:rsidP="00956452">
            <w:pPr>
              <w:pStyle w:val="Tabletext"/>
              <w:jc w:val="center"/>
              <w:rPr>
                <w:lang w:val="es-ES" w:eastAsia="ja-JP"/>
              </w:rPr>
            </w:pPr>
            <w:r w:rsidRPr="00F9410F">
              <w:rPr>
                <w:lang w:val="es-ES"/>
              </w:rPr>
              <w:t>1.</w:t>
            </w:r>
            <w:r w:rsidRPr="00F9410F">
              <w:rPr>
                <w:lang w:val="es-ES" w:eastAsia="ja-JP"/>
              </w:rPr>
              <w:t>15</w:t>
            </w:r>
          </w:p>
        </w:tc>
        <w:tc>
          <w:tcPr>
            <w:tcW w:w="2852" w:type="dxa"/>
          </w:tcPr>
          <w:p w:rsidR="00C00643" w:rsidRPr="00F9410F" w:rsidRDefault="00C00643" w:rsidP="002F1E53">
            <w:pPr>
              <w:pStyle w:val="Tabletext"/>
              <w:rPr>
                <w:lang w:val="es-ES"/>
              </w:rPr>
            </w:pPr>
            <w:r w:rsidRPr="00F9410F">
              <w:rPr>
                <w:lang w:val="es-ES"/>
              </w:rPr>
              <w:t xml:space="preserve">Resolución </w:t>
            </w:r>
            <w:r w:rsidRPr="00F9410F">
              <w:rPr>
                <w:rFonts w:ascii="Times New Roman Bold" w:hAnsi="Times New Roman Bold" w:cs="Times New Roman Bold"/>
                <w:b/>
                <w:bCs/>
                <w:lang w:val="es-ES"/>
              </w:rPr>
              <w:t>358</w:t>
            </w:r>
            <w:r w:rsidRPr="00F9410F">
              <w:rPr>
                <w:b/>
                <w:bCs/>
                <w:lang w:val="es-ES" w:eastAsia="nl-NL"/>
              </w:rPr>
              <w:t xml:space="preserve"> (CMR</w:t>
            </w:r>
            <w:r w:rsidRPr="00F9410F">
              <w:rPr>
                <w:b/>
                <w:bCs/>
                <w:lang w:val="es-ES" w:eastAsia="nl-NL"/>
              </w:rPr>
              <w:noBreakHyphen/>
              <w:t>12)</w:t>
            </w:r>
          </w:p>
        </w:tc>
        <w:tc>
          <w:tcPr>
            <w:tcW w:w="4944" w:type="dxa"/>
          </w:tcPr>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003765A1">
              <w:rPr>
                <w:lang w:val="es-ES" w:eastAsia="ja-JP"/>
              </w:rPr>
              <w:t>M.1174-3</w:t>
            </w:r>
          </w:p>
          <w:p w:rsidR="00C00643" w:rsidRPr="00F9410F" w:rsidRDefault="00C00643" w:rsidP="002F1E53">
            <w:pPr>
              <w:pStyle w:val="Tabletext"/>
              <w:rPr>
                <w:lang w:val="es-ES" w:eastAsia="ja-JP"/>
              </w:rPr>
            </w:pPr>
            <w:r w:rsidRPr="00F9410F">
              <w:rPr>
                <w:lang w:val="es-ES" w:eastAsia="ja-JP"/>
              </w:rPr>
              <w:t>Informe UIT</w:t>
            </w:r>
            <w:r w:rsidRPr="00F9410F">
              <w:rPr>
                <w:lang w:val="es-ES" w:eastAsia="ja-JP"/>
              </w:rPr>
              <w:noBreakHyphen/>
              <w:t>R M.2287-0</w:t>
            </w:r>
          </w:p>
        </w:tc>
      </w:tr>
      <w:tr w:rsidR="00C00643" w:rsidRPr="00F9410F" w:rsidTr="002F1E53">
        <w:trPr>
          <w:trHeight w:val="210"/>
          <w:jc w:val="center"/>
        </w:trPr>
        <w:tc>
          <w:tcPr>
            <w:tcW w:w="1526" w:type="dxa"/>
          </w:tcPr>
          <w:p w:rsidR="00C00643" w:rsidRPr="00F9410F" w:rsidRDefault="00C00643" w:rsidP="00956452">
            <w:pPr>
              <w:pStyle w:val="Tabletext"/>
              <w:jc w:val="center"/>
              <w:rPr>
                <w:lang w:val="es-ES" w:eastAsia="ja-JP"/>
              </w:rPr>
            </w:pPr>
            <w:r w:rsidRPr="00F9410F">
              <w:rPr>
                <w:lang w:val="es-ES"/>
              </w:rPr>
              <w:t>1.</w:t>
            </w:r>
            <w:r w:rsidRPr="00F9410F">
              <w:rPr>
                <w:lang w:val="es-ES" w:eastAsia="ja-JP"/>
              </w:rPr>
              <w:t>16</w:t>
            </w:r>
          </w:p>
        </w:tc>
        <w:tc>
          <w:tcPr>
            <w:tcW w:w="2852"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rPr>
              <w:t>360</w:t>
            </w:r>
            <w:r w:rsidRPr="00F9410F">
              <w:rPr>
                <w:b/>
                <w:bCs/>
                <w:color w:val="000000"/>
                <w:lang w:val="es-ES" w:eastAsia="nl-NL"/>
              </w:rPr>
              <w:t xml:space="preserve"> </w:t>
            </w:r>
            <w:r w:rsidRPr="00F9410F">
              <w:rPr>
                <w:b/>
                <w:bCs/>
                <w:lang w:val="es-ES"/>
              </w:rPr>
              <w:t>(CMR</w:t>
            </w:r>
            <w:r w:rsidRPr="00F9410F">
              <w:rPr>
                <w:b/>
                <w:bCs/>
                <w:lang w:val="es-ES"/>
              </w:rPr>
              <w:noBreakHyphen/>
              <w:t>12)</w:t>
            </w:r>
          </w:p>
        </w:tc>
        <w:tc>
          <w:tcPr>
            <w:tcW w:w="4944" w:type="dxa"/>
          </w:tcPr>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003765A1">
              <w:rPr>
                <w:lang w:val="es-ES" w:eastAsia="ja-JP"/>
              </w:rPr>
              <w:t>M.1371-5</w:t>
            </w:r>
          </w:p>
          <w:p w:rsidR="00C00643" w:rsidRPr="00F9410F" w:rsidRDefault="00C00643" w:rsidP="002F1E53">
            <w:pPr>
              <w:pStyle w:val="Tabletext"/>
              <w:rPr>
                <w:lang w:val="es-ES" w:eastAsia="ja-JP"/>
              </w:rPr>
            </w:pPr>
            <w:r w:rsidRPr="00F9410F">
              <w:rPr>
                <w:lang w:val="es-ES" w:eastAsia="ja-JP"/>
              </w:rPr>
              <w:t>Proyecto de nueva R</w:t>
            </w:r>
            <w:r w:rsidR="003765A1">
              <w:rPr>
                <w:lang w:val="es-ES" w:eastAsia="ja-JP"/>
              </w:rPr>
              <w:t>ecomendación UIT-R M.[VDES] (*)</w:t>
            </w:r>
          </w:p>
          <w:p w:rsidR="00C00643" w:rsidRPr="00A07CD7" w:rsidRDefault="00C00643" w:rsidP="002F1E53">
            <w:pPr>
              <w:pStyle w:val="Tabletext"/>
              <w:rPr>
                <w:lang w:val="fr-CH" w:eastAsia="ja-JP"/>
              </w:rPr>
            </w:pPr>
            <w:r w:rsidRPr="00A07CD7">
              <w:rPr>
                <w:lang w:val="fr-CH" w:eastAsia="ja-JP"/>
              </w:rPr>
              <w:t>Informe UIT</w:t>
            </w:r>
            <w:r w:rsidRPr="00A07CD7">
              <w:rPr>
                <w:lang w:val="fr-CH" w:eastAsia="ja-JP"/>
              </w:rPr>
              <w:noBreakHyphen/>
              <w:t>R M</w:t>
            </w:r>
            <w:r w:rsidR="003765A1">
              <w:rPr>
                <w:lang w:val="fr-CH" w:eastAsia="ja-JP"/>
              </w:rPr>
              <w:t>.2231-1, Informe UIT</w:t>
            </w:r>
            <w:r w:rsidR="003765A1">
              <w:rPr>
                <w:lang w:val="fr-CH" w:eastAsia="ja-JP"/>
              </w:rPr>
              <w:noBreakHyphen/>
              <w:t>R M.2317-0</w:t>
            </w:r>
          </w:p>
          <w:p w:rsidR="00C00643" w:rsidRPr="00A07CD7" w:rsidRDefault="00C00643" w:rsidP="002F1E53">
            <w:pPr>
              <w:pStyle w:val="Tabletext"/>
              <w:rPr>
                <w:lang w:val="fr-CH" w:eastAsia="ja-JP"/>
              </w:rPr>
            </w:pPr>
            <w:r w:rsidRPr="00A07CD7">
              <w:rPr>
                <w:lang w:val="fr-CH" w:eastAsia="ja-JP"/>
              </w:rPr>
              <w:t>Informe UIT</w:t>
            </w:r>
            <w:r w:rsidR="003765A1">
              <w:rPr>
                <w:lang w:val="fr-CH" w:eastAsia="ja-JP"/>
              </w:rPr>
              <w:t>-R M.2369, Informe UIT-R M.2371</w:t>
            </w:r>
          </w:p>
          <w:p w:rsidR="00C00643" w:rsidRPr="00F9410F" w:rsidRDefault="00C00643" w:rsidP="002F1E53">
            <w:pPr>
              <w:pStyle w:val="Tabletext"/>
              <w:rPr>
                <w:lang w:val="es-ES" w:eastAsia="ja-JP"/>
              </w:rPr>
            </w:pPr>
            <w:r w:rsidRPr="00F9410F">
              <w:rPr>
                <w:lang w:val="es-ES" w:eastAsia="ja-JP"/>
              </w:rPr>
              <w:t>Informe UIT-R M.2372</w:t>
            </w:r>
          </w:p>
        </w:tc>
      </w:tr>
      <w:tr w:rsidR="00C00643" w:rsidRPr="00740256" w:rsidTr="002F1E53">
        <w:trPr>
          <w:jc w:val="center"/>
        </w:trPr>
        <w:tc>
          <w:tcPr>
            <w:tcW w:w="1526" w:type="dxa"/>
            <w:tcBorders>
              <w:bottom w:val="single" w:sz="4" w:space="0" w:color="auto"/>
            </w:tcBorders>
          </w:tcPr>
          <w:p w:rsidR="00C00643" w:rsidRPr="00F9410F" w:rsidRDefault="00C00643" w:rsidP="00956452">
            <w:pPr>
              <w:pStyle w:val="Tabletext"/>
              <w:jc w:val="center"/>
              <w:rPr>
                <w:lang w:val="es-ES" w:eastAsia="ja-JP"/>
              </w:rPr>
            </w:pPr>
            <w:r w:rsidRPr="00F9410F">
              <w:rPr>
                <w:lang w:val="es-ES"/>
              </w:rPr>
              <w:t>1.</w:t>
            </w:r>
            <w:r w:rsidRPr="00F9410F">
              <w:rPr>
                <w:lang w:val="es-ES" w:eastAsia="ja-JP"/>
              </w:rPr>
              <w:t>17</w:t>
            </w:r>
          </w:p>
        </w:tc>
        <w:tc>
          <w:tcPr>
            <w:tcW w:w="2852" w:type="dxa"/>
            <w:tcBorders>
              <w:bottom w:val="single" w:sz="4" w:space="0" w:color="auto"/>
            </w:tcBorders>
          </w:tcPr>
          <w:p w:rsidR="00C00643" w:rsidRPr="00F9410F" w:rsidRDefault="00C00643" w:rsidP="002F1E53">
            <w:pPr>
              <w:pStyle w:val="Tabletext"/>
              <w:rPr>
                <w:lang w:val="es-ES" w:eastAsia="ja-JP"/>
              </w:rPr>
            </w:pPr>
            <w:r w:rsidRPr="00F9410F">
              <w:rPr>
                <w:lang w:val="es-ES"/>
              </w:rPr>
              <w:t xml:space="preserve">Resolución </w:t>
            </w:r>
            <w:r w:rsidRPr="00F9410F">
              <w:rPr>
                <w:rFonts w:ascii="Times New Roman Bold" w:hAnsi="Times New Roman Bold" w:cs="Times New Roman Bold"/>
                <w:b/>
                <w:bCs/>
                <w:lang w:val="es-ES"/>
              </w:rPr>
              <w:t xml:space="preserve">423 </w:t>
            </w:r>
            <w:r w:rsidRPr="00F9410F">
              <w:rPr>
                <w:b/>
                <w:bCs/>
                <w:lang w:val="es-ES"/>
              </w:rPr>
              <w:t>(CMR</w:t>
            </w:r>
            <w:r w:rsidRPr="00F9410F">
              <w:rPr>
                <w:b/>
                <w:bCs/>
                <w:lang w:val="es-ES"/>
              </w:rPr>
              <w:noBreakHyphen/>
              <w:t>12)</w:t>
            </w:r>
          </w:p>
        </w:tc>
        <w:tc>
          <w:tcPr>
            <w:tcW w:w="4944" w:type="dxa"/>
            <w:tcBorders>
              <w:bottom w:val="single" w:sz="4" w:space="0" w:color="auto"/>
            </w:tcBorders>
          </w:tcPr>
          <w:p w:rsidR="003765A1" w:rsidRDefault="00C00643" w:rsidP="003765A1">
            <w:pPr>
              <w:pStyle w:val="Tabletext"/>
              <w:rPr>
                <w:lang w:val="es-ES" w:eastAsia="ja-JP"/>
              </w:rPr>
            </w:pPr>
            <w:r w:rsidRPr="00F9410F">
              <w:rPr>
                <w:lang w:val="es-ES" w:eastAsia="ja-JP"/>
              </w:rPr>
              <w:t xml:space="preserve">Recomendación </w:t>
            </w:r>
            <w:r w:rsidRPr="00F9410F">
              <w:rPr>
                <w:lang w:val="es-ES"/>
              </w:rPr>
              <w:t xml:space="preserve">UIT-R </w:t>
            </w:r>
            <w:r w:rsidR="003765A1">
              <w:rPr>
                <w:lang w:val="es-ES" w:eastAsia="ja-JP"/>
              </w:rPr>
              <w:t>M.2059-0</w:t>
            </w:r>
          </w:p>
          <w:p w:rsidR="00C00643" w:rsidRPr="00F9410F" w:rsidRDefault="00C00643" w:rsidP="003765A1">
            <w:pPr>
              <w:pStyle w:val="Tabletext"/>
              <w:rPr>
                <w:lang w:val="es-ES" w:eastAsia="ja-JP"/>
              </w:rPr>
            </w:pPr>
            <w:r w:rsidRPr="00F9410F">
              <w:rPr>
                <w:lang w:val="es-ES" w:eastAsia="ja-JP"/>
              </w:rPr>
              <w:t>Recomendación </w:t>
            </w:r>
            <w:r w:rsidRPr="00F9410F">
              <w:rPr>
                <w:lang w:val="es-ES"/>
              </w:rPr>
              <w:t xml:space="preserve">UIT-R </w:t>
            </w:r>
            <w:r w:rsidR="003765A1">
              <w:rPr>
                <w:lang w:val="es-ES" w:eastAsia="ja-JP"/>
              </w:rPr>
              <w:t>M.2067-0</w:t>
            </w:r>
          </w:p>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Pr="00F9410F">
              <w:rPr>
                <w:lang w:val="es-ES" w:eastAsia="ja-JP"/>
              </w:rPr>
              <w:t>M.2085</w:t>
            </w:r>
          </w:p>
          <w:p w:rsidR="003765A1" w:rsidRDefault="003765A1" w:rsidP="002F1E53">
            <w:pPr>
              <w:pStyle w:val="Tabletext"/>
              <w:rPr>
                <w:lang w:val="es-ES" w:eastAsia="ja-JP"/>
              </w:rPr>
            </w:pPr>
            <w:r>
              <w:rPr>
                <w:lang w:val="es-ES" w:eastAsia="ja-JP"/>
              </w:rPr>
              <w:t>Informe UIT</w:t>
            </w:r>
            <w:r>
              <w:rPr>
                <w:lang w:val="es-ES" w:eastAsia="ja-JP"/>
              </w:rPr>
              <w:noBreakHyphen/>
              <w:t>R M.2283-0</w:t>
            </w:r>
          </w:p>
          <w:p w:rsidR="00C00643" w:rsidRPr="00B16476" w:rsidRDefault="003765A1" w:rsidP="002F1E53">
            <w:pPr>
              <w:pStyle w:val="Tabletext"/>
              <w:rPr>
                <w:lang w:val="fr-CH" w:eastAsia="ja-JP"/>
              </w:rPr>
            </w:pPr>
            <w:r w:rsidRPr="00B16476">
              <w:rPr>
                <w:lang w:val="fr-CH" w:eastAsia="ja-JP"/>
              </w:rPr>
              <w:t>Informe UIT</w:t>
            </w:r>
            <w:r w:rsidRPr="00B16476">
              <w:rPr>
                <w:lang w:val="fr-CH" w:eastAsia="ja-JP"/>
              </w:rPr>
              <w:noBreakHyphen/>
              <w:t>R M.2318-0</w:t>
            </w:r>
          </w:p>
          <w:p w:rsidR="00C00643" w:rsidRPr="00B16476" w:rsidRDefault="00C00643" w:rsidP="002F1E53">
            <w:pPr>
              <w:pStyle w:val="Tabletext"/>
              <w:rPr>
                <w:szCs w:val="22"/>
                <w:lang w:val="fr-CH" w:eastAsia="ja-JP"/>
              </w:rPr>
            </w:pPr>
            <w:r w:rsidRPr="00B16476">
              <w:rPr>
                <w:lang w:val="fr-CH" w:eastAsia="ja-JP"/>
              </w:rPr>
              <w:t>Informe UIT</w:t>
            </w:r>
            <w:r w:rsidRPr="00B16476">
              <w:rPr>
                <w:lang w:val="fr-CH" w:eastAsia="ja-JP"/>
              </w:rPr>
              <w:noBreakHyphen/>
              <w:t>R M.2319-0</w:t>
            </w:r>
          </w:p>
        </w:tc>
      </w:tr>
      <w:tr w:rsidR="00C00643" w:rsidRPr="00F9410F" w:rsidTr="00956452">
        <w:trPr>
          <w:jc w:val="center"/>
        </w:trPr>
        <w:tc>
          <w:tcPr>
            <w:tcW w:w="1526" w:type="dxa"/>
            <w:tcBorders>
              <w:bottom w:val="single" w:sz="4" w:space="0" w:color="auto"/>
            </w:tcBorders>
          </w:tcPr>
          <w:p w:rsidR="00C00643" w:rsidRPr="00F9410F" w:rsidRDefault="00C00643" w:rsidP="00956452">
            <w:pPr>
              <w:pStyle w:val="Tabletext"/>
              <w:jc w:val="center"/>
              <w:rPr>
                <w:lang w:val="es-ES" w:eastAsia="ja-JP"/>
              </w:rPr>
            </w:pPr>
            <w:r w:rsidRPr="00F9410F">
              <w:rPr>
                <w:lang w:val="es-ES" w:eastAsia="ja-JP"/>
              </w:rPr>
              <w:t>1.18</w:t>
            </w:r>
          </w:p>
        </w:tc>
        <w:tc>
          <w:tcPr>
            <w:tcW w:w="2852" w:type="dxa"/>
            <w:tcBorders>
              <w:bottom w:val="single" w:sz="4" w:space="0" w:color="auto"/>
            </w:tcBorders>
          </w:tcPr>
          <w:p w:rsidR="00C00643" w:rsidRPr="00F9410F" w:rsidRDefault="00C00643" w:rsidP="002F1E53">
            <w:pPr>
              <w:pStyle w:val="Tabletext"/>
              <w:rPr>
                <w:lang w:val="es-ES" w:eastAsia="ja-JP"/>
              </w:rPr>
            </w:pPr>
            <w:r w:rsidRPr="00F9410F">
              <w:rPr>
                <w:lang w:val="es-ES"/>
              </w:rPr>
              <w:t xml:space="preserve">Resolución </w:t>
            </w:r>
            <w:r w:rsidRPr="00F9410F">
              <w:rPr>
                <w:rFonts w:ascii="Times New Roman Bold" w:hAnsi="Times New Roman Bold" w:cs="Times New Roman Bold"/>
                <w:b/>
                <w:bCs/>
                <w:lang w:val="es-ES"/>
              </w:rPr>
              <w:t>654</w:t>
            </w:r>
            <w:r w:rsidRPr="00F9410F">
              <w:rPr>
                <w:b/>
                <w:bCs/>
                <w:lang w:val="es-ES"/>
              </w:rPr>
              <w:t xml:space="preserve"> (CMR</w:t>
            </w:r>
            <w:r w:rsidRPr="00F9410F">
              <w:rPr>
                <w:b/>
                <w:bCs/>
                <w:lang w:val="es-ES"/>
              </w:rPr>
              <w:noBreakHyphen/>
              <w:t>12)</w:t>
            </w:r>
          </w:p>
        </w:tc>
        <w:tc>
          <w:tcPr>
            <w:tcW w:w="4944" w:type="dxa"/>
            <w:tcBorders>
              <w:bottom w:val="single" w:sz="4" w:space="0" w:color="auto"/>
            </w:tcBorders>
          </w:tcPr>
          <w:p w:rsidR="00C00643" w:rsidRPr="00F9410F" w:rsidRDefault="00C00643" w:rsidP="002F1E53">
            <w:pPr>
              <w:pStyle w:val="Tabletext"/>
              <w:rPr>
                <w:lang w:val="es-ES"/>
              </w:rPr>
            </w:pPr>
            <w:r w:rsidRPr="00F9410F">
              <w:rPr>
                <w:lang w:val="es-ES" w:eastAsia="ja-JP"/>
              </w:rPr>
              <w:t>Informe UIT</w:t>
            </w:r>
            <w:r w:rsidRPr="00F9410F">
              <w:rPr>
                <w:lang w:val="es-ES" w:eastAsia="ja-JP"/>
              </w:rPr>
              <w:noBreakHyphen/>
              <w:t>R M.2322-0</w:t>
            </w:r>
          </w:p>
        </w:tc>
      </w:tr>
      <w:tr w:rsidR="00956452" w:rsidRPr="00F9410F" w:rsidTr="00956452">
        <w:trPr>
          <w:jc w:val="center"/>
        </w:trPr>
        <w:tc>
          <w:tcPr>
            <w:tcW w:w="9322" w:type="dxa"/>
            <w:gridSpan w:val="3"/>
            <w:tcBorders>
              <w:left w:val="nil"/>
              <w:bottom w:val="nil"/>
              <w:right w:val="nil"/>
            </w:tcBorders>
          </w:tcPr>
          <w:p w:rsidR="00956452" w:rsidRPr="00F9410F" w:rsidRDefault="00956452" w:rsidP="00E121B4">
            <w:pPr>
              <w:pStyle w:val="Tablelegend"/>
              <w:rPr>
                <w:lang w:val="es-ES" w:eastAsia="ja-JP"/>
              </w:rPr>
            </w:pPr>
            <w:r w:rsidRPr="00F9410F">
              <w:rPr>
                <w:lang w:val="es-ES" w:eastAsia="ja-JP"/>
              </w:rPr>
              <w:t>(*)</w:t>
            </w:r>
            <w:r>
              <w:rPr>
                <w:lang w:val="es-ES" w:eastAsia="ja-JP"/>
              </w:rPr>
              <w:tab/>
            </w:r>
            <w:r w:rsidRPr="00F9410F">
              <w:rPr>
                <w:lang w:val="es-ES" w:eastAsia="ja-JP"/>
              </w:rPr>
              <w:t xml:space="preserve">Este proyecto de nueva Recomendación se ha trasladado a la AR-15 para su consideración (véase el Documento </w:t>
            </w:r>
            <w:hyperlink r:id="rId24" w:history="1">
              <w:r w:rsidRPr="00F9410F">
                <w:rPr>
                  <w:rStyle w:val="Hyperlink"/>
                  <w:szCs w:val="16"/>
                  <w:lang w:val="es-ES" w:eastAsia="ja-JP"/>
                </w:rPr>
                <w:t>5/1007</w:t>
              </w:r>
            </w:hyperlink>
            <w:r w:rsidRPr="00F9410F">
              <w:rPr>
                <w:lang w:val="es-ES" w:eastAsia="ja-JP"/>
              </w:rPr>
              <w:t>).</w:t>
            </w:r>
          </w:p>
        </w:tc>
      </w:tr>
    </w:tbl>
    <w:p w:rsidR="00C00643" w:rsidRPr="00F9410F" w:rsidRDefault="00C00643" w:rsidP="00C00643">
      <w:pPr>
        <w:pStyle w:val="TableNo"/>
        <w:spacing w:before="360"/>
        <w:rPr>
          <w:lang w:val="es-ES" w:eastAsia="ja-JP"/>
        </w:rPr>
      </w:pPr>
      <w:r w:rsidRPr="00F9410F">
        <w:rPr>
          <w:lang w:val="es-ES" w:eastAsia="ja-JP"/>
        </w:rPr>
        <w:t>cuadro 2-2</w:t>
      </w:r>
    </w:p>
    <w:p w:rsidR="00C00643" w:rsidRPr="00F9410F" w:rsidRDefault="00C00643" w:rsidP="00C00643">
      <w:pPr>
        <w:pStyle w:val="Tabletitle"/>
        <w:rPr>
          <w:lang w:val="es-ES" w:eastAsia="ja-JP"/>
        </w:rPr>
      </w:pPr>
      <w:r w:rsidRPr="00F9410F">
        <w:rPr>
          <w:color w:val="000000"/>
          <w:lang w:val="es-ES"/>
        </w:rPr>
        <w:t xml:space="preserve">Resultados del Grupo de Trabajo 5B en cuanto que grupo contribuyente relativos a la CMR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C00643" w:rsidRPr="00F9410F" w:rsidTr="002F1E53">
        <w:trPr>
          <w:jc w:val="center"/>
        </w:trPr>
        <w:tc>
          <w:tcPr>
            <w:tcW w:w="1526" w:type="dxa"/>
          </w:tcPr>
          <w:p w:rsidR="00C00643" w:rsidRPr="00F9410F" w:rsidRDefault="00C00643" w:rsidP="002F1E53">
            <w:pPr>
              <w:pStyle w:val="Tablehead"/>
              <w:rPr>
                <w:lang w:val="es-ES"/>
              </w:rPr>
            </w:pPr>
            <w:r w:rsidRPr="00F9410F">
              <w:rPr>
                <w:lang w:val="es-ES"/>
              </w:rPr>
              <w:t xml:space="preserve">Punto del orden del día </w:t>
            </w:r>
          </w:p>
        </w:tc>
        <w:tc>
          <w:tcPr>
            <w:tcW w:w="2852" w:type="dxa"/>
            <w:vAlign w:val="center"/>
          </w:tcPr>
          <w:p w:rsidR="00C00643" w:rsidRPr="00F9410F" w:rsidRDefault="00C00643" w:rsidP="002F1E53">
            <w:pPr>
              <w:pStyle w:val="Tablehead"/>
              <w:rPr>
                <w:lang w:val="es-ES" w:eastAsia="ja-JP"/>
              </w:rPr>
            </w:pPr>
            <w:r w:rsidRPr="00F9410F">
              <w:rPr>
                <w:lang w:val="es-ES"/>
              </w:rPr>
              <w:t>Resoluciones de la CMR</w:t>
            </w:r>
          </w:p>
        </w:tc>
        <w:tc>
          <w:tcPr>
            <w:tcW w:w="4944" w:type="dxa"/>
            <w:vAlign w:val="center"/>
          </w:tcPr>
          <w:p w:rsidR="00C00643" w:rsidRPr="00F9410F" w:rsidRDefault="00C00643" w:rsidP="002F1E53">
            <w:pPr>
              <w:pStyle w:val="Tablehead"/>
              <w:rPr>
                <w:lang w:val="es-ES" w:eastAsia="ja-JP"/>
              </w:rPr>
            </w:pPr>
            <w:r w:rsidRPr="00F9410F">
              <w:rPr>
                <w:lang w:val="es-ES" w:eastAsia="ja-JP"/>
              </w:rPr>
              <w:t>Recomendaciones e Informes conexos</w:t>
            </w:r>
          </w:p>
        </w:tc>
      </w:tr>
      <w:tr w:rsidR="00C00643" w:rsidRPr="00F9410F" w:rsidTr="002F1E53">
        <w:trPr>
          <w:jc w:val="center"/>
        </w:trPr>
        <w:tc>
          <w:tcPr>
            <w:tcW w:w="1526" w:type="dxa"/>
          </w:tcPr>
          <w:p w:rsidR="00C00643" w:rsidRPr="00F9410F" w:rsidRDefault="00C00643" w:rsidP="003765A1">
            <w:pPr>
              <w:pStyle w:val="Tabletext"/>
              <w:jc w:val="center"/>
              <w:rPr>
                <w:lang w:val="es-ES" w:eastAsia="ja-JP"/>
              </w:rPr>
            </w:pPr>
            <w:r w:rsidRPr="00F9410F">
              <w:rPr>
                <w:lang w:val="es-ES" w:eastAsia="ja-JP"/>
              </w:rPr>
              <w:t>1.1</w:t>
            </w:r>
          </w:p>
        </w:tc>
        <w:tc>
          <w:tcPr>
            <w:tcW w:w="2852"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233</w:t>
            </w:r>
            <w:r w:rsidRPr="00F9410F">
              <w:rPr>
                <w:b/>
                <w:bCs/>
                <w:lang w:val="es-ES"/>
              </w:rPr>
              <w:t xml:space="preserve"> (CMR</w:t>
            </w:r>
            <w:r w:rsidRPr="00F9410F">
              <w:rPr>
                <w:b/>
                <w:bCs/>
                <w:lang w:val="es-ES"/>
              </w:rPr>
              <w:noBreakHyphen/>
              <w:t>12)</w:t>
            </w:r>
          </w:p>
        </w:tc>
        <w:tc>
          <w:tcPr>
            <w:tcW w:w="4944" w:type="dxa"/>
          </w:tcPr>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Pr="00F9410F">
              <w:rPr>
                <w:lang w:val="es-ES" w:eastAsia="ja-JP"/>
              </w:rPr>
              <w:t>M.1464-2, Recomendación </w:t>
            </w:r>
            <w:r w:rsidRPr="00F9410F">
              <w:rPr>
                <w:lang w:val="es-ES"/>
              </w:rPr>
              <w:t xml:space="preserve">UIT-R </w:t>
            </w:r>
            <w:r w:rsidRPr="00F9410F">
              <w:rPr>
                <w:lang w:val="es-ES" w:eastAsia="ja-JP"/>
              </w:rPr>
              <w:t>M.1465-2</w:t>
            </w:r>
          </w:p>
          <w:p w:rsidR="00C00643" w:rsidRPr="00F9410F" w:rsidRDefault="00C00643" w:rsidP="002F1E53">
            <w:pPr>
              <w:pStyle w:val="Tabletext"/>
              <w:rPr>
                <w:lang w:val="es-ES" w:eastAsia="ja-JP"/>
              </w:rPr>
            </w:pPr>
            <w:r w:rsidRPr="00F9410F">
              <w:rPr>
                <w:lang w:val="es-ES" w:eastAsia="ja-JP"/>
              </w:rPr>
              <w:t>Informe UIT</w:t>
            </w:r>
            <w:r w:rsidRPr="00F9410F">
              <w:rPr>
                <w:lang w:val="es-ES" w:eastAsia="ja-JP"/>
              </w:rPr>
              <w:noBreakHyphen/>
              <w:t>R M.2286-0</w:t>
            </w:r>
          </w:p>
        </w:tc>
      </w:tr>
      <w:tr w:rsidR="00C00643" w:rsidRPr="00F9410F" w:rsidTr="002F1E53">
        <w:trPr>
          <w:jc w:val="center"/>
        </w:trPr>
        <w:tc>
          <w:tcPr>
            <w:tcW w:w="1526" w:type="dxa"/>
          </w:tcPr>
          <w:p w:rsidR="00C00643" w:rsidRPr="00F9410F" w:rsidRDefault="00C00643" w:rsidP="003765A1">
            <w:pPr>
              <w:pStyle w:val="Tabletext"/>
              <w:jc w:val="center"/>
              <w:rPr>
                <w:lang w:val="es-ES" w:eastAsia="ja-JP"/>
              </w:rPr>
            </w:pPr>
            <w:r w:rsidRPr="00F9410F">
              <w:rPr>
                <w:lang w:val="es-ES" w:eastAsia="ja-JP"/>
              </w:rPr>
              <w:t>1.6</w:t>
            </w:r>
          </w:p>
        </w:tc>
        <w:tc>
          <w:tcPr>
            <w:tcW w:w="2852"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rPr>
            </w:pPr>
            <w:r w:rsidRPr="00F9410F">
              <w:rPr>
                <w:lang w:val="es-ES"/>
              </w:rPr>
              <w:t xml:space="preserve">Resolución </w:t>
            </w:r>
            <w:r w:rsidRPr="00F9410F">
              <w:rPr>
                <w:rFonts w:ascii="Times New Roman Bold" w:eastAsia="SimSun" w:hAnsi="Times New Roman Bold" w:cs="Times New Roman Bold"/>
                <w:b/>
                <w:bCs/>
                <w:lang w:val="es-ES"/>
              </w:rPr>
              <w:t xml:space="preserve">151 </w:t>
            </w:r>
            <w:r w:rsidRPr="00F9410F">
              <w:rPr>
                <w:b/>
                <w:bCs/>
                <w:lang w:val="es-ES"/>
              </w:rPr>
              <w:t>(CMR</w:t>
            </w:r>
            <w:r w:rsidRPr="00F9410F">
              <w:rPr>
                <w:b/>
                <w:bCs/>
                <w:lang w:val="es-ES"/>
              </w:rPr>
              <w:noBreakHyphen/>
              <w:t>12)</w:t>
            </w:r>
          </w:p>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eastAsia="SimSun" w:hAnsi="Times New Roman Bold" w:cs="Times New Roman Bold"/>
                <w:b/>
                <w:bCs/>
                <w:lang w:val="es-ES"/>
              </w:rPr>
              <w:t>15</w:t>
            </w:r>
            <w:r w:rsidRPr="00F9410F">
              <w:rPr>
                <w:rFonts w:ascii="Times New Roman Bold" w:hAnsi="Times New Roman Bold" w:cs="Times New Roman Bold"/>
                <w:b/>
                <w:bCs/>
                <w:lang w:val="es-ES" w:eastAsia="ja-JP"/>
              </w:rPr>
              <w:t>2</w:t>
            </w:r>
            <w:r w:rsidRPr="00F9410F">
              <w:rPr>
                <w:rFonts w:ascii="Times New Roman Bold" w:eastAsia="SimSun" w:hAnsi="Times New Roman Bold" w:cs="Times New Roman Bold"/>
                <w:b/>
                <w:bCs/>
                <w:lang w:val="es-ES"/>
              </w:rPr>
              <w:t xml:space="preserve"> </w:t>
            </w:r>
            <w:r w:rsidRPr="00F9410F">
              <w:rPr>
                <w:b/>
                <w:bCs/>
                <w:lang w:val="es-ES"/>
              </w:rPr>
              <w:t>(CMR</w:t>
            </w:r>
            <w:r w:rsidRPr="00F9410F">
              <w:rPr>
                <w:b/>
                <w:bCs/>
                <w:lang w:val="es-ES"/>
              </w:rPr>
              <w:noBreakHyphen/>
              <w:t>12)</w:t>
            </w:r>
          </w:p>
        </w:tc>
        <w:tc>
          <w:tcPr>
            <w:tcW w:w="4944" w:type="dxa"/>
          </w:tcPr>
          <w:p w:rsidR="00C00643" w:rsidRPr="00F9410F" w:rsidRDefault="00C00643" w:rsidP="002F1E53">
            <w:pPr>
              <w:pStyle w:val="Tabletext"/>
              <w:rPr>
                <w:lang w:val="es-ES" w:eastAsia="ja-JP"/>
              </w:rPr>
            </w:pPr>
            <w:r w:rsidRPr="00F9410F">
              <w:rPr>
                <w:lang w:val="es-ES" w:eastAsia="ja-JP"/>
              </w:rPr>
              <w:t>Proyecto de nueva Recomendación UIT-R M.[AMS</w:t>
            </w:r>
            <w:r w:rsidRPr="00F9410F">
              <w:rPr>
                <w:lang w:val="es-ES" w:eastAsia="ja-JP"/>
              </w:rPr>
              <w:noBreakHyphen/>
              <w:t>CHAR</w:t>
            </w:r>
            <w:r w:rsidRPr="00F9410F">
              <w:rPr>
                <w:lang w:val="es-ES" w:eastAsia="ja-JP"/>
              </w:rPr>
              <w:noBreakHyphen/>
              <w:t>15GHz] (*)</w:t>
            </w:r>
          </w:p>
        </w:tc>
      </w:tr>
      <w:tr w:rsidR="00C00643" w:rsidRPr="00F9410F" w:rsidTr="002F1E53">
        <w:trPr>
          <w:jc w:val="center"/>
        </w:trPr>
        <w:tc>
          <w:tcPr>
            <w:tcW w:w="1526" w:type="dxa"/>
          </w:tcPr>
          <w:p w:rsidR="00C00643" w:rsidRPr="00F9410F" w:rsidRDefault="00C00643" w:rsidP="003765A1">
            <w:pPr>
              <w:pStyle w:val="Tabletext"/>
              <w:jc w:val="center"/>
              <w:rPr>
                <w:lang w:val="es-ES" w:eastAsia="ja-JP"/>
              </w:rPr>
            </w:pPr>
            <w:r w:rsidRPr="00F9410F">
              <w:rPr>
                <w:lang w:val="es-ES"/>
              </w:rPr>
              <w:t>1.</w:t>
            </w:r>
            <w:r w:rsidRPr="00F9410F">
              <w:rPr>
                <w:lang w:val="es-ES" w:eastAsia="ja-JP"/>
              </w:rPr>
              <w:t>7</w:t>
            </w:r>
          </w:p>
        </w:tc>
        <w:tc>
          <w:tcPr>
            <w:tcW w:w="2852"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eastAsia="ja-JP"/>
              </w:rPr>
            </w:pPr>
            <w:r w:rsidRPr="00F9410F">
              <w:rPr>
                <w:lang w:val="es-ES"/>
              </w:rPr>
              <w:t xml:space="preserve">Resolución </w:t>
            </w:r>
            <w:r w:rsidRPr="00F9410F">
              <w:rPr>
                <w:b/>
                <w:bCs/>
                <w:lang w:val="es-ES"/>
              </w:rPr>
              <w:t>114 (Rev.CMR</w:t>
            </w:r>
            <w:r w:rsidRPr="00F9410F">
              <w:rPr>
                <w:b/>
                <w:bCs/>
                <w:lang w:val="es-ES"/>
              </w:rPr>
              <w:noBreakHyphen/>
              <w:t>12)</w:t>
            </w:r>
          </w:p>
        </w:tc>
        <w:tc>
          <w:tcPr>
            <w:tcW w:w="4944" w:type="dxa"/>
          </w:tcPr>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Pr="00F9410F">
              <w:rPr>
                <w:lang w:val="es-ES" w:eastAsia="ja-JP"/>
              </w:rPr>
              <w:t>M.1827-1</w:t>
            </w:r>
          </w:p>
        </w:tc>
      </w:tr>
      <w:tr w:rsidR="00C00643" w:rsidRPr="00F9410F" w:rsidTr="00E121B4">
        <w:trPr>
          <w:trHeight w:val="210"/>
          <w:jc w:val="center"/>
        </w:trPr>
        <w:tc>
          <w:tcPr>
            <w:tcW w:w="1526" w:type="dxa"/>
            <w:tcBorders>
              <w:bottom w:val="single" w:sz="4" w:space="0" w:color="auto"/>
            </w:tcBorders>
          </w:tcPr>
          <w:p w:rsidR="00C00643" w:rsidRPr="00F9410F" w:rsidRDefault="00C00643" w:rsidP="003765A1">
            <w:pPr>
              <w:pStyle w:val="Tabletext"/>
              <w:jc w:val="center"/>
              <w:rPr>
                <w:lang w:val="es-ES" w:eastAsia="ja-JP"/>
              </w:rPr>
            </w:pPr>
            <w:r w:rsidRPr="00F9410F">
              <w:rPr>
                <w:lang w:val="es-ES" w:eastAsia="ja-JP"/>
              </w:rPr>
              <w:t>1.12</w:t>
            </w:r>
          </w:p>
        </w:tc>
        <w:tc>
          <w:tcPr>
            <w:tcW w:w="2852" w:type="dxa"/>
            <w:tcBorders>
              <w:bottom w:val="single" w:sz="4" w:space="0" w:color="auto"/>
            </w:tcBorders>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rPr>
              <w:t>651</w:t>
            </w:r>
            <w:r w:rsidRPr="00F9410F">
              <w:rPr>
                <w:b/>
                <w:bCs/>
                <w:lang w:val="es-ES"/>
              </w:rPr>
              <w:t xml:space="preserve"> (CMR</w:t>
            </w:r>
            <w:r w:rsidRPr="00F9410F">
              <w:rPr>
                <w:b/>
                <w:bCs/>
                <w:lang w:val="es-ES"/>
              </w:rPr>
              <w:noBreakHyphen/>
              <w:t>12)</w:t>
            </w:r>
          </w:p>
        </w:tc>
        <w:tc>
          <w:tcPr>
            <w:tcW w:w="4944" w:type="dxa"/>
            <w:tcBorders>
              <w:bottom w:val="single" w:sz="4" w:space="0" w:color="auto"/>
            </w:tcBorders>
          </w:tcPr>
          <w:p w:rsidR="00C00643" w:rsidRPr="00F9410F" w:rsidRDefault="00C00643" w:rsidP="002F1E53">
            <w:pPr>
              <w:pStyle w:val="Tabletext"/>
              <w:rPr>
                <w:lang w:val="es-ES" w:eastAsia="ja-JP"/>
              </w:rPr>
            </w:pPr>
            <w:r w:rsidRPr="00F9410F">
              <w:rPr>
                <w:lang w:val="es-ES" w:eastAsia="ja-JP"/>
              </w:rPr>
              <w:t xml:space="preserve">Recomendación </w:t>
            </w:r>
            <w:r w:rsidRPr="00F9410F">
              <w:rPr>
                <w:lang w:val="es-ES"/>
              </w:rPr>
              <w:t xml:space="preserve">UIT-R </w:t>
            </w:r>
            <w:r w:rsidRPr="00F9410F">
              <w:rPr>
                <w:lang w:val="es-ES" w:eastAsia="ja-JP"/>
              </w:rPr>
              <w:t>M.629-2, Recomendación </w:t>
            </w:r>
            <w:r w:rsidRPr="00F9410F">
              <w:rPr>
                <w:lang w:val="es-ES"/>
              </w:rPr>
              <w:t>UIT</w:t>
            </w:r>
            <w:r w:rsidRPr="00F9410F">
              <w:rPr>
                <w:lang w:val="es-ES"/>
              </w:rPr>
              <w:noBreakHyphen/>
              <w:t xml:space="preserve">R </w:t>
            </w:r>
            <w:r w:rsidRPr="00F9410F">
              <w:rPr>
                <w:lang w:val="es-ES" w:eastAsia="ja-JP"/>
              </w:rPr>
              <w:t>M.1796-2</w:t>
            </w:r>
          </w:p>
        </w:tc>
      </w:tr>
      <w:tr w:rsidR="00E121B4" w:rsidRPr="00F9410F" w:rsidTr="00E121B4">
        <w:trPr>
          <w:trHeight w:val="210"/>
          <w:jc w:val="center"/>
        </w:trPr>
        <w:tc>
          <w:tcPr>
            <w:tcW w:w="9322" w:type="dxa"/>
            <w:gridSpan w:val="3"/>
            <w:tcBorders>
              <w:left w:val="nil"/>
              <w:bottom w:val="nil"/>
              <w:right w:val="nil"/>
            </w:tcBorders>
          </w:tcPr>
          <w:p w:rsidR="00E121B4" w:rsidRPr="00F9410F" w:rsidRDefault="00E121B4" w:rsidP="00E121B4">
            <w:pPr>
              <w:pStyle w:val="Tablelegend"/>
              <w:rPr>
                <w:lang w:val="es-ES" w:eastAsia="ja-JP"/>
              </w:rPr>
            </w:pPr>
            <w:r w:rsidRPr="00E121B4">
              <w:rPr>
                <w:vertAlign w:val="superscript"/>
                <w:lang w:val="es-ES" w:eastAsia="ja-JP"/>
              </w:rPr>
              <w:t>(*)</w:t>
            </w:r>
            <w:r>
              <w:rPr>
                <w:lang w:val="es-ES" w:eastAsia="ja-JP"/>
              </w:rPr>
              <w:tab/>
            </w:r>
            <w:r w:rsidRPr="00F9410F">
              <w:rPr>
                <w:lang w:val="es-ES" w:eastAsia="ja-JP"/>
              </w:rPr>
              <w:t xml:space="preserve">Este proyecto de nueva Recomendación se ha trasladado a la AR-15 para su consideración (véase el Documento </w:t>
            </w:r>
            <w:hyperlink r:id="rId25" w:history="1">
              <w:r w:rsidRPr="00F9410F">
                <w:rPr>
                  <w:rStyle w:val="Hyperlink"/>
                  <w:szCs w:val="16"/>
                  <w:lang w:val="es-ES" w:eastAsia="ja-JP"/>
                </w:rPr>
                <w:t>5/1006</w:t>
              </w:r>
            </w:hyperlink>
            <w:r w:rsidRPr="00F9410F">
              <w:rPr>
                <w:lang w:val="es-ES" w:eastAsia="ja-JP"/>
              </w:rPr>
              <w:t>).</w:t>
            </w:r>
          </w:p>
        </w:tc>
      </w:tr>
    </w:tbl>
    <w:p w:rsidR="00C00643" w:rsidRPr="00F9410F" w:rsidRDefault="00C00643" w:rsidP="00C00643">
      <w:pPr>
        <w:pStyle w:val="Heading3"/>
        <w:spacing w:before="360"/>
        <w:rPr>
          <w:lang w:val="es-ES" w:eastAsia="ja-JP"/>
        </w:rPr>
      </w:pPr>
      <w:r w:rsidRPr="00F9410F">
        <w:rPr>
          <w:lang w:val="es-ES" w:eastAsia="ja-JP"/>
        </w:rPr>
        <w:t>4.2.4</w:t>
      </w:r>
      <w:r w:rsidRPr="00F9410F">
        <w:rPr>
          <w:lang w:val="es-ES" w:eastAsia="ja-JP"/>
        </w:rPr>
        <w:tab/>
      </w:r>
      <w:r w:rsidRPr="00F9410F">
        <w:rPr>
          <w:lang w:val="es-ES"/>
        </w:rPr>
        <w:t>Trabajo relativo al seguimiento mundial de vuelos para la CMR</w:t>
      </w:r>
      <w:r w:rsidRPr="00F9410F">
        <w:rPr>
          <w:lang w:val="es-ES" w:eastAsia="ja-JP"/>
        </w:rPr>
        <w:noBreakHyphen/>
      </w:r>
      <w:r w:rsidRPr="00F9410F">
        <w:rPr>
          <w:lang w:val="es-ES"/>
        </w:rPr>
        <w:t>1</w:t>
      </w:r>
      <w:r w:rsidRPr="00F9410F">
        <w:rPr>
          <w:lang w:val="es-ES" w:eastAsia="ja-JP"/>
        </w:rPr>
        <w:t xml:space="preserve">5 </w:t>
      </w:r>
    </w:p>
    <w:p w:rsidR="00C00643" w:rsidRPr="00F9410F" w:rsidRDefault="00C00643" w:rsidP="00C00643">
      <w:pPr>
        <w:rPr>
          <w:lang w:val="es-ES" w:eastAsia="ja-JP"/>
        </w:rPr>
      </w:pPr>
      <w:r w:rsidRPr="00F9410F">
        <w:rPr>
          <w:lang w:val="es-ES" w:eastAsia="ja-JP"/>
        </w:rPr>
        <w:t xml:space="preserve">De resultas de lo acordado en la Conferencia de Plenipotenciarios, celebrada en noviembre de 2014, se encargó al Grupo de Trabajo 5B la realización de un estudio sobre la cuestión del seguimiento mundial de vuelos en preparación para la CMR-15, de acuerdo con la solicitud formulada por el Director de la Oficina de Radiocomunicaciones (Documento </w:t>
      </w:r>
      <w:hyperlink r:id="rId26" w:history="1">
        <w:r w:rsidRPr="00F9410F">
          <w:rPr>
            <w:rStyle w:val="Hyperlink"/>
            <w:lang w:val="es-ES" w:eastAsia="ja-JP"/>
          </w:rPr>
          <w:t>5/132</w:t>
        </w:r>
      </w:hyperlink>
      <w:r w:rsidR="00E121B4" w:rsidRPr="00E121B4">
        <w:rPr>
          <w:rStyle w:val="Hyperlink"/>
          <w:u w:val="none"/>
          <w:lang w:val="es-ES" w:eastAsia="ja-JP"/>
        </w:rPr>
        <w:t xml:space="preserve"> </w:t>
      </w:r>
      <w:r w:rsidRPr="00F9410F">
        <w:rPr>
          <w:lang w:val="es-ES" w:eastAsia="ja-JP"/>
        </w:rPr>
        <w:t>=</w:t>
      </w:r>
      <w:r w:rsidR="00E121B4">
        <w:rPr>
          <w:lang w:val="es-ES" w:eastAsia="ja-JP"/>
        </w:rPr>
        <w:t xml:space="preserve"> </w:t>
      </w:r>
      <w:hyperlink r:id="rId27" w:history="1">
        <w:r w:rsidRPr="00F9410F">
          <w:rPr>
            <w:rStyle w:val="Hyperlink"/>
            <w:lang w:val="es-ES" w:eastAsia="ja-JP"/>
          </w:rPr>
          <w:t>5B/670</w:t>
        </w:r>
      </w:hyperlink>
      <w:r w:rsidRPr="00F9410F">
        <w:rPr>
          <w:lang w:val="es-ES" w:eastAsia="ja-JP"/>
        </w:rPr>
        <w:t>).</w:t>
      </w:r>
    </w:p>
    <w:p w:rsidR="00C00643" w:rsidRPr="00F9410F" w:rsidRDefault="00C00643" w:rsidP="00C00643">
      <w:pPr>
        <w:rPr>
          <w:lang w:val="es-ES" w:eastAsia="ja-JP"/>
        </w:rPr>
      </w:pPr>
      <w:r w:rsidRPr="00F9410F">
        <w:rPr>
          <w:lang w:val="es-ES" w:eastAsia="ja-JP"/>
        </w:rPr>
        <w:t xml:space="preserve">En respuesta a esta solicitud, el Grupo de Trabajo 5B celebró una reunión extraordinaria del 12 al 15 de mayo de 2015, en la que elaboró un proyecto de nota para el Director, que se completó en la reunión de julio de 2015 y que contiene tres opiniones sobre esta cuestión, para que el Director las considere y las incluya en su informe a la CMR-15. Además, el GT 5B trató de elaborar dos </w:t>
      </w:r>
      <w:r w:rsidRPr="00F9410F">
        <w:rPr>
          <w:lang w:val="es-ES" w:eastAsia="ja-JP"/>
        </w:rPr>
        <w:lastRenderedPageBreak/>
        <w:t xml:space="preserve">Informes UIT-R, que se han adjuntado al informe del Presidente del GT como documentos de trabajo para seguir examinándolos (Anexos 11 y 12 al Documento </w:t>
      </w:r>
      <w:hyperlink r:id="rId28" w:history="1">
        <w:r w:rsidRPr="00F9410F">
          <w:rPr>
            <w:rStyle w:val="Hyperlink"/>
            <w:lang w:val="es-ES" w:eastAsia="ja-JP"/>
          </w:rPr>
          <w:t>5B/883</w:t>
        </w:r>
      </w:hyperlink>
      <w:r w:rsidRPr="00F9410F">
        <w:rPr>
          <w:lang w:val="es-ES" w:eastAsia="ja-JP"/>
        </w:rPr>
        <w:t>).</w:t>
      </w:r>
    </w:p>
    <w:p w:rsidR="00C00643" w:rsidRPr="00F9410F" w:rsidRDefault="00C00643" w:rsidP="00C00643">
      <w:pPr>
        <w:pStyle w:val="Heading3"/>
        <w:rPr>
          <w:lang w:val="es-ES" w:eastAsia="ja-JP"/>
        </w:rPr>
      </w:pPr>
      <w:r w:rsidRPr="00F9410F">
        <w:rPr>
          <w:lang w:val="es-ES" w:eastAsia="ja-JP"/>
        </w:rPr>
        <w:t>4.2.5</w:t>
      </w:r>
      <w:r w:rsidRPr="00F9410F">
        <w:rPr>
          <w:lang w:val="es-ES"/>
        </w:rPr>
        <w:tab/>
        <w:t>Otras actividades conexas</w:t>
      </w:r>
    </w:p>
    <w:p w:rsidR="00C00643" w:rsidRPr="00F9410F" w:rsidRDefault="00C00643" w:rsidP="00B16476">
      <w:pPr>
        <w:rPr>
          <w:lang w:val="es-ES" w:eastAsia="ja-JP"/>
        </w:rPr>
      </w:pPr>
      <w:r w:rsidRPr="00F9410F">
        <w:rPr>
          <w:rStyle w:val="Strong"/>
          <w:b w:val="0"/>
          <w:color w:val="02274B"/>
          <w:szCs w:val="24"/>
          <w:lang w:val="es-ES" w:eastAsia="ja-JP"/>
        </w:rPr>
        <w:t xml:space="preserve">El Grupo de Trabajo 5B celebró el 23 de mayo de 2012 </w:t>
      </w:r>
      <w:hyperlink r:id="rId29" w:history="1">
        <w:r w:rsidRPr="00F9410F">
          <w:rPr>
            <w:rStyle w:val="Hyperlink"/>
            <w:szCs w:val="24"/>
            <w:lang w:val="es-ES" w:eastAsia="ja-JP"/>
          </w:rPr>
          <w:t>un taller sobre la preparación de la CMR</w:t>
        </w:r>
        <w:r w:rsidR="00B16476">
          <w:rPr>
            <w:rStyle w:val="Hyperlink"/>
            <w:szCs w:val="24"/>
            <w:lang w:val="es-ES"/>
          </w:rPr>
          <w:noBreakHyphen/>
        </w:r>
        <w:r w:rsidRPr="00F9410F">
          <w:rPr>
            <w:rStyle w:val="Hyperlink"/>
            <w:szCs w:val="24"/>
            <w:lang w:val="es-ES"/>
          </w:rPr>
          <w:t>15</w:t>
        </w:r>
      </w:hyperlink>
      <w:r w:rsidRPr="00F9410F">
        <w:rPr>
          <w:rStyle w:val="Strong"/>
          <w:b w:val="0"/>
          <w:color w:val="02274B"/>
          <w:szCs w:val="24"/>
          <w:lang w:val="es-ES"/>
        </w:rPr>
        <w:t xml:space="preserve">, conjuntamente con los Grupos de Trabajo </w:t>
      </w:r>
      <w:r w:rsidRPr="00F9410F">
        <w:rPr>
          <w:color w:val="000000"/>
          <w:szCs w:val="24"/>
          <w:lang w:val="es-ES" w:eastAsia="ja-JP"/>
        </w:rPr>
        <w:t>5A y 5C (véase 4.1.4).</w:t>
      </w:r>
    </w:p>
    <w:p w:rsidR="00C00643" w:rsidRPr="00F9410F" w:rsidRDefault="00C00643" w:rsidP="00C00643">
      <w:pPr>
        <w:spacing w:beforeLines="50"/>
        <w:rPr>
          <w:lang w:val="es-ES" w:eastAsia="ja-JP"/>
        </w:rPr>
      </w:pPr>
      <w:r w:rsidRPr="00F9410F">
        <w:rPr>
          <w:lang w:val="es-ES"/>
        </w:rPr>
        <w:t xml:space="preserve">El Grupo de Trabajo 5B ha empezado a trabajar en el establecimiento de una base de datos sobre los radares oceanográficos existentes y previstos que funcionan con arreglo a lo dispuesto en la Resolución </w:t>
      </w:r>
      <w:r w:rsidRPr="00F9410F">
        <w:rPr>
          <w:rFonts w:eastAsia="TimesNewRoman,Bold"/>
          <w:b/>
          <w:bCs/>
          <w:szCs w:val="24"/>
          <w:lang w:val="es-ES" w:eastAsia="zh-CN"/>
        </w:rPr>
        <w:t>612 (Rev.CMR-12)</w:t>
      </w:r>
      <w:r w:rsidRPr="00F9410F">
        <w:rPr>
          <w:szCs w:val="24"/>
          <w:lang w:val="es-ES" w:eastAsia="ja-JP"/>
        </w:rPr>
        <w:t xml:space="preserve"> con miras a facilitar las actividades de coordinación entre países vecinos. Con este fin, la Comisión de Estudio 5 envió al Director de la BR la Nota en la que solicitaba la asistencia de la Oficina para el desarrollo y el mantenimiento de la base de datos. La BR ha aceptado la solicitud y, a través de una carta circular, ha remitido la notificación sobre esta cuestión a las administraciones.</w:t>
      </w:r>
    </w:p>
    <w:p w:rsidR="00C00643" w:rsidRPr="00F9410F" w:rsidRDefault="00C00643" w:rsidP="00C00643">
      <w:pPr>
        <w:pStyle w:val="Heading2"/>
        <w:rPr>
          <w:lang w:val="es-ES"/>
        </w:rPr>
      </w:pPr>
      <w:r w:rsidRPr="00F9410F">
        <w:rPr>
          <w:lang w:val="es-ES"/>
        </w:rPr>
        <w:t>4.3</w:t>
      </w:r>
      <w:r w:rsidRPr="00F9410F">
        <w:rPr>
          <w:lang w:val="es-ES"/>
        </w:rPr>
        <w:tab/>
        <w:t>Grupo de Trabajo 5C</w:t>
      </w:r>
    </w:p>
    <w:p w:rsidR="00C00643" w:rsidRPr="00F9410F" w:rsidRDefault="00C00643" w:rsidP="00C00643">
      <w:pPr>
        <w:pStyle w:val="Heading3"/>
        <w:rPr>
          <w:lang w:val="es-ES" w:eastAsia="ja-JP"/>
        </w:rPr>
      </w:pPr>
      <w:r w:rsidRPr="00F9410F">
        <w:rPr>
          <w:lang w:val="es-ES" w:eastAsia="ja-JP"/>
        </w:rPr>
        <w:t>4.3.</w:t>
      </w:r>
      <w:r w:rsidRPr="00F9410F">
        <w:rPr>
          <w:lang w:val="es-ES"/>
        </w:rPr>
        <w:t>1</w:t>
      </w:r>
      <w:r w:rsidRPr="00F9410F">
        <w:rPr>
          <w:lang w:val="es-ES"/>
        </w:rPr>
        <w:tab/>
        <w:t>Reuniones y estructura de los trabajos</w:t>
      </w:r>
    </w:p>
    <w:p w:rsidR="00C00643" w:rsidRPr="00F9410F" w:rsidRDefault="00C00643" w:rsidP="00C00643">
      <w:pPr>
        <w:rPr>
          <w:lang w:val="es-ES"/>
        </w:rPr>
      </w:pPr>
      <w:r w:rsidRPr="00F9410F">
        <w:rPr>
          <w:lang w:val="es-ES"/>
        </w:rPr>
        <w:t>El Grupo de Trabajo 5C ha celebrado las siete reuniones que se indican en el Cuadro A1-2 del Anexo 1.</w:t>
      </w:r>
    </w:p>
    <w:p w:rsidR="00C00643" w:rsidRPr="00F9410F" w:rsidRDefault="00C00643" w:rsidP="00C00643">
      <w:pPr>
        <w:rPr>
          <w:lang w:val="es-ES"/>
        </w:rPr>
      </w:pPr>
      <w:r w:rsidRPr="00F9410F">
        <w:rPr>
          <w:lang w:val="es-ES"/>
        </w:rPr>
        <w:t xml:space="preserve">Presidió todas las reuniones (salvo la tercera) el Sr. Charles Glass (Estados Unidos), Presidente del Grupo de Trabajo 5C. </w:t>
      </w:r>
    </w:p>
    <w:p w:rsidR="00C00643" w:rsidRPr="00F9410F" w:rsidRDefault="00C00643" w:rsidP="00C00643">
      <w:pPr>
        <w:ind w:right="-142"/>
        <w:rPr>
          <w:lang w:val="es-ES"/>
        </w:rPr>
      </w:pPr>
      <w:r w:rsidRPr="00F9410F">
        <w:rPr>
          <w:lang w:val="es-ES"/>
        </w:rPr>
        <w:t>A fin de llevar a cabo las tareas que le han sido encomendadas, el Grupo de Trabajo 5C ha establecido los cuatro grupos de trabajo que se especifican a continuación, cuyos cometidos respectivos se examinan parcialmente de forma flexible durante este ciclo de estudios:</w:t>
      </w:r>
    </w:p>
    <w:p w:rsidR="00C00643" w:rsidRPr="00F9410F" w:rsidRDefault="00C00643" w:rsidP="00C00643">
      <w:pPr>
        <w:pStyle w:val="enumlev1"/>
        <w:rPr>
          <w:lang w:val="es-ES"/>
        </w:rPr>
      </w:pPr>
      <w:r w:rsidRPr="00F9410F">
        <w:rPr>
          <w:lang w:val="es-ES"/>
        </w:rPr>
        <w:t>−</w:t>
      </w:r>
      <w:r w:rsidRPr="00F9410F">
        <w:rPr>
          <w:lang w:val="es-ES"/>
        </w:rPr>
        <w:tab/>
        <w:t>GT 5C1: Temas relativos al espectro a 30 MHz o por debajo de 30 MHz.</w:t>
      </w:r>
    </w:p>
    <w:p w:rsidR="00C00643" w:rsidRPr="00F9410F" w:rsidRDefault="00C00643" w:rsidP="00C00643">
      <w:pPr>
        <w:pStyle w:val="enumlev1"/>
        <w:rPr>
          <w:lang w:val="es-ES"/>
        </w:rPr>
      </w:pPr>
      <w:r w:rsidRPr="00F9410F">
        <w:rPr>
          <w:lang w:val="es-ES"/>
        </w:rPr>
        <w:t>−</w:t>
      </w:r>
      <w:r w:rsidRPr="00F9410F">
        <w:rPr>
          <w:lang w:val="es-ES"/>
        </w:rPr>
        <w:tab/>
        <w:t>GT 5C2: Temas relativos al espectro por debajo de 30 MHz y hasta 18 GHz.</w:t>
      </w:r>
    </w:p>
    <w:p w:rsidR="00C00643" w:rsidRPr="00F9410F" w:rsidRDefault="00C00643" w:rsidP="00C00643">
      <w:pPr>
        <w:pStyle w:val="enumlev1"/>
        <w:rPr>
          <w:lang w:val="es-ES" w:eastAsia="ja-JP"/>
        </w:rPr>
      </w:pPr>
      <w:r w:rsidRPr="00F9410F">
        <w:rPr>
          <w:lang w:val="es-ES"/>
        </w:rPr>
        <w:t>−</w:t>
      </w:r>
      <w:r w:rsidRPr="00F9410F">
        <w:rPr>
          <w:lang w:val="es-ES"/>
        </w:rPr>
        <w:tab/>
        <w:t>GT 5C3: Temas relativos al espectro por encima de 18 GHz y otros temas generales</w:t>
      </w:r>
      <w:r w:rsidRPr="00F9410F">
        <w:rPr>
          <w:lang w:val="es-ES" w:eastAsia="ja-JP"/>
        </w:rPr>
        <w:t>.</w:t>
      </w:r>
    </w:p>
    <w:p w:rsidR="00C00643" w:rsidRPr="00F9410F" w:rsidRDefault="00C00643" w:rsidP="00C00643">
      <w:pPr>
        <w:pStyle w:val="enumlev1"/>
        <w:ind w:left="1133" w:hangingChars="472" w:hanging="1133"/>
        <w:rPr>
          <w:lang w:val="es-ES" w:eastAsia="ja-JP"/>
        </w:rPr>
      </w:pPr>
      <w:r w:rsidRPr="00F9410F">
        <w:rPr>
          <w:lang w:val="es-ES"/>
        </w:rPr>
        <w:t>−</w:t>
      </w:r>
      <w:r w:rsidRPr="00F9410F">
        <w:rPr>
          <w:lang w:val="es-ES"/>
        </w:rPr>
        <w:tab/>
        <w:t>GT 5C</w:t>
      </w:r>
      <w:r w:rsidRPr="00F9410F">
        <w:rPr>
          <w:lang w:val="es-ES" w:eastAsia="ja-JP"/>
        </w:rPr>
        <w:t>4</w:t>
      </w:r>
      <w:r w:rsidRPr="00F9410F">
        <w:rPr>
          <w:lang w:val="es-ES"/>
        </w:rPr>
        <w:t xml:space="preserve">: </w:t>
      </w:r>
      <w:r w:rsidRPr="00F9410F">
        <w:rPr>
          <w:szCs w:val="24"/>
          <w:lang w:val="es-ES"/>
        </w:rPr>
        <w:t>Examen y revisiones propuestas sobre las Recomendaciones e Informes no relacionados con puntos del orden del día de la CMR-1</w:t>
      </w:r>
      <w:r w:rsidRPr="00F9410F">
        <w:rPr>
          <w:szCs w:val="24"/>
          <w:lang w:val="es-ES" w:eastAsia="ja-JP"/>
        </w:rPr>
        <w:t>5.</w:t>
      </w:r>
    </w:p>
    <w:p w:rsidR="00C00643" w:rsidRPr="00F9410F" w:rsidRDefault="00C00643" w:rsidP="00B049A1">
      <w:pPr>
        <w:rPr>
          <w:lang w:val="es-ES"/>
        </w:rPr>
      </w:pPr>
      <w:r w:rsidRPr="00F9410F">
        <w:rPr>
          <w:lang w:val="es-ES"/>
        </w:rPr>
        <w:t xml:space="preserve">Además de los grupos de trabajo enumerados anteriormente, se han creado Grupos ad hoc </w:t>
      </w:r>
      <w:r w:rsidRPr="00F9410F">
        <w:rPr>
          <w:lang w:val="es-ES" w:eastAsia="ja-JP"/>
        </w:rPr>
        <w:t xml:space="preserve">(incluida una reunión ad hoc conjunta con el Grupo de Trabajo 5A) y Grupos por </w:t>
      </w:r>
      <w:r w:rsidR="00B049A1">
        <w:rPr>
          <w:lang w:val="es-ES" w:eastAsia="ja-JP"/>
        </w:rPr>
        <w:t>C</w:t>
      </w:r>
      <w:r w:rsidRPr="00F9410F">
        <w:rPr>
          <w:lang w:val="es-ES" w:eastAsia="ja-JP"/>
        </w:rPr>
        <w:t>orrespondencia para abordar temas específicos (como la preparación del Informe sobre la utilización del servicio fijo y futuras tendencias</w:t>
      </w:r>
      <w:r w:rsidRPr="00F9410F">
        <w:rPr>
          <w:lang w:val="es-ES"/>
        </w:rPr>
        <w:t>).</w:t>
      </w:r>
    </w:p>
    <w:p w:rsidR="00C00643" w:rsidRPr="00F9410F" w:rsidRDefault="00C00643" w:rsidP="00C00643">
      <w:pPr>
        <w:pStyle w:val="Heading3"/>
        <w:rPr>
          <w:lang w:val="es-ES"/>
        </w:rPr>
      </w:pPr>
      <w:r w:rsidRPr="00F9410F">
        <w:rPr>
          <w:lang w:val="es-ES" w:eastAsia="ja-JP"/>
        </w:rPr>
        <w:t>4.3.2</w:t>
      </w:r>
      <w:r w:rsidRPr="00F9410F">
        <w:rPr>
          <w:lang w:val="es-ES"/>
        </w:rPr>
        <w:tab/>
        <w:t>Resultados específicos</w:t>
      </w:r>
    </w:p>
    <w:p w:rsidR="00C00643" w:rsidRPr="00F9410F" w:rsidRDefault="00C00643" w:rsidP="00C00643">
      <w:pPr>
        <w:rPr>
          <w:lang w:val="es-ES" w:eastAsia="ja-JP"/>
        </w:rPr>
      </w:pPr>
      <w:r w:rsidRPr="00F9410F">
        <w:rPr>
          <w:lang w:val="es-ES" w:eastAsia="ja-JP"/>
        </w:rPr>
        <w:t xml:space="preserve">Durante los primeros dos años del presente ciclo de estudios, el Grupo de Trabajo </w:t>
      </w:r>
      <w:r w:rsidRPr="00F9410F">
        <w:rPr>
          <w:lang w:val="es-ES"/>
        </w:rPr>
        <w:t>5C se dedicó a revisar la Recomendación UIT-R F.1336-3 sobre diagramas de radiación de referencia de antenas sectoriales de sistemas de punto a multipunto en el servicio fijo</w:t>
      </w:r>
      <w:r w:rsidRPr="00F9410F">
        <w:rPr>
          <w:lang w:val="es-ES" w:eastAsia="ja-JP"/>
        </w:rPr>
        <w:t>. Dada la importancia de esta Recomendación para el análisis de la interferencia que no afecta solamente a sistemas de punto a multipunto en el servicio fijo sino también a sistemas del servicio móvil terrestre, incluidas las IMT, la labor de revisión se llevó a cabo en estrecha colaboración con los Grupos de Trabajo 5A y 5D. La nueva versión de la Recomendación se ha utilizado en distintos estudios de compartición/compatibilidad para puntos del orden del día de la CMR-15.</w:t>
      </w:r>
    </w:p>
    <w:p w:rsidR="00C00643" w:rsidRPr="00F9410F" w:rsidRDefault="00C00643" w:rsidP="00C00643">
      <w:pPr>
        <w:rPr>
          <w:lang w:val="es-ES" w:eastAsia="ja-JP"/>
        </w:rPr>
      </w:pPr>
      <w:r w:rsidRPr="00F9410F">
        <w:rPr>
          <w:lang w:val="es-ES" w:eastAsia="ja-JP"/>
        </w:rPr>
        <w:t>El Grupo de Trabajo 5C ha formulado una nueva Recomendación sobre casos de implantación relacionados con estadísticas de sistemas inalámbricos fijos punto a punto para su utilización en estudios de compartición e interferencia entre esos sistemas del servicio fijo y sistemas en otros servicios (Recomendación UIT</w:t>
      </w:r>
      <w:r w:rsidRPr="00F9410F">
        <w:rPr>
          <w:szCs w:val="22"/>
          <w:lang w:val="es-ES" w:eastAsia="ja-JP"/>
        </w:rPr>
        <w:t>-R F.2086)</w:t>
      </w:r>
      <w:r w:rsidRPr="00F9410F">
        <w:rPr>
          <w:szCs w:val="22"/>
          <w:lang w:val="es-ES"/>
        </w:rPr>
        <w:t>.</w:t>
      </w:r>
    </w:p>
    <w:p w:rsidR="00C00643" w:rsidRPr="00F9410F" w:rsidRDefault="00C00643" w:rsidP="00B049A1">
      <w:pPr>
        <w:rPr>
          <w:lang w:val="es-ES" w:eastAsia="ja-JP"/>
        </w:rPr>
      </w:pPr>
      <w:r w:rsidRPr="00F9410F">
        <w:rPr>
          <w:lang w:val="es-ES" w:eastAsia="ja-JP"/>
        </w:rPr>
        <w:lastRenderedPageBreak/>
        <w:t xml:space="preserve">En el marco de la Cuestión 253/5, aprobada en marzo de 2012, la actividad del </w:t>
      </w:r>
      <w:r w:rsidR="00B049A1">
        <w:rPr>
          <w:lang w:val="es-ES" w:eastAsia="ja-JP"/>
        </w:rPr>
        <w:t>G</w:t>
      </w:r>
      <w:r w:rsidRPr="00F9410F">
        <w:rPr>
          <w:lang w:val="es-ES" w:eastAsia="ja-JP"/>
        </w:rPr>
        <w:t xml:space="preserve">rupo por </w:t>
      </w:r>
      <w:r w:rsidR="00B049A1">
        <w:rPr>
          <w:lang w:val="es-ES" w:eastAsia="ja-JP"/>
        </w:rPr>
        <w:t>C</w:t>
      </w:r>
      <w:r w:rsidRPr="00F9410F">
        <w:rPr>
          <w:lang w:val="es-ES" w:eastAsia="ja-JP"/>
        </w:rPr>
        <w:t xml:space="preserve">orrespondencia ha permitido elaborar un nuevo Informe UIT-R F.2323-0 sobre el servicio fijo y tendencias futuras. </w:t>
      </w:r>
    </w:p>
    <w:p w:rsidR="00C00643" w:rsidRPr="00F9410F" w:rsidRDefault="00C00643" w:rsidP="00C00643">
      <w:pPr>
        <w:rPr>
          <w:lang w:val="es-ES" w:eastAsia="ja-JP"/>
        </w:rPr>
      </w:pPr>
      <w:r w:rsidRPr="00F9410F">
        <w:rPr>
          <w:lang w:val="es-ES"/>
        </w:rPr>
        <w:t xml:space="preserve">Por otro lado, se han realizado avances importantes en la revisión o la actualización de las Recomendaciones vigentes. En cuanto a la utilización de bandas de altas frecuencias por encima de los </w:t>
      </w:r>
      <w:r w:rsidRPr="00F9410F">
        <w:rPr>
          <w:lang w:val="es-ES" w:eastAsia="ja-JP"/>
        </w:rPr>
        <w:t>4</w:t>
      </w:r>
      <w:r w:rsidRPr="00F9410F">
        <w:rPr>
          <w:lang w:val="es-ES"/>
        </w:rPr>
        <w:t>0 GHz,</w:t>
      </w:r>
      <w:r w:rsidRPr="00F9410F">
        <w:rPr>
          <w:lang w:val="es-ES" w:eastAsia="ja-JP"/>
        </w:rPr>
        <w:t xml:space="preserve"> se ha revisado la Recomendación UIT-R F.758-5 para incluir nuevos parámetros del sistema en las bandas de 40,5-43,5 GHz, 59-66 GHz y 71-76/81-86 GHz.</w:t>
      </w:r>
    </w:p>
    <w:p w:rsidR="00C00643" w:rsidRPr="00F9410F" w:rsidRDefault="00C00643" w:rsidP="00DB123A">
      <w:pPr>
        <w:rPr>
          <w:szCs w:val="24"/>
          <w:lang w:val="es-ES" w:eastAsia="ja-JP"/>
        </w:rPr>
      </w:pPr>
      <w:r w:rsidRPr="00F9410F">
        <w:rPr>
          <w:lang w:val="es-ES" w:eastAsia="ja-JP"/>
        </w:rPr>
        <w:t>En lo que respecta al estudio de nuevas aplicaciones del servicio fijo, el Grupo de Trabajo 5C ha puesto en marcha el estudio sobre objetivos de calidad de funcionamiento y disponibilidad para radioenlaces en paquetes punto a punto reales, en el marco de la Cuestión UIT</w:t>
      </w:r>
      <w:r w:rsidRPr="00F9410F">
        <w:rPr>
          <w:szCs w:val="24"/>
          <w:lang w:val="es-ES" w:eastAsia="ja-JP"/>
        </w:rPr>
        <w:t xml:space="preserve">-R 255/5. Asimismo, se ha adoptado una nueva Cuestión sobre el servicio fijo en la gama de frecuencias </w:t>
      </w:r>
      <w:r w:rsidRPr="00F9410F">
        <w:rPr>
          <w:szCs w:val="24"/>
          <w:lang w:val="es-ES"/>
        </w:rPr>
        <w:t>275</w:t>
      </w:r>
      <w:r w:rsidRPr="00F9410F">
        <w:rPr>
          <w:szCs w:val="24"/>
          <w:lang w:val="es-ES"/>
        </w:rPr>
        <w:noBreakHyphen/>
        <w:t>1 000 GHz</w:t>
      </w:r>
      <w:r w:rsidRPr="00F9410F">
        <w:rPr>
          <w:szCs w:val="24"/>
          <w:lang w:val="es-ES" w:eastAsia="ja-JP"/>
        </w:rPr>
        <w:t>, y se esperan contribuciones técnicas de las administraciones durante el siguiente per</w:t>
      </w:r>
      <w:r w:rsidR="00DB123A">
        <w:rPr>
          <w:szCs w:val="24"/>
          <w:lang w:val="es-ES" w:eastAsia="ja-JP"/>
        </w:rPr>
        <w:t>i</w:t>
      </w:r>
      <w:r w:rsidRPr="00F9410F">
        <w:rPr>
          <w:szCs w:val="24"/>
          <w:lang w:val="es-ES" w:eastAsia="ja-JP"/>
        </w:rPr>
        <w:t>odo de estudios.</w:t>
      </w:r>
    </w:p>
    <w:p w:rsidR="00C00643" w:rsidRPr="00F9410F" w:rsidRDefault="00C00643" w:rsidP="00C00643">
      <w:pPr>
        <w:pStyle w:val="Heading3"/>
        <w:rPr>
          <w:lang w:val="es-ES"/>
        </w:rPr>
      </w:pPr>
      <w:r w:rsidRPr="00F9410F">
        <w:rPr>
          <w:lang w:val="es-ES" w:eastAsia="ja-JP"/>
        </w:rPr>
        <w:t>4.3.3</w:t>
      </w:r>
      <w:r w:rsidRPr="00F9410F">
        <w:rPr>
          <w:lang w:val="es-ES"/>
        </w:rPr>
        <w:tab/>
        <w:t>Trabajos relativos a la preparación de la CMR</w:t>
      </w:r>
      <w:r w:rsidRPr="00F9410F">
        <w:rPr>
          <w:lang w:val="es-ES" w:eastAsia="ja-JP"/>
        </w:rPr>
        <w:noBreakHyphen/>
      </w:r>
      <w:r w:rsidRPr="00F9410F">
        <w:rPr>
          <w:lang w:val="es-ES"/>
        </w:rPr>
        <w:t>1</w:t>
      </w:r>
      <w:r w:rsidRPr="00F9410F">
        <w:rPr>
          <w:lang w:val="es-ES" w:eastAsia="ja-JP"/>
        </w:rPr>
        <w:t>5</w:t>
      </w:r>
      <w:r w:rsidRPr="00F9410F">
        <w:rPr>
          <w:lang w:val="es-ES"/>
        </w:rPr>
        <w:t xml:space="preserve"> </w:t>
      </w:r>
    </w:p>
    <w:p w:rsidR="00C00643" w:rsidRPr="00F9410F" w:rsidRDefault="00C00643" w:rsidP="00C00643">
      <w:pPr>
        <w:rPr>
          <w:b/>
          <w:lang w:val="es-ES" w:eastAsia="ja-JP"/>
        </w:rPr>
      </w:pPr>
      <w:r w:rsidRPr="00F9410F">
        <w:rPr>
          <w:lang w:val="es-ES" w:eastAsia="ja-JP"/>
        </w:rPr>
        <w:t xml:space="preserve">Desde que el Grupo de Trabajo 5C fue designado grupo contribuyente de muchos puntos del orden del día de la CMR-15, además de los resultados que se detallan en el Cuadro 3, el Grupo de Trabajo 5C ha trabajado para trasladar las opiniones de expertos en el servicio fijo a los grupos encargados a través de declaraciones de coordinación, en particular en lo que respecta a los puntos 1.1, 1.4, 1.5, </w:t>
      </w:r>
      <w:r w:rsidR="000E5BB6">
        <w:rPr>
          <w:lang w:val="es-ES" w:eastAsia="ja-JP"/>
        </w:rPr>
        <w:t xml:space="preserve"> </w:t>
      </w:r>
      <w:r w:rsidRPr="00F9410F">
        <w:rPr>
          <w:lang w:val="es-ES" w:eastAsia="ja-JP"/>
        </w:rPr>
        <w:t xml:space="preserve">1.6, 1.8, 1.9, 1.10 y 1.12 del orden del día. </w:t>
      </w:r>
    </w:p>
    <w:p w:rsidR="00C00643" w:rsidRPr="00F9410F" w:rsidRDefault="00C00643" w:rsidP="00C00643">
      <w:pPr>
        <w:pStyle w:val="TableNo"/>
        <w:spacing w:before="360"/>
        <w:rPr>
          <w:lang w:val="es-ES" w:eastAsia="ja-JP"/>
        </w:rPr>
      </w:pPr>
      <w:r w:rsidRPr="00F9410F">
        <w:rPr>
          <w:lang w:val="es-ES" w:eastAsia="ja-JP"/>
        </w:rPr>
        <w:t>cuadro 3</w:t>
      </w:r>
    </w:p>
    <w:p w:rsidR="00C00643" w:rsidRPr="00F9410F" w:rsidRDefault="00C00643" w:rsidP="00C00643">
      <w:pPr>
        <w:pStyle w:val="Tabletitle"/>
        <w:rPr>
          <w:lang w:val="es-ES"/>
        </w:rPr>
      </w:pPr>
      <w:r w:rsidRPr="00F9410F">
        <w:rPr>
          <w:lang w:val="es-ES"/>
        </w:rPr>
        <w:t>Resultados relativos a la CMR obtenidos por el Grupo de Trabajo 5C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118"/>
        <w:gridCol w:w="4678"/>
      </w:tblGrid>
      <w:tr w:rsidR="00C00643" w:rsidRPr="00F9410F" w:rsidTr="00A3275E">
        <w:trPr>
          <w:jc w:val="center"/>
        </w:trPr>
        <w:tc>
          <w:tcPr>
            <w:tcW w:w="1668" w:type="dxa"/>
          </w:tcPr>
          <w:p w:rsidR="00C00643" w:rsidRPr="00F9410F" w:rsidRDefault="00C00643" w:rsidP="002F1E53">
            <w:pPr>
              <w:pStyle w:val="Tablehead"/>
              <w:rPr>
                <w:lang w:val="es-ES"/>
              </w:rPr>
            </w:pPr>
            <w:r w:rsidRPr="00F9410F">
              <w:rPr>
                <w:lang w:val="es-ES"/>
              </w:rPr>
              <w:t xml:space="preserve">Punto del orden del día </w:t>
            </w:r>
          </w:p>
        </w:tc>
        <w:tc>
          <w:tcPr>
            <w:tcW w:w="3118" w:type="dxa"/>
            <w:vAlign w:val="center"/>
          </w:tcPr>
          <w:p w:rsidR="00C00643" w:rsidRPr="00F9410F" w:rsidRDefault="00C00643" w:rsidP="002F1E53">
            <w:pPr>
              <w:pStyle w:val="Tablehead"/>
              <w:rPr>
                <w:lang w:val="es-ES"/>
              </w:rPr>
            </w:pPr>
            <w:r w:rsidRPr="00F9410F">
              <w:rPr>
                <w:lang w:val="es-ES"/>
              </w:rPr>
              <w:t>Resolución CMR</w:t>
            </w:r>
          </w:p>
        </w:tc>
        <w:tc>
          <w:tcPr>
            <w:tcW w:w="4678" w:type="dxa"/>
            <w:vAlign w:val="center"/>
          </w:tcPr>
          <w:p w:rsidR="00C00643" w:rsidRPr="00F9410F" w:rsidRDefault="00C00643" w:rsidP="002F1E53">
            <w:pPr>
              <w:pStyle w:val="Tablehead"/>
              <w:rPr>
                <w:lang w:val="es-ES"/>
              </w:rPr>
            </w:pPr>
            <w:r w:rsidRPr="00F9410F">
              <w:rPr>
                <w:lang w:val="es-ES"/>
              </w:rPr>
              <w:t>Recomendación conexa</w:t>
            </w:r>
          </w:p>
        </w:tc>
      </w:tr>
      <w:tr w:rsidR="00C00643" w:rsidRPr="00F9410F" w:rsidTr="00A3275E">
        <w:trPr>
          <w:jc w:val="center"/>
        </w:trPr>
        <w:tc>
          <w:tcPr>
            <w:tcW w:w="1668" w:type="dxa"/>
          </w:tcPr>
          <w:p w:rsidR="00C00643" w:rsidRPr="00F9410F" w:rsidRDefault="00C00643" w:rsidP="002F1E53">
            <w:pPr>
              <w:pStyle w:val="Tabletext"/>
              <w:keepNext/>
              <w:jc w:val="center"/>
              <w:rPr>
                <w:lang w:val="es-ES" w:eastAsia="ja-JP"/>
              </w:rPr>
            </w:pPr>
            <w:r w:rsidRPr="00F9410F">
              <w:rPr>
                <w:lang w:val="es-ES"/>
              </w:rPr>
              <w:t>1.</w:t>
            </w:r>
            <w:r w:rsidRPr="00F9410F">
              <w:rPr>
                <w:lang w:val="es-ES" w:eastAsia="ja-JP"/>
              </w:rPr>
              <w:t>1</w:t>
            </w:r>
          </w:p>
        </w:tc>
        <w:tc>
          <w:tcPr>
            <w:tcW w:w="3118"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rPr>
              <w:t xml:space="preserve">233 </w:t>
            </w:r>
            <w:r w:rsidRPr="00F9410F">
              <w:rPr>
                <w:b/>
                <w:bCs/>
                <w:lang w:val="es-ES"/>
              </w:rPr>
              <w:t>(CMR</w:t>
            </w:r>
            <w:r w:rsidRPr="00F9410F">
              <w:rPr>
                <w:b/>
                <w:bCs/>
                <w:lang w:val="es-ES"/>
              </w:rPr>
              <w:noBreakHyphen/>
              <w:t>12)</w:t>
            </w:r>
          </w:p>
        </w:tc>
        <w:tc>
          <w:tcPr>
            <w:tcW w:w="4678" w:type="dxa"/>
            <w:vMerge w:val="restart"/>
            <w:shd w:val="clear" w:color="auto" w:fill="auto"/>
            <w:vAlign w:val="center"/>
          </w:tcPr>
          <w:p w:rsidR="00C00643" w:rsidRPr="00F9410F" w:rsidRDefault="00C00643" w:rsidP="002F1E53">
            <w:pPr>
              <w:pStyle w:val="Tabletext"/>
              <w:keepNext/>
              <w:rPr>
                <w:lang w:val="es-ES" w:eastAsia="ja-JP"/>
              </w:rPr>
            </w:pPr>
            <w:r w:rsidRPr="00F9410F">
              <w:rPr>
                <w:lang w:val="es-ES"/>
              </w:rPr>
              <w:t>Recomendación UIT</w:t>
            </w:r>
            <w:r w:rsidRPr="00F9410F">
              <w:rPr>
                <w:lang w:val="es-ES"/>
              </w:rPr>
              <w:noBreakHyphen/>
              <w:t>R F.1</w:t>
            </w:r>
            <w:r w:rsidRPr="00F9410F">
              <w:rPr>
                <w:lang w:val="es-ES" w:eastAsia="ja-JP"/>
              </w:rPr>
              <w:t>336</w:t>
            </w:r>
            <w:r w:rsidRPr="00F9410F">
              <w:rPr>
                <w:lang w:val="es-ES"/>
              </w:rPr>
              <w:t>-</w:t>
            </w:r>
            <w:r w:rsidRPr="00F9410F">
              <w:rPr>
                <w:lang w:val="es-ES" w:eastAsia="ja-JP"/>
              </w:rPr>
              <w:t>4</w:t>
            </w:r>
          </w:p>
        </w:tc>
      </w:tr>
      <w:tr w:rsidR="00C00643" w:rsidRPr="00F9410F" w:rsidTr="00A3275E">
        <w:trPr>
          <w:jc w:val="center"/>
        </w:trPr>
        <w:tc>
          <w:tcPr>
            <w:tcW w:w="1668" w:type="dxa"/>
          </w:tcPr>
          <w:p w:rsidR="00C00643" w:rsidRPr="00F9410F" w:rsidRDefault="00C00643" w:rsidP="002F1E53">
            <w:pPr>
              <w:pStyle w:val="Tabletext"/>
              <w:keepNext/>
              <w:jc w:val="center"/>
              <w:rPr>
                <w:lang w:val="es-ES" w:eastAsia="ja-JP"/>
              </w:rPr>
            </w:pPr>
            <w:r w:rsidRPr="00F9410F">
              <w:rPr>
                <w:lang w:val="es-ES"/>
              </w:rPr>
              <w:t>1.</w:t>
            </w:r>
            <w:r w:rsidRPr="00F9410F">
              <w:rPr>
                <w:lang w:val="es-ES" w:eastAsia="ja-JP"/>
              </w:rPr>
              <w:t>6</w:t>
            </w:r>
          </w:p>
        </w:tc>
        <w:tc>
          <w:tcPr>
            <w:tcW w:w="3118"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eastAsia="SimSun" w:hAnsi="Times New Roman Bold" w:cs="Times New Roman Bold"/>
                <w:b/>
                <w:bCs/>
                <w:lang w:val="es-ES"/>
              </w:rPr>
              <w:t xml:space="preserve">151 </w:t>
            </w:r>
            <w:r w:rsidRPr="00F9410F">
              <w:rPr>
                <w:b/>
                <w:bCs/>
                <w:lang w:val="es-ES"/>
              </w:rPr>
              <w:t>(CMR</w:t>
            </w:r>
            <w:r w:rsidRPr="00F9410F">
              <w:rPr>
                <w:b/>
                <w:bCs/>
                <w:lang w:val="es-ES"/>
              </w:rPr>
              <w:noBreakHyphen/>
              <w:t>12)</w:t>
            </w:r>
          </w:p>
        </w:tc>
        <w:tc>
          <w:tcPr>
            <w:tcW w:w="4678" w:type="dxa"/>
            <w:vMerge/>
            <w:shd w:val="clear" w:color="auto" w:fill="auto"/>
          </w:tcPr>
          <w:p w:rsidR="00C00643" w:rsidRPr="00F9410F" w:rsidRDefault="00C00643" w:rsidP="002F1E53">
            <w:pPr>
              <w:pStyle w:val="Tabletext"/>
              <w:keepNext/>
              <w:rPr>
                <w:lang w:val="es-ES" w:eastAsia="ja-JP"/>
              </w:rPr>
            </w:pPr>
          </w:p>
        </w:tc>
      </w:tr>
      <w:tr w:rsidR="00C00643" w:rsidRPr="00F9410F" w:rsidTr="00A3275E">
        <w:trPr>
          <w:jc w:val="center"/>
        </w:trPr>
        <w:tc>
          <w:tcPr>
            <w:tcW w:w="1668" w:type="dxa"/>
          </w:tcPr>
          <w:p w:rsidR="00C00643" w:rsidRPr="00F9410F" w:rsidRDefault="00C00643" w:rsidP="002F1E53">
            <w:pPr>
              <w:pStyle w:val="Tabletext"/>
              <w:jc w:val="center"/>
              <w:rPr>
                <w:lang w:val="es-ES" w:eastAsia="ja-JP"/>
              </w:rPr>
            </w:pPr>
            <w:r w:rsidRPr="00F9410F">
              <w:rPr>
                <w:lang w:val="es-ES"/>
              </w:rPr>
              <w:t>1.</w:t>
            </w:r>
            <w:r w:rsidRPr="00F9410F">
              <w:rPr>
                <w:lang w:val="es-ES" w:eastAsia="ja-JP"/>
              </w:rPr>
              <w:t>9</w:t>
            </w:r>
          </w:p>
        </w:tc>
        <w:tc>
          <w:tcPr>
            <w:tcW w:w="3118" w:type="dxa"/>
          </w:tcPr>
          <w:p w:rsidR="00C00643" w:rsidRPr="00F9410F" w:rsidRDefault="00C00643" w:rsidP="002F1E53">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val="es-ES" w:eastAsia="ja-JP"/>
              </w:rPr>
            </w:pPr>
            <w:r w:rsidRPr="00F9410F">
              <w:rPr>
                <w:lang w:val="es-ES"/>
              </w:rPr>
              <w:t xml:space="preserve">Resolución </w:t>
            </w:r>
            <w:r w:rsidRPr="00F9410F">
              <w:rPr>
                <w:rFonts w:ascii="Times New Roman Bold" w:hAnsi="Times New Roman Bold" w:cs="Times New Roman Bold"/>
                <w:b/>
                <w:lang w:val="es-ES"/>
              </w:rPr>
              <w:t xml:space="preserve">758 </w:t>
            </w:r>
            <w:r w:rsidRPr="00F9410F">
              <w:rPr>
                <w:b/>
                <w:bCs/>
                <w:lang w:val="es-ES"/>
              </w:rPr>
              <w:t>(CMR</w:t>
            </w:r>
            <w:r w:rsidRPr="00F9410F">
              <w:rPr>
                <w:b/>
                <w:bCs/>
                <w:lang w:val="es-ES"/>
              </w:rPr>
              <w:noBreakHyphen/>
              <w:t>12)</w:t>
            </w:r>
          </w:p>
        </w:tc>
        <w:tc>
          <w:tcPr>
            <w:tcW w:w="4678" w:type="dxa"/>
            <w:vMerge/>
            <w:shd w:val="clear" w:color="auto" w:fill="auto"/>
          </w:tcPr>
          <w:p w:rsidR="00C00643" w:rsidRPr="00F9410F" w:rsidRDefault="00C00643" w:rsidP="002F1E53">
            <w:pPr>
              <w:pStyle w:val="Tabletext"/>
              <w:rPr>
                <w:lang w:val="es-ES" w:eastAsia="ja-JP"/>
              </w:rPr>
            </w:pPr>
          </w:p>
        </w:tc>
      </w:tr>
      <w:tr w:rsidR="00C00643" w:rsidRPr="00F9410F" w:rsidTr="00A3275E">
        <w:trPr>
          <w:jc w:val="center"/>
        </w:trPr>
        <w:tc>
          <w:tcPr>
            <w:tcW w:w="1668" w:type="dxa"/>
            <w:tcBorders>
              <w:bottom w:val="single" w:sz="4" w:space="0" w:color="auto"/>
            </w:tcBorders>
          </w:tcPr>
          <w:p w:rsidR="00C00643" w:rsidRPr="00F9410F" w:rsidRDefault="00C00643" w:rsidP="002F1E53">
            <w:pPr>
              <w:pStyle w:val="Tabletext"/>
              <w:jc w:val="center"/>
              <w:rPr>
                <w:lang w:val="es-ES" w:eastAsia="ja-JP"/>
              </w:rPr>
            </w:pPr>
            <w:r w:rsidRPr="00F9410F">
              <w:rPr>
                <w:lang w:val="es-ES" w:eastAsia="ja-JP"/>
              </w:rPr>
              <w:t>1.12</w:t>
            </w:r>
          </w:p>
        </w:tc>
        <w:tc>
          <w:tcPr>
            <w:tcW w:w="3118" w:type="dxa"/>
            <w:tcBorders>
              <w:bottom w:val="single" w:sz="4" w:space="0" w:color="auto"/>
            </w:tcBorders>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rPr>
              <w:t xml:space="preserve">651 </w:t>
            </w:r>
            <w:r w:rsidRPr="00F9410F">
              <w:rPr>
                <w:b/>
                <w:bCs/>
                <w:lang w:val="es-ES"/>
              </w:rPr>
              <w:t>(CMR</w:t>
            </w:r>
            <w:r w:rsidRPr="00F9410F">
              <w:rPr>
                <w:b/>
                <w:bCs/>
                <w:lang w:val="es-ES"/>
              </w:rPr>
              <w:noBreakHyphen/>
              <w:t>12)</w:t>
            </w:r>
          </w:p>
        </w:tc>
        <w:tc>
          <w:tcPr>
            <w:tcW w:w="4678" w:type="dxa"/>
            <w:vMerge/>
            <w:tcBorders>
              <w:bottom w:val="single" w:sz="4" w:space="0" w:color="auto"/>
            </w:tcBorders>
            <w:shd w:val="clear" w:color="auto" w:fill="auto"/>
          </w:tcPr>
          <w:p w:rsidR="00C00643" w:rsidRPr="00F9410F" w:rsidRDefault="00C00643" w:rsidP="002F1E53">
            <w:pPr>
              <w:pStyle w:val="Tabletext"/>
              <w:rPr>
                <w:lang w:val="es-ES"/>
              </w:rPr>
            </w:pPr>
          </w:p>
        </w:tc>
      </w:tr>
    </w:tbl>
    <w:p w:rsidR="00C00643" w:rsidRPr="00F9410F" w:rsidRDefault="00C00643" w:rsidP="00C00643">
      <w:pPr>
        <w:pStyle w:val="Heading3"/>
        <w:rPr>
          <w:lang w:val="es-ES" w:eastAsia="ja-JP"/>
        </w:rPr>
      </w:pPr>
      <w:r w:rsidRPr="00F9410F">
        <w:rPr>
          <w:lang w:val="es-ES" w:eastAsia="ja-JP"/>
        </w:rPr>
        <w:t>4.3.4</w:t>
      </w:r>
      <w:r w:rsidRPr="00F9410F">
        <w:rPr>
          <w:lang w:val="es-ES"/>
        </w:rPr>
        <w:tab/>
        <w:t>Otras actividades conexas</w:t>
      </w:r>
    </w:p>
    <w:p w:rsidR="00C00643" w:rsidRPr="00F9410F" w:rsidRDefault="00C00643" w:rsidP="00C00643">
      <w:pPr>
        <w:rPr>
          <w:lang w:val="es-ES" w:eastAsia="ja-JP"/>
        </w:rPr>
      </w:pPr>
      <w:r w:rsidRPr="00F9410F">
        <w:rPr>
          <w:rStyle w:val="Strong"/>
          <w:b w:val="0"/>
          <w:color w:val="02274B"/>
          <w:szCs w:val="24"/>
          <w:lang w:val="es-ES" w:eastAsia="ja-JP"/>
        </w:rPr>
        <w:t xml:space="preserve">El Grupo de Trabajo 5C celebró el 23 de mayo de 2012 un </w:t>
      </w:r>
      <w:hyperlink r:id="rId30" w:history="1">
        <w:r w:rsidRPr="00F9410F">
          <w:rPr>
            <w:rStyle w:val="Hyperlink"/>
            <w:szCs w:val="24"/>
            <w:lang w:val="es-ES" w:eastAsia="ja-JP"/>
          </w:rPr>
          <w:t>taller sobre los preparativos para la CMR</w:t>
        </w:r>
        <w:r w:rsidRPr="00F9410F">
          <w:rPr>
            <w:rStyle w:val="Hyperlink"/>
            <w:szCs w:val="24"/>
            <w:lang w:val="es-ES"/>
          </w:rPr>
          <w:t>-15</w:t>
        </w:r>
      </w:hyperlink>
      <w:r w:rsidRPr="00F9410F">
        <w:rPr>
          <w:rStyle w:val="Strong"/>
          <w:b w:val="0"/>
          <w:color w:val="02274B"/>
          <w:szCs w:val="24"/>
          <w:lang w:val="es-ES"/>
        </w:rPr>
        <w:t xml:space="preserve"> </w:t>
      </w:r>
      <w:r w:rsidRPr="00F9410F">
        <w:rPr>
          <w:color w:val="000000"/>
          <w:szCs w:val="24"/>
          <w:lang w:val="es-ES" w:eastAsia="ja-JP"/>
        </w:rPr>
        <w:t xml:space="preserve">junto con los Grupos de Trabajo 5A y 5B (véase </w:t>
      </w:r>
      <w:r w:rsidRPr="00F9410F">
        <w:rPr>
          <w:b/>
          <w:color w:val="000000"/>
          <w:szCs w:val="24"/>
          <w:lang w:val="es-ES" w:eastAsia="ja-JP"/>
        </w:rPr>
        <w:t>4.1.4</w:t>
      </w:r>
      <w:r w:rsidRPr="00F9410F">
        <w:rPr>
          <w:color w:val="000000"/>
          <w:szCs w:val="24"/>
          <w:lang w:val="es-ES" w:eastAsia="ja-JP"/>
        </w:rPr>
        <w:t>).</w:t>
      </w:r>
    </w:p>
    <w:p w:rsidR="00C00643" w:rsidRPr="00F9410F" w:rsidRDefault="00C00643" w:rsidP="00C00643">
      <w:pPr>
        <w:rPr>
          <w:rFonts w:eastAsia="Calibri"/>
          <w:lang w:val="es-ES"/>
        </w:rPr>
      </w:pPr>
      <w:r w:rsidRPr="00F9410F">
        <w:rPr>
          <w:lang w:val="es-ES" w:eastAsia="ja-JP"/>
        </w:rPr>
        <w:t>A fin de llevar a la práctica la solicitud formulada en la Resolución UIT-R 59,</w:t>
      </w:r>
      <w:r w:rsidRPr="00F9410F">
        <w:rPr>
          <w:rFonts w:eastAsia="Batang"/>
          <w:lang w:val="es-ES"/>
        </w:rPr>
        <w:t xml:space="preserve"> el Grupo de Trabajo 5C examinó y finalizó el formato acordado de la base de datos sobre ENG para la BR con miras a desarrollar una página web para reunir enlaces a listas de administraciones con información sobre ENG. La elaboración de la </w:t>
      </w:r>
      <w:hyperlink r:id="rId31" w:history="1">
        <w:r w:rsidRPr="00F9410F">
          <w:rPr>
            <w:rStyle w:val="Hyperlink"/>
            <w:iCs/>
            <w:lang w:val="es-ES" w:eastAsia="ja-JP"/>
          </w:rPr>
          <w:t>base de datos</w:t>
        </w:r>
      </w:hyperlink>
      <w:r w:rsidRPr="00F9410F">
        <w:rPr>
          <w:iCs/>
          <w:lang w:val="es-ES" w:eastAsia="ja-JP"/>
        </w:rPr>
        <w:t xml:space="preserve"> ha corrido a cargo de la BR y puede consultarse en el sitio web de la UIT.</w:t>
      </w:r>
    </w:p>
    <w:p w:rsidR="00C00643" w:rsidRPr="00F9410F" w:rsidRDefault="00C00643" w:rsidP="00C00643">
      <w:pPr>
        <w:rPr>
          <w:lang w:val="es-ES" w:eastAsia="ja-JP"/>
        </w:rPr>
      </w:pPr>
      <w:r w:rsidRPr="00F9410F">
        <w:rPr>
          <w:lang w:val="es-ES" w:eastAsia="ja-JP"/>
        </w:rPr>
        <w:t>Además, el Grupo de Trabajo 5C organizó un taller sobre ondas milimétricas el 6 de julio de 2015, durante su reunión en Bucarest (Rumania), a fin de señalar a la atención de sus miembros las aplicaciones del servicio fijo en las bandas de frecuencias de ondas milimétricas</w:t>
      </w:r>
      <w:r w:rsidRPr="00F9410F">
        <w:rPr>
          <w:rFonts w:ascii="inherit" w:hAnsi="inherit" w:cs="Segoe UI"/>
          <w:color w:val="000000"/>
          <w:lang w:val="es-ES" w:eastAsia="ja-JP"/>
        </w:rPr>
        <w:t>.</w:t>
      </w:r>
    </w:p>
    <w:p w:rsidR="00C00643" w:rsidRPr="00F9410F" w:rsidRDefault="00C00643" w:rsidP="00C00643">
      <w:pPr>
        <w:pStyle w:val="Heading2"/>
        <w:rPr>
          <w:lang w:val="es-ES"/>
        </w:rPr>
      </w:pPr>
      <w:r w:rsidRPr="00F9410F">
        <w:rPr>
          <w:lang w:val="es-ES"/>
        </w:rPr>
        <w:t>4.4</w:t>
      </w:r>
      <w:r w:rsidRPr="00F9410F">
        <w:rPr>
          <w:lang w:val="es-ES" w:eastAsia="ja-JP"/>
        </w:rPr>
        <w:tab/>
      </w:r>
      <w:r w:rsidRPr="00F9410F">
        <w:rPr>
          <w:lang w:val="es-ES"/>
        </w:rPr>
        <w:t>Grupo de Trabajo 5D</w:t>
      </w:r>
    </w:p>
    <w:p w:rsidR="00C00643" w:rsidRPr="00F9410F" w:rsidRDefault="00C00643" w:rsidP="00C00643">
      <w:pPr>
        <w:pStyle w:val="Heading3"/>
        <w:rPr>
          <w:lang w:val="es-ES" w:eastAsia="ja-JP"/>
        </w:rPr>
      </w:pPr>
      <w:r w:rsidRPr="00F9410F">
        <w:rPr>
          <w:lang w:val="es-ES" w:eastAsia="ja-JP"/>
        </w:rPr>
        <w:t>4.4.</w:t>
      </w:r>
      <w:r w:rsidRPr="00F9410F">
        <w:rPr>
          <w:lang w:val="es-ES"/>
        </w:rPr>
        <w:t>1</w:t>
      </w:r>
      <w:r w:rsidRPr="00F9410F">
        <w:rPr>
          <w:lang w:val="es-ES"/>
        </w:rPr>
        <w:tab/>
        <w:t>Reuniones y estructura de los trabajos</w:t>
      </w:r>
    </w:p>
    <w:p w:rsidR="00C00643" w:rsidRPr="00F9410F" w:rsidRDefault="00C00643" w:rsidP="00C00643">
      <w:pPr>
        <w:rPr>
          <w:lang w:val="es-ES"/>
        </w:rPr>
      </w:pPr>
      <w:r w:rsidRPr="00F9410F">
        <w:rPr>
          <w:lang w:val="es-ES"/>
        </w:rPr>
        <w:t>El Grupo de Trabajo 5D ha celebrado las diez reuniones que se indican en el Cuadro A1</w:t>
      </w:r>
      <w:r w:rsidRPr="00F9410F">
        <w:rPr>
          <w:lang w:val="es-ES"/>
        </w:rPr>
        <w:noBreakHyphen/>
        <w:t>2 del Anexo 1.</w:t>
      </w:r>
    </w:p>
    <w:p w:rsidR="00C00643" w:rsidRPr="00F9410F" w:rsidRDefault="00C00643" w:rsidP="00C00643">
      <w:pPr>
        <w:rPr>
          <w:lang w:val="es-ES"/>
        </w:rPr>
      </w:pPr>
      <w:r w:rsidRPr="00F9410F">
        <w:rPr>
          <w:lang w:val="es-ES"/>
        </w:rPr>
        <w:lastRenderedPageBreak/>
        <w:t>Presidió todas las reuniones el Sr. Stephen Blust (AT&amp;T), Presidente del Grupo de Trabajo 5D.</w:t>
      </w:r>
    </w:p>
    <w:p w:rsidR="00C00643" w:rsidRPr="00F9410F" w:rsidRDefault="00C00643" w:rsidP="00C00643">
      <w:pPr>
        <w:rPr>
          <w:lang w:val="es-ES"/>
        </w:rPr>
      </w:pPr>
      <w:r w:rsidRPr="00F9410F">
        <w:rPr>
          <w:lang w:val="es-ES"/>
        </w:rPr>
        <w:t>Muchas reuniones del Grupo de Trabajo 5D se celebraron por amable invitación de los Estados Miembros, hecho que ha propiciado una participación más amplia y que ha contribuido a que se entienda la actividad que desarrolla el UIT</w:t>
      </w:r>
      <w:r w:rsidRPr="00F9410F">
        <w:rPr>
          <w:lang w:val="es-ES"/>
        </w:rPr>
        <w:noBreakHyphen/>
        <w:t>R a escala mundial.</w:t>
      </w:r>
    </w:p>
    <w:p w:rsidR="00C00643" w:rsidRPr="00F9410F" w:rsidRDefault="00C00643" w:rsidP="00C00643">
      <w:pPr>
        <w:rPr>
          <w:lang w:val="es-ES"/>
        </w:rPr>
      </w:pPr>
      <w:r w:rsidRPr="00F9410F">
        <w:rPr>
          <w:lang w:val="es-ES"/>
        </w:rPr>
        <w:t>El Grupo de Trabajo 5D ha establecido los tres grupos de trabajo (GT) que se detallan a continuación, que llevan a cabo sus tareas con arreglo al cometido acordado:</w:t>
      </w:r>
    </w:p>
    <w:p w:rsidR="00C00643" w:rsidRPr="00F9410F" w:rsidRDefault="00C00643" w:rsidP="00BF6935">
      <w:pPr>
        <w:pStyle w:val="enumlev1"/>
        <w:rPr>
          <w:lang w:val="es-ES"/>
        </w:rPr>
      </w:pPr>
      <w:r w:rsidRPr="00F9410F">
        <w:rPr>
          <w:lang w:val="es-ES"/>
        </w:rPr>
        <w:t>−</w:t>
      </w:r>
      <w:r w:rsidRPr="00F9410F">
        <w:rPr>
          <w:lang w:val="es-ES"/>
        </w:rPr>
        <w:tab/>
        <w:t xml:space="preserve">GT sobre aspectos generales: </w:t>
      </w:r>
      <w:r w:rsidR="00BF6935">
        <w:rPr>
          <w:lang w:val="es-ES"/>
        </w:rPr>
        <w:t>T</w:t>
      </w:r>
      <w:r w:rsidRPr="00F9410F">
        <w:rPr>
          <w:lang w:val="es-ES"/>
        </w:rPr>
        <w:t>emas relativos a aspectos generales de las IMT.</w:t>
      </w:r>
    </w:p>
    <w:p w:rsidR="00C00643" w:rsidRPr="00F9410F" w:rsidRDefault="00C00643" w:rsidP="00BF6935">
      <w:pPr>
        <w:pStyle w:val="enumlev1"/>
        <w:rPr>
          <w:lang w:val="es-ES"/>
        </w:rPr>
      </w:pPr>
      <w:r w:rsidRPr="00F9410F">
        <w:rPr>
          <w:lang w:val="es-ES"/>
        </w:rPr>
        <w:t>−</w:t>
      </w:r>
      <w:r w:rsidRPr="00F9410F">
        <w:rPr>
          <w:lang w:val="es-ES"/>
        </w:rPr>
        <w:tab/>
        <w:t xml:space="preserve">GT sobre aspectos de espectro: </w:t>
      </w:r>
      <w:r w:rsidR="00BF6935">
        <w:rPr>
          <w:lang w:val="es-ES"/>
        </w:rPr>
        <w:t>T</w:t>
      </w:r>
      <w:r w:rsidRPr="00F9410F">
        <w:rPr>
          <w:lang w:val="es-ES"/>
        </w:rPr>
        <w:t>emas relativos a aspectos de espectro de las IMT.</w:t>
      </w:r>
    </w:p>
    <w:p w:rsidR="00C00643" w:rsidRPr="00F9410F" w:rsidRDefault="00C00643" w:rsidP="00BF6935">
      <w:pPr>
        <w:pStyle w:val="enumlev1"/>
        <w:rPr>
          <w:lang w:val="es-ES"/>
        </w:rPr>
      </w:pPr>
      <w:r w:rsidRPr="00F9410F">
        <w:rPr>
          <w:lang w:val="es-ES"/>
        </w:rPr>
        <w:t>−</w:t>
      </w:r>
      <w:r w:rsidRPr="00F9410F">
        <w:rPr>
          <w:lang w:val="es-ES"/>
        </w:rPr>
        <w:tab/>
        <w:t xml:space="preserve">GT sobre aspectos tecnológicos: </w:t>
      </w:r>
      <w:r w:rsidR="00BF6935">
        <w:rPr>
          <w:lang w:val="es-ES"/>
        </w:rPr>
        <w:t>T</w:t>
      </w:r>
      <w:r w:rsidRPr="00F9410F">
        <w:rPr>
          <w:lang w:val="es-ES"/>
        </w:rPr>
        <w:t>emas relativos a aspectos tecnológicos de las IMT.</w:t>
      </w:r>
    </w:p>
    <w:p w:rsidR="00C00643" w:rsidRPr="00F9410F" w:rsidRDefault="00C00643" w:rsidP="00BF6935">
      <w:pPr>
        <w:rPr>
          <w:lang w:val="es-ES"/>
        </w:rPr>
      </w:pPr>
      <w:r w:rsidRPr="00F9410F">
        <w:rPr>
          <w:lang w:val="es-ES"/>
        </w:rPr>
        <w:t xml:space="preserve">Además de los </w:t>
      </w:r>
      <w:r w:rsidR="00BF6935">
        <w:rPr>
          <w:lang w:val="es-ES"/>
        </w:rPr>
        <w:t>G</w:t>
      </w:r>
      <w:r w:rsidRPr="00F9410F">
        <w:rPr>
          <w:lang w:val="es-ES"/>
        </w:rPr>
        <w:t xml:space="preserve">rupos de </w:t>
      </w:r>
      <w:r w:rsidR="00BF6935">
        <w:rPr>
          <w:lang w:val="es-ES"/>
        </w:rPr>
        <w:t>T</w:t>
      </w:r>
      <w:r w:rsidRPr="00F9410F">
        <w:rPr>
          <w:lang w:val="es-ES"/>
        </w:rPr>
        <w:t>rabajo enumerados anteriormente, y siguiendo su práctica habitual, se ha establecido un Grupo ad hoc para ocuparse de los planes de trabajo.</w:t>
      </w:r>
    </w:p>
    <w:p w:rsidR="00C00643" w:rsidRPr="00F9410F" w:rsidRDefault="00C00643" w:rsidP="00C00643">
      <w:pPr>
        <w:pStyle w:val="Heading3"/>
        <w:rPr>
          <w:lang w:val="es-ES" w:eastAsia="ja-JP"/>
        </w:rPr>
      </w:pPr>
      <w:r w:rsidRPr="00F9410F">
        <w:rPr>
          <w:lang w:val="es-ES" w:eastAsia="ja-JP"/>
        </w:rPr>
        <w:t>4.4.2</w:t>
      </w:r>
      <w:r w:rsidRPr="00F9410F">
        <w:rPr>
          <w:lang w:val="es-ES"/>
        </w:rPr>
        <w:tab/>
        <w:t>Resultados específicos</w:t>
      </w:r>
    </w:p>
    <w:p w:rsidR="00C00643" w:rsidRPr="00F9410F" w:rsidRDefault="00C00643" w:rsidP="00260ADC">
      <w:pPr>
        <w:rPr>
          <w:lang w:val="es-ES" w:eastAsia="ja-JP"/>
        </w:rPr>
      </w:pPr>
      <w:r w:rsidRPr="00F9410F">
        <w:rPr>
          <w:lang w:val="es-ES"/>
        </w:rPr>
        <w:t>La labor del Grupo de Trabajo 5D durante el presente periodo de estudios se ha ocupado principalmente de aspectos relativos a la tecnología y el espectro de las IMT, incluidas las IMT</w:t>
      </w:r>
      <w:r w:rsidR="00260ADC">
        <w:rPr>
          <w:lang w:val="es-ES"/>
        </w:rPr>
        <w:noBreakHyphen/>
      </w:r>
      <w:r w:rsidRPr="00F9410F">
        <w:rPr>
          <w:lang w:val="es-ES"/>
        </w:rPr>
        <w:t>2000 actuales, el desarrollo de las IMT-Avanzadas y la futura evolución de las IMT en 2020 y a partir de esa fecha.</w:t>
      </w:r>
    </w:p>
    <w:p w:rsidR="00C00643" w:rsidRPr="00F9410F" w:rsidRDefault="00C00643" w:rsidP="00C00643">
      <w:pPr>
        <w:pStyle w:val="ListParagraph"/>
        <w:numPr>
          <w:ilvl w:val="0"/>
          <w:numId w:val="27"/>
        </w:numPr>
        <w:ind w:leftChars="0"/>
        <w:rPr>
          <w:b/>
          <w:lang w:val="es-ES" w:eastAsia="ja-JP"/>
        </w:rPr>
      </w:pPr>
      <w:r w:rsidRPr="00F9410F">
        <w:rPr>
          <w:b/>
          <w:lang w:val="es-ES" w:eastAsia="ja-JP"/>
        </w:rPr>
        <w:t>Trabajos relativos a los aspectos generales</w:t>
      </w:r>
    </w:p>
    <w:p w:rsidR="00C00643" w:rsidRPr="00F9410F" w:rsidRDefault="00C00643" w:rsidP="00260ADC">
      <w:pPr>
        <w:rPr>
          <w:rFonts w:asciiTheme="majorBidi" w:hAnsiTheme="majorBidi" w:cstheme="majorBidi"/>
          <w:sz w:val="22"/>
          <w:szCs w:val="22"/>
          <w:lang w:val="es-ES" w:eastAsia="ja-JP"/>
        </w:rPr>
      </w:pPr>
      <w:r w:rsidRPr="00F9410F">
        <w:rPr>
          <w:lang w:val="es-ES" w:eastAsia="ja-JP"/>
        </w:rPr>
        <w:t>En el presente per</w:t>
      </w:r>
      <w:r w:rsidR="00260ADC">
        <w:rPr>
          <w:lang w:val="es-ES" w:eastAsia="ja-JP"/>
        </w:rPr>
        <w:t>i</w:t>
      </w:r>
      <w:r w:rsidRPr="00F9410F">
        <w:rPr>
          <w:lang w:val="es-ES" w:eastAsia="ja-JP"/>
        </w:rPr>
        <w:t>odo de estudios, una parte importante del trabajo del Grupo de Trabajo 5D</w:t>
      </w:r>
      <w:r w:rsidRPr="00F9410F">
        <w:rPr>
          <w:lang w:val="es-ES"/>
        </w:rPr>
        <w:t xml:space="preserve"> giró alrededor de la elaboración de una nueva Recomendación sobre el m</w:t>
      </w:r>
      <w:r w:rsidRPr="00F9410F">
        <w:rPr>
          <w:color w:val="000000"/>
          <w:lang w:val="es-ES"/>
        </w:rPr>
        <w:t>arco y los objetivos generales de la futura evolución de las IMT en 2020 y a partir de esa fecha</w:t>
      </w:r>
      <w:r w:rsidRPr="00F9410F">
        <w:rPr>
          <w:rFonts w:asciiTheme="majorBidi" w:hAnsiTheme="majorBidi" w:cstheme="majorBidi"/>
          <w:szCs w:val="24"/>
          <w:lang w:val="es-ES"/>
        </w:rPr>
        <w:t>, incluida una amplia variedad de capacidades vinculadas a las hipótesis de uso previstas. A lo largo de diez reuniones, el Grupo de Trabajo 5D ha debatido y formulado los requisitos básicos y las posibles tecnologías para la interfaz de radio, que podrían considerarse como elementos de una nueva Recomendación. El resultado de esta labor ha quedado reflejado en la elaboración de la Recomendación UIT</w:t>
      </w:r>
      <w:r w:rsidRPr="00F9410F">
        <w:rPr>
          <w:rFonts w:asciiTheme="majorBidi" w:hAnsiTheme="majorBidi" w:cstheme="majorBidi"/>
          <w:sz w:val="22"/>
          <w:szCs w:val="22"/>
          <w:lang w:val="es-ES" w:eastAsia="ja-JP"/>
        </w:rPr>
        <w:t>-R M.2083.</w:t>
      </w:r>
    </w:p>
    <w:p w:rsidR="00C00643" w:rsidRPr="00F9410F" w:rsidRDefault="00C00643" w:rsidP="00260ADC">
      <w:pPr>
        <w:rPr>
          <w:lang w:val="es-ES" w:eastAsia="ja-JP"/>
        </w:rPr>
      </w:pPr>
      <w:r w:rsidRPr="00F9410F">
        <w:rPr>
          <w:lang w:val="es-ES" w:eastAsia="ja-JP"/>
        </w:rPr>
        <w:t>El Grupo de Trabajo 5D también ha elaborado el Informe UIT-R M.2291-0 sobre la utilización de las IMT para las aplicaciones de PPDR de banda ancha, relacionado con el estudio del punto 1.3 del orden del día de la CMR-15.</w:t>
      </w:r>
    </w:p>
    <w:p w:rsidR="00C00643" w:rsidRPr="00F9410F" w:rsidRDefault="00C00643" w:rsidP="00260ADC">
      <w:pPr>
        <w:rPr>
          <w:lang w:val="es-ES" w:eastAsia="ja-JP"/>
        </w:rPr>
      </w:pPr>
      <w:r w:rsidRPr="00F9410F">
        <w:rPr>
          <w:lang w:val="es-ES" w:eastAsia="ja-JP"/>
        </w:rPr>
        <w:t>Dentro de la labor relacionada con los aspectos generales, y en colaboración con el Grupo de Trabajo 4B de la Comisión de Estudio 4, se llevó a cabo un examen de las Resoluciones del UIT-R relativas a los sistemas de IMT. Fruto de esta tarea, se han elaborado una nueva Resolución UIT-R y dos Resoluciones UIT-R revisadas, y se ha propuesto a la Asamblea que considere la posibilidad de suprimir una Resolución (véase la sección 2.4).</w:t>
      </w:r>
    </w:p>
    <w:p w:rsidR="00C00643" w:rsidRPr="00F9410F" w:rsidRDefault="00C00643" w:rsidP="00B90546">
      <w:pPr>
        <w:rPr>
          <w:lang w:val="es-ES" w:eastAsia="ja-JP"/>
        </w:rPr>
      </w:pPr>
      <w:r w:rsidRPr="00F9410F">
        <w:rPr>
          <w:lang w:val="es-ES" w:eastAsia="ja-JP"/>
        </w:rPr>
        <w:t xml:space="preserve">Además, el GT </w:t>
      </w:r>
      <w:r w:rsidRPr="00F9410F">
        <w:rPr>
          <w:lang w:val="es-ES"/>
        </w:rPr>
        <w:t>5D ha culminado la labor (mediante coordinación sectorial) de elaboración de un nuevo Manual sobre tendencias mundiales de las IMT terrenales, que enumera los aspectos técnicos, operacionales y de espectro de la componente terrenal de las IMT, incluida información sobre su instalación y características técnicas, así como sobre los servicios y las aplicaciones soportados.</w:t>
      </w:r>
    </w:p>
    <w:p w:rsidR="00C00643" w:rsidRPr="00F9410F" w:rsidRDefault="00C00643" w:rsidP="00C00643">
      <w:pPr>
        <w:pStyle w:val="Headingb"/>
        <w:rPr>
          <w:lang w:val="es-ES" w:eastAsia="ja-JP"/>
        </w:rPr>
      </w:pPr>
      <w:r w:rsidRPr="00F9410F">
        <w:rPr>
          <w:lang w:val="es-ES" w:eastAsia="ja-JP"/>
        </w:rPr>
        <w:t>2</w:t>
      </w:r>
      <w:r w:rsidRPr="00F9410F">
        <w:rPr>
          <w:lang w:val="es-ES"/>
        </w:rPr>
        <w:t>)</w:t>
      </w:r>
      <w:r w:rsidRPr="00F9410F">
        <w:rPr>
          <w:lang w:val="es-ES"/>
        </w:rPr>
        <w:tab/>
        <w:t>Trabajos relativos a los aspectos tecnológicos</w:t>
      </w:r>
    </w:p>
    <w:p w:rsidR="00C00643" w:rsidRPr="00F9410F" w:rsidRDefault="00C00643" w:rsidP="00C00643">
      <w:pPr>
        <w:rPr>
          <w:lang w:val="es-ES" w:eastAsia="ja-JP"/>
        </w:rPr>
      </w:pPr>
      <w:r w:rsidRPr="00F9410F">
        <w:rPr>
          <w:lang w:val="es-ES" w:eastAsia="ja-JP"/>
        </w:rPr>
        <w:t>Tras la aprobación de la Recomendación sobre especificaciones detalladas de la interfaz radioeléctrica de las IMT-Avanzadas, el Grupo de Trabajo 5D ha participado en la elaboración de nuevas Recomendaciones sobre las c</w:t>
      </w:r>
      <w:r w:rsidRPr="00F9410F">
        <w:rPr>
          <w:color w:val="000000"/>
          <w:lang w:val="es-ES"/>
        </w:rPr>
        <w:t>aracterísticas genéricas de las emisiones no deseadas procedentes de las IMT-Avanzadas, proceso que concluyó con la aprobación de las Recomendaciones UIT</w:t>
      </w:r>
      <w:r w:rsidRPr="00F9410F">
        <w:rPr>
          <w:lang w:val="es-ES" w:eastAsia="ja-JP"/>
        </w:rPr>
        <w:t>-R M.2070-0 y UIT-R M.2071-0.</w:t>
      </w:r>
    </w:p>
    <w:p w:rsidR="00C00643" w:rsidRPr="00F9410F" w:rsidRDefault="00C00643" w:rsidP="00C00643">
      <w:pPr>
        <w:rPr>
          <w:lang w:val="es-ES" w:eastAsia="ja-JP"/>
        </w:rPr>
      </w:pPr>
      <w:r w:rsidRPr="00F9410F">
        <w:rPr>
          <w:lang w:val="es-ES" w:eastAsia="ja-JP"/>
        </w:rPr>
        <w:lastRenderedPageBreak/>
        <w:t>Otros logros importantes del Grupo de Trabajo 5D en cuestiones relacionadas con la tecnología son la elaboración del Informe UIT-R 2320-0 sobre tendencias tecnológicas futuras, del Informe UIT-R M.2334-0 sobre sistemas de antena pasivos y activos para estaciones de base y del Informe UIT-R M.2376 sobre viabilidad técnica de las IMT en las bandas por encima de 6 GHz.</w:t>
      </w:r>
    </w:p>
    <w:p w:rsidR="00C00643" w:rsidRPr="00F9410F" w:rsidRDefault="00C00643" w:rsidP="00C00643">
      <w:pPr>
        <w:rPr>
          <w:lang w:val="es-ES" w:eastAsia="ja-JP"/>
        </w:rPr>
      </w:pPr>
      <w:r w:rsidRPr="00F9410F">
        <w:rPr>
          <w:lang w:val="es-ES"/>
        </w:rPr>
        <w:t>Con objeto de ampliar la información sobre novedades en el ámbito de las IMT-Avanzadas</w:t>
      </w:r>
      <w:r w:rsidRPr="00F9410F">
        <w:rPr>
          <w:lang w:val="es-ES" w:eastAsia="ja-JP"/>
        </w:rPr>
        <w:t>,</w:t>
      </w:r>
      <w:r w:rsidRPr="00F9410F">
        <w:rPr>
          <w:lang w:val="es-ES"/>
        </w:rPr>
        <w:t xml:space="preserve"> la Oficina de Radiocomunicaciones ha puesto en marcha la siguiente página web: (</w:t>
      </w:r>
      <w:hyperlink r:id="rId32" w:tgtFrame="_blank" w:tooltip="http://www.itu.int/ITU-R/go/rsg5-imt-advanced/" w:history="1">
        <w:r w:rsidRPr="00F9410F">
          <w:rPr>
            <w:rFonts w:eastAsia="SimSun"/>
            <w:color w:val="0000FF"/>
            <w:u w:val="single"/>
            <w:lang w:val="es-ES" w:eastAsia="zh-CN"/>
          </w:rPr>
          <w:t>http://www.itu.int/ITU</w:t>
        </w:r>
        <w:r w:rsidRPr="00F9410F">
          <w:rPr>
            <w:rFonts w:eastAsia="SimSun"/>
            <w:color w:val="0000FF"/>
            <w:u w:val="single"/>
            <w:lang w:val="es-ES" w:eastAsia="zh-CN"/>
          </w:rPr>
          <w:noBreakHyphen/>
          <w:t>R/go/rsg5-imt-advanced/</w:t>
        </w:r>
      </w:hyperlink>
      <w:r w:rsidRPr="00F9410F">
        <w:rPr>
          <w:lang w:val="es-ES"/>
        </w:rPr>
        <w:t>).</w:t>
      </w:r>
    </w:p>
    <w:p w:rsidR="00C00643" w:rsidRPr="00F9410F" w:rsidRDefault="00C00643" w:rsidP="00C00643">
      <w:pPr>
        <w:rPr>
          <w:lang w:val="es-ES"/>
        </w:rPr>
      </w:pPr>
      <w:r w:rsidRPr="00F9410F">
        <w:rPr>
          <w:lang w:val="es-ES"/>
        </w:rPr>
        <w:t>Además de las actividades sobre las IMT</w:t>
      </w:r>
      <w:r w:rsidRPr="00F9410F">
        <w:rPr>
          <w:lang w:val="es-ES"/>
        </w:rPr>
        <w:noBreakHyphen/>
        <w:t>Avanzadas anteriormente mencionadas, el Grupo de Trabajo 5D ha llevado a cabo un gran número de trabajos para seguir desarrollando las IMT</w:t>
      </w:r>
      <w:r w:rsidRPr="00F9410F">
        <w:rPr>
          <w:lang w:val="es-ES"/>
        </w:rPr>
        <w:noBreakHyphen/>
        <w:t>2000 y las IMT-Avanzadas. Se ha elaborado una nueva versión de las siguientes Recomendaciones:</w:t>
      </w:r>
    </w:p>
    <w:p w:rsidR="00C00643" w:rsidRPr="00F9410F" w:rsidRDefault="00C00643" w:rsidP="00C00643">
      <w:pPr>
        <w:pStyle w:val="enumlev1"/>
        <w:rPr>
          <w:lang w:val="es-ES"/>
        </w:rPr>
      </w:pPr>
      <w:r w:rsidRPr="00F9410F">
        <w:rPr>
          <w:lang w:val="es-ES"/>
        </w:rPr>
        <w:t>−</w:t>
      </w:r>
      <w:r w:rsidRPr="00F9410F">
        <w:rPr>
          <w:lang w:val="es-ES"/>
        </w:rPr>
        <w:tab/>
        <w:t>Recomendación UIT</w:t>
      </w:r>
      <w:r w:rsidRPr="00F9410F">
        <w:rPr>
          <w:lang w:val="es-ES"/>
        </w:rPr>
        <w:noBreakHyphen/>
        <w:t>R M.1457 − «Especificaciones detalladas de las interfaces radioeléctricas terrenales para las IMT</w:t>
      </w:r>
      <w:r w:rsidRPr="00F9410F">
        <w:rPr>
          <w:lang w:val="es-ES"/>
        </w:rPr>
        <w:noBreakHyphen/>
        <w:t>2000».</w:t>
      </w:r>
    </w:p>
    <w:p w:rsidR="00C00643" w:rsidRPr="00F9410F" w:rsidRDefault="00C00643" w:rsidP="00C00643">
      <w:pPr>
        <w:pStyle w:val="enumlev1"/>
        <w:rPr>
          <w:lang w:val="es-ES"/>
        </w:rPr>
      </w:pPr>
      <w:r w:rsidRPr="00F9410F">
        <w:rPr>
          <w:lang w:val="es-ES"/>
        </w:rPr>
        <w:t>−</w:t>
      </w:r>
      <w:r w:rsidRPr="00F9410F">
        <w:rPr>
          <w:lang w:val="es-ES"/>
        </w:rPr>
        <w:tab/>
        <w:t>Recomendación UIT</w:t>
      </w:r>
      <w:r w:rsidRPr="00F9410F">
        <w:rPr>
          <w:lang w:val="es-ES"/>
        </w:rPr>
        <w:noBreakHyphen/>
        <w:t>R M.1580 − «Características genéricas de las emisiones no deseadas procedentes de estaciones de base que utilizan las interfaces radioeléctricas terrenales de las IMT</w:t>
      </w:r>
      <w:r w:rsidRPr="00F9410F">
        <w:rPr>
          <w:lang w:val="es-ES"/>
        </w:rPr>
        <w:noBreakHyphen/>
        <w:t>2000».</w:t>
      </w:r>
    </w:p>
    <w:p w:rsidR="00C00643" w:rsidRPr="00F9410F" w:rsidRDefault="00C00643" w:rsidP="00C00643">
      <w:pPr>
        <w:pStyle w:val="enumlev1"/>
        <w:rPr>
          <w:lang w:val="es-ES"/>
        </w:rPr>
      </w:pPr>
      <w:r w:rsidRPr="00F9410F">
        <w:rPr>
          <w:lang w:val="es-ES"/>
        </w:rPr>
        <w:t>−</w:t>
      </w:r>
      <w:r w:rsidRPr="00F9410F">
        <w:rPr>
          <w:lang w:val="es-ES"/>
        </w:rPr>
        <w:tab/>
        <w:t>Recomendación UIT</w:t>
      </w:r>
      <w:r w:rsidRPr="00F9410F">
        <w:rPr>
          <w:lang w:val="es-ES"/>
        </w:rPr>
        <w:noBreakHyphen/>
        <w:t>R M.1581 − «Características genéricas de las emisiones no deseadas procedentes de estaciones móviles que utilizan las interfaces radioeléctricas terrenales de las IMT</w:t>
      </w:r>
      <w:r w:rsidRPr="00F9410F">
        <w:rPr>
          <w:lang w:val="es-ES"/>
        </w:rPr>
        <w:noBreakHyphen/>
        <w:t>2000».</w:t>
      </w:r>
    </w:p>
    <w:p w:rsidR="00C00643" w:rsidRPr="00F9410F" w:rsidRDefault="00C00643" w:rsidP="00C00643">
      <w:pPr>
        <w:pStyle w:val="enumlev1"/>
        <w:rPr>
          <w:lang w:val="es-ES" w:eastAsia="ja-JP"/>
        </w:rPr>
      </w:pPr>
      <w:r w:rsidRPr="00F9410F">
        <w:rPr>
          <w:lang w:val="es-ES"/>
        </w:rPr>
        <w:t>−</w:t>
      </w:r>
      <w:r w:rsidRPr="00F9410F">
        <w:rPr>
          <w:lang w:val="es-ES"/>
        </w:rPr>
        <w:tab/>
        <w:t>Recomendación UIT</w:t>
      </w:r>
      <w:r w:rsidRPr="00F9410F">
        <w:rPr>
          <w:lang w:val="es-ES"/>
        </w:rPr>
        <w:noBreakHyphen/>
        <w:t>R M.1579 − «Circulación a nivel mundial de los terminales IMT</w:t>
      </w:r>
      <w:r w:rsidRPr="00F9410F">
        <w:rPr>
          <w:lang w:val="es-ES"/>
        </w:rPr>
        <w:noBreakHyphen/>
        <w:t>2000</w:t>
      </w:r>
      <w:r w:rsidR="00FE0686">
        <w:rPr>
          <w:lang w:val="es-ES"/>
        </w:rPr>
        <w:t>»</w:t>
      </w:r>
      <w:r w:rsidRPr="00F9410F">
        <w:rPr>
          <w:lang w:val="es-ES" w:eastAsia="ja-JP"/>
        </w:rPr>
        <w:t>.</w:t>
      </w:r>
    </w:p>
    <w:p w:rsidR="00C00643" w:rsidRPr="00F9410F" w:rsidRDefault="00C00643" w:rsidP="00C00643">
      <w:pPr>
        <w:pStyle w:val="enumlev1"/>
        <w:rPr>
          <w:lang w:val="es-ES" w:eastAsia="ja-JP"/>
        </w:rPr>
      </w:pPr>
      <w:r w:rsidRPr="00F9410F">
        <w:rPr>
          <w:lang w:val="es-ES"/>
        </w:rPr>
        <w:t>−</w:t>
      </w:r>
      <w:r w:rsidRPr="00F9410F">
        <w:rPr>
          <w:lang w:val="es-ES"/>
        </w:rPr>
        <w:tab/>
        <w:t>Recomendación UIT</w:t>
      </w:r>
      <w:r w:rsidRPr="00F9410F">
        <w:rPr>
          <w:lang w:val="es-ES"/>
        </w:rPr>
        <w:noBreakHyphen/>
        <w:t>R M.</w:t>
      </w:r>
      <w:r w:rsidRPr="00F9410F">
        <w:rPr>
          <w:lang w:val="es-ES" w:eastAsia="ja-JP"/>
        </w:rPr>
        <w:t>2012</w:t>
      </w:r>
      <w:r w:rsidRPr="00F9410F">
        <w:rPr>
          <w:lang w:val="es-ES"/>
        </w:rPr>
        <w:t xml:space="preserve"> − </w:t>
      </w:r>
      <w:r w:rsidR="00FE0686" w:rsidRPr="00B90546">
        <w:t>«</w:t>
      </w:r>
      <w:r w:rsidRPr="00B90546">
        <w:t>Especificaciones detalladas de las interfaces radioeléctricas terrenales de las telecomunicaciones móviles internacionales-avanzadas (IMT-Avanzadas)</w:t>
      </w:r>
      <w:r w:rsidR="00FE0686" w:rsidRPr="00B90546">
        <w:t>»</w:t>
      </w:r>
      <w:r w:rsidRPr="00B90546">
        <w:t>.</w:t>
      </w:r>
    </w:p>
    <w:p w:rsidR="00C00643" w:rsidRPr="00F9410F" w:rsidRDefault="00C00643" w:rsidP="00C00643">
      <w:pPr>
        <w:pStyle w:val="Headingb"/>
        <w:rPr>
          <w:lang w:val="es-ES" w:eastAsia="ja-JP"/>
        </w:rPr>
      </w:pPr>
      <w:r w:rsidRPr="00F9410F">
        <w:rPr>
          <w:lang w:val="es-ES" w:eastAsia="ja-JP"/>
        </w:rPr>
        <w:t>3)</w:t>
      </w:r>
      <w:r w:rsidRPr="00F9410F">
        <w:rPr>
          <w:lang w:val="es-ES" w:eastAsia="ja-JP"/>
        </w:rPr>
        <w:tab/>
      </w:r>
      <w:r w:rsidRPr="00F9410F">
        <w:rPr>
          <w:lang w:val="es-ES"/>
        </w:rPr>
        <w:t>Trabajos relativos al espectro</w:t>
      </w:r>
    </w:p>
    <w:p w:rsidR="00C00643" w:rsidRPr="00F9410F" w:rsidRDefault="00C00643" w:rsidP="00C00643">
      <w:pPr>
        <w:rPr>
          <w:lang w:val="es-ES" w:eastAsia="ja-JP"/>
        </w:rPr>
      </w:pPr>
      <w:r w:rsidRPr="00F9410F">
        <w:rPr>
          <w:lang w:val="es-ES"/>
        </w:rPr>
        <w:t>El Grupo de Trabajo 5D realizó una labor considerable en cuestiones relativas al espectro en lo referente a disposiciones de frecuencias y estudios de compartición, entre otros aspectos. En relación con los puntos 1.1 y 1.2 del orden del día de la CMR-15, en particular, la RPC</w:t>
      </w:r>
      <w:r w:rsidRPr="00F9410F">
        <w:rPr>
          <w:lang w:val="es-ES" w:eastAsia="ja-JP"/>
        </w:rPr>
        <w:t>15-1 designó al Grupo Mixto de Tareas Especiales 4-5-6-7 como grupo encargado de estos puntos y encomendó asimismo al Grupo de Trabajo 5D que se ocupara de:</w:t>
      </w:r>
    </w:p>
    <w:p w:rsidR="00C00643" w:rsidRPr="00F9410F" w:rsidRDefault="000D1CE2" w:rsidP="000D1CE2">
      <w:pPr>
        <w:pStyle w:val="enumlev1"/>
        <w:rPr>
          <w:lang w:val="es-ES" w:eastAsia="ja-JP"/>
        </w:rPr>
      </w:pPr>
      <w:r w:rsidRPr="000D1CE2">
        <w:rPr>
          <w:lang w:val="es-ES"/>
        </w:rPr>
        <w:t>–</w:t>
      </w:r>
      <w:r>
        <w:rPr>
          <w:lang w:val="es-ES"/>
        </w:rPr>
        <w:tab/>
      </w:r>
      <w:r w:rsidR="00C00643" w:rsidRPr="00F9410F">
        <w:rPr>
          <w:lang w:val="es-ES"/>
        </w:rPr>
        <w:t>los requisitos de espectro para el servicio móvil, incluidas las gamas de frecuencias adecuadas</w:t>
      </w:r>
      <w:r w:rsidR="00C00643" w:rsidRPr="00F9410F">
        <w:rPr>
          <w:lang w:val="es-ES" w:eastAsia="ja-JP"/>
        </w:rPr>
        <w:t>;</w:t>
      </w:r>
    </w:p>
    <w:p w:rsidR="00C00643" w:rsidRPr="00F9410F" w:rsidRDefault="000D1CE2" w:rsidP="000D1CE2">
      <w:pPr>
        <w:pStyle w:val="enumlev1"/>
        <w:rPr>
          <w:lang w:val="es-ES" w:eastAsia="ja-JP"/>
        </w:rPr>
      </w:pPr>
      <w:r w:rsidRPr="000D1CE2">
        <w:rPr>
          <w:lang w:val="es-ES"/>
        </w:rPr>
        <w:t>–</w:t>
      </w:r>
      <w:r>
        <w:rPr>
          <w:lang w:val="es-ES"/>
        </w:rPr>
        <w:tab/>
      </w:r>
      <w:r w:rsidR="00C00643" w:rsidRPr="00F9410F">
        <w:rPr>
          <w:lang w:val="es-ES"/>
        </w:rPr>
        <w:t>los requisitos técnicos para las IMT</w:t>
      </w:r>
      <w:r w:rsidR="00C00643" w:rsidRPr="00F9410F">
        <w:rPr>
          <w:lang w:val="es-ES" w:eastAsia="ja-JP"/>
        </w:rPr>
        <w:t>;</w:t>
      </w:r>
    </w:p>
    <w:p w:rsidR="00C00643" w:rsidRPr="00F9410F" w:rsidRDefault="000D1CE2" w:rsidP="000D1CE2">
      <w:pPr>
        <w:pStyle w:val="enumlev1"/>
        <w:rPr>
          <w:lang w:val="es-ES" w:eastAsia="ja-JP"/>
        </w:rPr>
      </w:pPr>
      <w:r w:rsidRPr="000D1CE2">
        <w:rPr>
          <w:lang w:val="es-ES"/>
        </w:rPr>
        <w:t>–</w:t>
      </w:r>
      <w:r>
        <w:rPr>
          <w:lang w:val="es-ES"/>
        </w:rPr>
        <w:tab/>
      </w:r>
      <w:r w:rsidR="00C00643" w:rsidRPr="00F9410F">
        <w:rPr>
          <w:lang w:val="es-ES"/>
        </w:rPr>
        <w:t xml:space="preserve">las disposiciones de canales para el servicio móvil, adaptadas a las bandas de frecuencias por debajo de </w:t>
      </w:r>
      <w:r w:rsidR="00C00643" w:rsidRPr="00F9410F">
        <w:rPr>
          <w:lang w:val="es-ES" w:eastAsia="ja-JP"/>
        </w:rPr>
        <w:t xml:space="preserve">790 MHz, tal y como se señala en la Resolución </w:t>
      </w:r>
      <w:r w:rsidR="00C00643" w:rsidRPr="00F9410F">
        <w:rPr>
          <w:rFonts w:ascii="Times New Roman Bold" w:hAnsi="Times New Roman Bold" w:cs="Times New Roman Bold"/>
          <w:b/>
          <w:bCs/>
          <w:lang w:val="es-ES"/>
        </w:rPr>
        <w:t>232</w:t>
      </w:r>
      <w:r w:rsidR="00C00643" w:rsidRPr="00F9410F">
        <w:rPr>
          <w:lang w:val="es-ES"/>
        </w:rPr>
        <w:t xml:space="preserve"> </w:t>
      </w:r>
      <w:r w:rsidR="00C00643" w:rsidRPr="00F9410F">
        <w:rPr>
          <w:b/>
          <w:bCs/>
          <w:lang w:val="es-ES"/>
        </w:rPr>
        <w:t>(CMR</w:t>
      </w:r>
      <w:r>
        <w:rPr>
          <w:b/>
          <w:bCs/>
          <w:lang w:val="es-ES"/>
        </w:rPr>
        <w:noBreakHyphen/>
      </w:r>
      <w:r w:rsidR="00C00643" w:rsidRPr="00F9410F">
        <w:rPr>
          <w:b/>
          <w:bCs/>
          <w:lang w:val="es-ES"/>
        </w:rPr>
        <w:t>12)</w:t>
      </w:r>
      <w:r w:rsidR="00C00643" w:rsidRPr="00F9410F">
        <w:rPr>
          <w:lang w:val="es-ES" w:eastAsia="ja-JP"/>
        </w:rPr>
        <w:t>.</w:t>
      </w:r>
    </w:p>
    <w:p w:rsidR="00C00643" w:rsidRPr="00F9410F" w:rsidRDefault="00C00643" w:rsidP="00C00643">
      <w:pPr>
        <w:rPr>
          <w:lang w:val="es-ES" w:eastAsia="ja-JP"/>
        </w:rPr>
      </w:pPr>
      <w:r w:rsidRPr="00F9410F">
        <w:rPr>
          <w:lang w:val="es-ES" w:eastAsia="ja-JP"/>
        </w:rPr>
        <w:t xml:space="preserve">Los resultados de los estudios se comunicaron al Grupo Mixto de Tareas Especiales 4-5-6-7 antes del 31 de julio de 2013, tal y como se especifica en la Decisión de la RPC15-1. </w:t>
      </w:r>
    </w:p>
    <w:p w:rsidR="00C00643" w:rsidRPr="00F9410F" w:rsidRDefault="00C00643" w:rsidP="00C00643">
      <w:pPr>
        <w:rPr>
          <w:lang w:val="es-ES"/>
        </w:rPr>
      </w:pPr>
      <w:r w:rsidRPr="00F9410F">
        <w:rPr>
          <w:lang w:val="es-ES" w:eastAsia="ja-JP"/>
        </w:rPr>
        <w:t xml:space="preserve">Además de los logros anteriores, relacionados con la CMR, entre los principales resultados de los trabajos sobre el espectro cabe destacar: </w:t>
      </w:r>
    </w:p>
    <w:p w:rsidR="00C00643" w:rsidRPr="00F9410F" w:rsidRDefault="00C00643" w:rsidP="00C00643">
      <w:pPr>
        <w:pStyle w:val="enumlev1"/>
        <w:rPr>
          <w:lang w:val="es-ES" w:eastAsia="ja-JP"/>
        </w:rPr>
      </w:pPr>
      <w:r w:rsidRPr="00F9410F">
        <w:rPr>
          <w:lang w:val="es-ES" w:eastAsia="ja-JP"/>
        </w:rPr>
        <w:t>–</w:t>
      </w:r>
      <w:r w:rsidRPr="00F9410F">
        <w:rPr>
          <w:lang w:val="es-ES" w:eastAsia="ja-JP"/>
        </w:rPr>
        <w:tab/>
      </w:r>
      <w:r w:rsidRPr="00F9410F">
        <w:rPr>
          <w:lang w:val="es-ES"/>
        </w:rPr>
        <w:t>la revisión de la Recomendación UIT</w:t>
      </w:r>
      <w:r w:rsidRPr="00F9410F">
        <w:rPr>
          <w:lang w:val="es-ES"/>
        </w:rPr>
        <w:noBreakHyphen/>
        <w:t>R M.1036</w:t>
      </w:r>
      <w:r w:rsidRPr="00F9410F">
        <w:rPr>
          <w:lang w:val="es-ES"/>
        </w:rPr>
        <w:noBreakHyphen/>
        <w:t>4 «Disposiciones de frecuencias para la implementación de la componente terrenal de las telecomunicaciones móviles internacionales (IMT) en las bandas identificadas para las IMT en el Reglamento de Radiocomunicaciones (RR)</w:t>
      </w:r>
      <w:r w:rsidR="00FE0686">
        <w:rPr>
          <w:lang w:val="es-ES"/>
        </w:rPr>
        <w:t>»</w:t>
      </w:r>
      <w:r w:rsidRPr="00F9410F">
        <w:rPr>
          <w:lang w:val="es-ES" w:eastAsia="ja-JP"/>
        </w:rPr>
        <w:t>(*);</w:t>
      </w:r>
    </w:p>
    <w:p w:rsidR="00C00643" w:rsidRPr="00F9410F" w:rsidRDefault="00C00643" w:rsidP="00C00643">
      <w:pPr>
        <w:pStyle w:val="enumlev1"/>
        <w:rPr>
          <w:lang w:val="es-ES" w:eastAsia="ja-JP"/>
        </w:rPr>
      </w:pPr>
      <w:r w:rsidRPr="00F9410F">
        <w:rPr>
          <w:lang w:val="es-ES" w:eastAsia="ja-JP"/>
        </w:rPr>
        <w:lastRenderedPageBreak/>
        <w:t>–</w:t>
      </w:r>
      <w:r w:rsidRPr="00F9410F">
        <w:rPr>
          <w:lang w:val="es-ES" w:eastAsia="ja-JP"/>
        </w:rPr>
        <w:tab/>
      </w:r>
      <w:r w:rsidRPr="00F9410F">
        <w:rPr>
          <w:lang w:val="es-ES"/>
        </w:rPr>
        <w:t>la revisión de la Recomendación UIT</w:t>
      </w:r>
      <w:r w:rsidRPr="00F9410F">
        <w:rPr>
          <w:lang w:val="es-ES" w:eastAsia="zh-CN"/>
        </w:rPr>
        <w:noBreakHyphen/>
        <w:t>R M.</w:t>
      </w:r>
      <w:r w:rsidRPr="00F9410F">
        <w:rPr>
          <w:lang w:val="es-ES" w:eastAsia="ja-JP"/>
        </w:rPr>
        <w:t xml:space="preserve">1768-0 </w:t>
      </w:r>
      <w:r w:rsidR="00FE0686" w:rsidRPr="00B90546">
        <w:t>«</w:t>
      </w:r>
      <w:r w:rsidRPr="00B90546">
        <w:t>Metodología para el cálculo de los requisitos de espectro de la componente terrenal de las Telecomunicaciones Móviles Internacionales</w:t>
      </w:r>
      <w:r w:rsidR="00FE0686" w:rsidRPr="00B90546">
        <w:t>»</w:t>
      </w:r>
      <w:r w:rsidRPr="00B90546">
        <w:t>;</w:t>
      </w:r>
    </w:p>
    <w:p w:rsidR="00C00643" w:rsidRPr="00F9410F" w:rsidRDefault="00C00643" w:rsidP="00B90546">
      <w:pPr>
        <w:pStyle w:val="enumlev1"/>
        <w:rPr>
          <w:szCs w:val="24"/>
          <w:lang w:val="es-ES" w:eastAsia="ja-JP"/>
        </w:rPr>
      </w:pPr>
      <w:r w:rsidRPr="00F9410F">
        <w:rPr>
          <w:lang w:val="es-ES" w:eastAsia="ja-JP"/>
        </w:rPr>
        <w:t>–</w:t>
      </w:r>
      <w:r w:rsidRPr="00F9410F">
        <w:rPr>
          <w:lang w:val="es-ES" w:eastAsia="ja-JP"/>
        </w:rPr>
        <w:tab/>
      </w:r>
      <w:r w:rsidRPr="00F9410F">
        <w:rPr>
          <w:lang w:val="es-ES"/>
        </w:rPr>
        <w:t>la revisión del Informe UIT</w:t>
      </w:r>
      <w:r w:rsidRPr="00F9410F">
        <w:rPr>
          <w:lang w:val="es-ES"/>
        </w:rPr>
        <w:noBreakHyphen/>
        <w:t>R M.2039-</w:t>
      </w:r>
      <w:r w:rsidRPr="00F9410F">
        <w:rPr>
          <w:lang w:val="es-ES" w:eastAsia="ja-JP"/>
        </w:rPr>
        <w:t>2</w:t>
      </w:r>
      <w:r w:rsidRPr="00F9410F">
        <w:rPr>
          <w:lang w:val="es-ES"/>
        </w:rPr>
        <w:t xml:space="preserve"> </w:t>
      </w:r>
      <w:r w:rsidR="00FE0686">
        <w:rPr>
          <w:lang w:val="es-ES"/>
        </w:rPr>
        <w:t>«</w:t>
      </w:r>
      <w:r w:rsidRPr="00F9410F">
        <w:rPr>
          <w:lang w:val="es-ES"/>
        </w:rPr>
        <w:t>Características de los sistemas IMT-2000 terrenales para los análisis de compartición de frecuencias/interferencia</w:t>
      </w:r>
      <w:r w:rsidR="00FE0686">
        <w:rPr>
          <w:lang w:val="es-ES"/>
        </w:rPr>
        <w:t>»</w:t>
      </w:r>
      <w:r w:rsidRPr="00F9410F">
        <w:rPr>
          <w:lang w:val="es-ES" w:eastAsia="ja-JP"/>
        </w:rPr>
        <w:t>;</w:t>
      </w:r>
    </w:p>
    <w:p w:rsidR="00C00643" w:rsidRPr="00A07CD7" w:rsidRDefault="00C00643" w:rsidP="00B90546">
      <w:pPr>
        <w:pStyle w:val="enumlev1"/>
        <w:rPr>
          <w:lang w:val="en-US" w:eastAsia="zh-CN"/>
        </w:rPr>
      </w:pPr>
      <w:r w:rsidRPr="00A07CD7">
        <w:rPr>
          <w:lang w:val="en-US" w:eastAsia="ja-JP"/>
        </w:rPr>
        <w:t>–</w:t>
      </w:r>
      <w:r w:rsidRPr="00A07CD7">
        <w:rPr>
          <w:lang w:val="en-US" w:eastAsia="ja-JP"/>
        </w:rPr>
        <w:tab/>
      </w:r>
      <w:r w:rsidRPr="00A07CD7">
        <w:rPr>
          <w:szCs w:val="24"/>
          <w:lang w:val="en-US"/>
        </w:rPr>
        <w:t>el Informe UIT</w:t>
      </w:r>
      <w:r w:rsidRPr="00A07CD7">
        <w:rPr>
          <w:szCs w:val="24"/>
          <w:lang w:val="en-US"/>
        </w:rPr>
        <w:noBreakHyphen/>
        <w:t>R M.2</w:t>
      </w:r>
      <w:r w:rsidRPr="00A07CD7">
        <w:rPr>
          <w:szCs w:val="24"/>
          <w:lang w:val="en-US" w:eastAsia="ja-JP"/>
        </w:rPr>
        <w:t>289-0</w:t>
      </w:r>
      <w:r w:rsidRPr="00A07CD7">
        <w:rPr>
          <w:szCs w:val="24"/>
          <w:lang w:val="en-US"/>
        </w:rPr>
        <w:t xml:space="preserve"> </w:t>
      </w:r>
      <w:r w:rsidR="00FE0686">
        <w:rPr>
          <w:szCs w:val="24"/>
          <w:lang w:val="en-US"/>
        </w:rPr>
        <w:t>«</w:t>
      </w:r>
      <w:r w:rsidRPr="00A07CD7">
        <w:rPr>
          <w:szCs w:val="24"/>
          <w:lang w:val="en-US"/>
        </w:rPr>
        <w:t>Future radio aspect parameters for use with the terrestrial IMT spectrum estimate methodology of Recommendation ITU-R M.1768-1</w:t>
      </w:r>
      <w:r w:rsidR="00FE0686">
        <w:rPr>
          <w:lang w:val="en-US"/>
        </w:rPr>
        <w:t>»</w:t>
      </w:r>
    </w:p>
    <w:p w:rsidR="00C00643" w:rsidRPr="00A07CD7" w:rsidRDefault="00C00643" w:rsidP="00B90546">
      <w:pPr>
        <w:pStyle w:val="enumlev1"/>
        <w:rPr>
          <w:lang w:val="en-US"/>
        </w:rPr>
      </w:pPr>
      <w:r w:rsidRPr="00A07CD7">
        <w:rPr>
          <w:lang w:val="en-US" w:eastAsia="ja-JP"/>
        </w:rPr>
        <w:t>–</w:t>
      </w:r>
      <w:r w:rsidRPr="00A07CD7">
        <w:rPr>
          <w:lang w:val="en-US" w:eastAsia="ja-JP"/>
        </w:rPr>
        <w:tab/>
      </w:r>
      <w:r w:rsidRPr="00A07CD7">
        <w:rPr>
          <w:lang w:val="en-US"/>
        </w:rPr>
        <w:t xml:space="preserve">el Informe </w:t>
      </w:r>
      <w:r w:rsidRPr="00A07CD7">
        <w:rPr>
          <w:szCs w:val="24"/>
          <w:lang w:val="en-US"/>
        </w:rPr>
        <w:t>UIT</w:t>
      </w:r>
      <w:r w:rsidRPr="00A07CD7">
        <w:rPr>
          <w:szCs w:val="24"/>
          <w:lang w:val="en-US"/>
        </w:rPr>
        <w:noBreakHyphen/>
        <w:t>R M</w:t>
      </w:r>
      <w:r w:rsidRPr="00A07CD7">
        <w:rPr>
          <w:lang w:val="en-US"/>
        </w:rPr>
        <w:t>.22</w:t>
      </w:r>
      <w:r w:rsidRPr="00A07CD7">
        <w:rPr>
          <w:lang w:val="en-US" w:eastAsia="ja-JP"/>
        </w:rPr>
        <w:t>90-0</w:t>
      </w:r>
      <w:r w:rsidRPr="00A07CD7">
        <w:rPr>
          <w:lang w:val="en-US"/>
        </w:rPr>
        <w:t xml:space="preserve"> </w:t>
      </w:r>
      <w:r w:rsidR="00FE0686">
        <w:rPr>
          <w:lang w:val="en-US"/>
        </w:rPr>
        <w:t>«</w:t>
      </w:r>
      <w:r w:rsidRPr="00B90546">
        <w:rPr>
          <w:i/>
          <w:iCs/>
          <w:szCs w:val="24"/>
          <w:lang w:val="en-US"/>
        </w:rPr>
        <w:t>Future spectrum requirements estimate for terrestrial IMT</w:t>
      </w:r>
      <w:r w:rsidR="00FE0686">
        <w:rPr>
          <w:szCs w:val="24"/>
          <w:lang w:val="en-US" w:eastAsia="ja-JP"/>
        </w:rPr>
        <w:t>»</w:t>
      </w:r>
      <w:r w:rsidRPr="00A07CD7">
        <w:rPr>
          <w:szCs w:val="24"/>
          <w:lang w:val="en-US" w:eastAsia="ja-JP"/>
        </w:rPr>
        <w:t>;</w:t>
      </w:r>
    </w:p>
    <w:p w:rsidR="00C00643" w:rsidRPr="00A07CD7" w:rsidRDefault="00C00643" w:rsidP="00B90546">
      <w:pPr>
        <w:pStyle w:val="enumlev1"/>
        <w:rPr>
          <w:iCs/>
          <w:lang w:val="en-US" w:eastAsia="ja-JP"/>
        </w:rPr>
      </w:pPr>
      <w:r w:rsidRPr="00A07CD7">
        <w:rPr>
          <w:lang w:val="en-US" w:eastAsia="ja-JP"/>
        </w:rPr>
        <w:t>–</w:t>
      </w:r>
      <w:r w:rsidRPr="00A07CD7">
        <w:rPr>
          <w:lang w:val="en-US" w:eastAsia="ja-JP"/>
        </w:rPr>
        <w:tab/>
      </w:r>
      <w:r w:rsidRPr="00A07CD7">
        <w:rPr>
          <w:lang w:val="en-US"/>
        </w:rPr>
        <w:t xml:space="preserve">el Informe </w:t>
      </w:r>
      <w:r w:rsidRPr="00A07CD7">
        <w:rPr>
          <w:szCs w:val="24"/>
          <w:lang w:val="en-US"/>
        </w:rPr>
        <w:t>UIT</w:t>
      </w:r>
      <w:r w:rsidRPr="00A07CD7">
        <w:rPr>
          <w:szCs w:val="24"/>
          <w:lang w:val="en-US"/>
        </w:rPr>
        <w:noBreakHyphen/>
        <w:t>R M.</w:t>
      </w:r>
      <w:r w:rsidRPr="00A07CD7">
        <w:rPr>
          <w:lang w:val="en-US"/>
        </w:rPr>
        <w:t>22</w:t>
      </w:r>
      <w:r w:rsidRPr="00A07CD7">
        <w:rPr>
          <w:lang w:val="en-US" w:eastAsia="ja-JP"/>
        </w:rPr>
        <w:t>92-0</w:t>
      </w:r>
      <w:r w:rsidRPr="00A07CD7">
        <w:rPr>
          <w:lang w:val="en-US"/>
        </w:rPr>
        <w:t xml:space="preserve"> </w:t>
      </w:r>
      <w:r w:rsidR="00FE0686">
        <w:rPr>
          <w:lang w:val="en-US"/>
        </w:rPr>
        <w:t>«</w:t>
      </w:r>
      <w:r w:rsidRPr="00B90546">
        <w:rPr>
          <w:i/>
          <w:iCs/>
          <w:szCs w:val="24"/>
          <w:lang w:val="en-US"/>
        </w:rPr>
        <w:t>Characteristics of terrestrial IMT-Advanced systems for frequency sharing/interference analyses</w:t>
      </w:r>
      <w:r w:rsidR="00FE0686">
        <w:rPr>
          <w:lang w:val="en-US"/>
        </w:rPr>
        <w:t>»</w:t>
      </w:r>
      <w:r w:rsidRPr="00A07CD7">
        <w:rPr>
          <w:iCs/>
          <w:lang w:val="en-US"/>
        </w:rPr>
        <w:t>.</w:t>
      </w:r>
    </w:p>
    <w:p w:rsidR="00C00643" w:rsidRPr="00B90546" w:rsidRDefault="00B90546" w:rsidP="00000B16">
      <w:pPr>
        <w:pStyle w:val="FootnoteText"/>
        <w:tabs>
          <w:tab w:val="clear" w:pos="255"/>
          <w:tab w:val="clear" w:pos="1134"/>
          <w:tab w:val="clear" w:pos="1871"/>
          <w:tab w:val="clear" w:pos="2268"/>
          <w:tab w:val="left" w:pos="284"/>
        </w:tabs>
        <w:rPr>
          <w:rStyle w:val="FootnoteReference"/>
        </w:rPr>
      </w:pPr>
      <w:r w:rsidRPr="00B90546">
        <w:rPr>
          <w:sz w:val="20"/>
        </w:rPr>
        <w:t>(*)</w:t>
      </w:r>
      <w:r w:rsidRPr="00B90546">
        <w:rPr>
          <w:sz w:val="20"/>
        </w:rPr>
        <w:tab/>
      </w:r>
      <w:r w:rsidR="00C00643" w:rsidRPr="00B90546">
        <w:rPr>
          <w:sz w:val="20"/>
        </w:rPr>
        <w:t>Este proyecto de revisión de la Recomendación se ha trasladado a la AR-15 para su consideración (véase el Documento</w:t>
      </w:r>
      <w:r w:rsidR="00C00643" w:rsidRPr="008545C2">
        <w:t xml:space="preserve"> </w:t>
      </w:r>
      <w:hyperlink r:id="rId33" w:history="1">
        <w:r w:rsidRPr="00B90546">
          <w:rPr>
            <w:rStyle w:val="Hyperlink"/>
            <w:sz w:val="20"/>
          </w:rPr>
          <w:t>5/1008</w:t>
        </w:r>
      </w:hyperlink>
      <w:r w:rsidR="00C00643" w:rsidRPr="00B90546">
        <w:t>).</w:t>
      </w:r>
    </w:p>
    <w:p w:rsidR="00C00643" w:rsidRPr="00F9410F" w:rsidRDefault="00C00643" w:rsidP="00C00643">
      <w:pPr>
        <w:pStyle w:val="enumlev1"/>
        <w:spacing w:before="240"/>
        <w:rPr>
          <w:b/>
          <w:lang w:val="es-ES" w:eastAsia="ja-JP"/>
        </w:rPr>
      </w:pPr>
      <w:r w:rsidRPr="00F9410F">
        <w:rPr>
          <w:b/>
          <w:iCs/>
          <w:lang w:val="es-ES" w:eastAsia="ja-JP"/>
        </w:rPr>
        <w:t>4.4.3</w:t>
      </w:r>
      <w:r w:rsidRPr="00F9410F">
        <w:rPr>
          <w:b/>
          <w:lang w:val="es-ES"/>
        </w:rPr>
        <w:tab/>
        <w:t>Trabajos relativos a la preparación de la CMR</w:t>
      </w:r>
      <w:r w:rsidRPr="00F9410F">
        <w:rPr>
          <w:b/>
          <w:lang w:val="es-ES" w:eastAsia="ja-JP"/>
        </w:rPr>
        <w:noBreakHyphen/>
      </w:r>
      <w:r w:rsidRPr="00F9410F">
        <w:rPr>
          <w:b/>
          <w:lang w:val="es-ES"/>
        </w:rPr>
        <w:t>1</w:t>
      </w:r>
      <w:r w:rsidRPr="00F9410F">
        <w:rPr>
          <w:b/>
          <w:lang w:val="es-ES" w:eastAsia="ja-JP"/>
        </w:rPr>
        <w:t>5</w:t>
      </w:r>
    </w:p>
    <w:p w:rsidR="00C00643" w:rsidRPr="00F9410F" w:rsidRDefault="00C00643" w:rsidP="008545C2">
      <w:pPr>
        <w:rPr>
          <w:lang w:val="es-ES" w:eastAsia="ja-JP"/>
        </w:rPr>
      </w:pPr>
      <w:r w:rsidRPr="00F9410F">
        <w:rPr>
          <w:lang w:val="es-ES" w:eastAsia="ja-JP"/>
        </w:rPr>
        <w:t>Desde que se designó al Grupo de Trabajo 5D como grupo contribuyente de varios puntos del orden del día de la CMR-15, los resultados relacionados con la CMR pueden resumirse en el Cuadro 4, que se presenta a continuación.</w:t>
      </w:r>
    </w:p>
    <w:p w:rsidR="00C00643" w:rsidRPr="00F9410F" w:rsidRDefault="00C00643" w:rsidP="008545C2">
      <w:pPr>
        <w:pStyle w:val="TableNo"/>
        <w:rPr>
          <w:lang w:val="es-ES" w:eastAsia="ja-JP"/>
        </w:rPr>
      </w:pPr>
      <w:r w:rsidRPr="008545C2">
        <w:t>cuadro</w:t>
      </w:r>
      <w:r w:rsidRPr="00F9410F">
        <w:rPr>
          <w:lang w:val="es-ES" w:eastAsia="ja-JP"/>
        </w:rPr>
        <w:t xml:space="preserve"> 4</w:t>
      </w:r>
    </w:p>
    <w:p w:rsidR="00C00643" w:rsidRPr="00F9410F" w:rsidRDefault="00C00643" w:rsidP="00C00643">
      <w:pPr>
        <w:pStyle w:val="Tabletitle"/>
        <w:rPr>
          <w:lang w:val="es-ES" w:eastAsia="ja-JP"/>
        </w:rPr>
      </w:pPr>
      <w:r w:rsidRPr="00F9410F">
        <w:rPr>
          <w:lang w:val="es-ES"/>
        </w:rPr>
        <w:t>Resultados relativos a la CMR obtenidos por el Grupo de Trabajo 5</w:t>
      </w:r>
      <w:r w:rsidRPr="00F9410F">
        <w:rPr>
          <w:lang w:val="es-ES" w:eastAsia="ja-JP"/>
        </w:rPr>
        <w:t xml:space="preserv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005"/>
        <w:gridCol w:w="4791"/>
      </w:tblGrid>
      <w:tr w:rsidR="00C00643" w:rsidRPr="00F9410F" w:rsidTr="004C30E1">
        <w:trPr>
          <w:jc w:val="center"/>
        </w:trPr>
        <w:tc>
          <w:tcPr>
            <w:tcW w:w="1526" w:type="dxa"/>
          </w:tcPr>
          <w:p w:rsidR="00C00643" w:rsidRPr="00F9410F" w:rsidRDefault="00C00643" w:rsidP="002F1E53">
            <w:pPr>
              <w:pStyle w:val="Tablehead"/>
              <w:rPr>
                <w:lang w:val="es-ES"/>
              </w:rPr>
            </w:pPr>
            <w:r w:rsidRPr="00F9410F">
              <w:rPr>
                <w:lang w:val="es-ES"/>
              </w:rPr>
              <w:t xml:space="preserve">Punto del orden del día </w:t>
            </w:r>
          </w:p>
        </w:tc>
        <w:tc>
          <w:tcPr>
            <w:tcW w:w="3005" w:type="dxa"/>
            <w:vAlign w:val="center"/>
          </w:tcPr>
          <w:p w:rsidR="00C00643" w:rsidRPr="00F9410F" w:rsidRDefault="00C00643" w:rsidP="002F1E53">
            <w:pPr>
              <w:pStyle w:val="Tablehead"/>
              <w:rPr>
                <w:lang w:val="es-ES"/>
              </w:rPr>
            </w:pPr>
            <w:r w:rsidRPr="00F9410F">
              <w:rPr>
                <w:lang w:val="es-ES"/>
              </w:rPr>
              <w:t>Resolución CMR</w:t>
            </w:r>
          </w:p>
        </w:tc>
        <w:tc>
          <w:tcPr>
            <w:tcW w:w="4791" w:type="dxa"/>
            <w:vAlign w:val="center"/>
          </w:tcPr>
          <w:p w:rsidR="00C00643" w:rsidRPr="00F9410F" w:rsidRDefault="00C00643" w:rsidP="002F1E53">
            <w:pPr>
              <w:pStyle w:val="Tablehead"/>
              <w:rPr>
                <w:lang w:val="es-ES"/>
              </w:rPr>
            </w:pPr>
            <w:r w:rsidRPr="00F9410F">
              <w:rPr>
                <w:lang w:val="es-ES"/>
              </w:rPr>
              <w:t>Recomendaciones e Informes conexos</w:t>
            </w:r>
          </w:p>
        </w:tc>
      </w:tr>
      <w:tr w:rsidR="00C00643" w:rsidRPr="00F9410F" w:rsidTr="004C30E1">
        <w:trPr>
          <w:jc w:val="center"/>
        </w:trPr>
        <w:tc>
          <w:tcPr>
            <w:tcW w:w="1526" w:type="dxa"/>
          </w:tcPr>
          <w:p w:rsidR="00C00643" w:rsidRPr="00F9410F" w:rsidRDefault="00C00643" w:rsidP="008545C2">
            <w:pPr>
              <w:pStyle w:val="Tabletext"/>
              <w:spacing w:before="20" w:after="20"/>
              <w:jc w:val="center"/>
              <w:rPr>
                <w:lang w:val="es-ES" w:eastAsia="ja-JP"/>
              </w:rPr>
            </w:pPr>
            <w:r w:rsidRPr="00F9410F">
              <w:rPr>
                <w:lang w:val="es-ES" w:eastAsia="ja-JP"/>
              </w:rPr>
              <w:t>1.1</w:t>
            </w:r>
          </w:p>
        </w:tc>
        <w:tc>
          <w:tcPr>
            <w:tcW w:w="3005"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233</w:t>
            </w:r>
            <w:r w:rsidRPr="00F9410F">
              <w:rPr>
                <w:b/>
                <w:bCs/>
                <w:lang w:val="es-ES"/>
              </w:rPr>
              <w:t xml:space="preserve"> (CMR</w:t>
            </w:r>
            <w:r w:rsidRPr="00F9410F">
              <w:rPr>
                <w:b/>
                <w:bCs/>
                <w:lang w:val="es-ES"/>
              </w:rPr>
              <w:noBreakHyphen/>
              <w:t>12)</w:t>
            </w:r>
          </w:p>
        </w:tc>
        <w:tc>
          <w:tcPr>
            <w:tcW w:w="4791" w:type="dxa"/>
          </w:tcPr>
          <w:p w:rsidR="00C00643" w:rsidRPr="00F9410F" w:rsidRDefault="00C00643" w:rsidP="002F1E53">
            <w:pPr>
              <w:pStyle w:val="Tabletext"/>
              <w:spacing w:before="20" w:after="20"/>
              <w:rPr>
                <w:lang w:val="es-ES" w:eastAsia="ja-JP"/>
              </w:rPr>
            </w:pPr>
            <w:r w:rsidRPr="00F9410F">
              <w:rPr>
                <w:lang w:val="es-ES" w:eastAsia="ja-JP"/>
              </w:rPr>
              <w:t>Recomendación UIT-R M.1768-1</w:t>
            </w:r>
          </w:p>
          <w:p w:rsidR="00C00643" w:rsidRPr="00F9410F" w:rsidRDefault="00C00643" w:rsidP="002F1E53">
            <w:pPr>
              <w:pStyle w:val="Tabletext"/>
              <w:spacing w:before="20" w:after="20"/>
              <w:rPr>
                <w:lang w:val="es-ES" w:eastAsia="ja-JP"/>
              </w:rPr>
            </w:pPr>
            <w:r w:rsidRPr="00F9410F">
              <w:rPr>
                <w:lang w:val="es-ES" w:eastAsia="ja-JP"/>
              </w:rPr>
              <w:t>Informe UIT-R M.2289, Informe UIT-R M.2290-0</w:t>
            </w:r>
          </w:p>
        </w:tc>
      </w:tr>
      <w:tr w:rsidR="00C00643" w:rsidRPr="00740256" w:rsidTr="004C30E1">
        <w:trPr>
          <w:jc w:val="center"/>
        </w:trPr>
        <w:tc>
          <w:tcPr>
            <w:tcW w:w="1526" w:type="dxa"/>
          </w:tcPr>
          <w:p w:rsidR="00C00643" w:rsidRPr="00F9410F" w:rsidRDefault="00C00643" w:rsidP="008545C2">
            <w:pPr>
              <w:pStyle w:val="Tabletext"/>
              <w:spacing w:before="20" w:after="20"/>
              <w:jc w:val="center"/>
              <w:rPr>
                <w:lang w:val="es-ES" w:eastAsia="ja-JP"/>
              </w:rPr>
            </w:pPr>
            <w:r w:rsidRPr="00F9410F">
              <w:rPr>
                <w:lang w:val="es-ES" w:eastAsia="ja-JP"/>
              </w:rPr>
              <w:t xml:space="preserve">1.1 </w:t>
            </w:r>
            <w:r w:rsidR="008545C2">
              <w:rPr>
                <w:lang w:val="es-ES" w:eastAsia="ja-JP"/>
              </w:rPr>
              <w:t>y</w:t>
            </w:r>
            <w:r w:rsidRPr="00F9410F">
              <w:rPr>
                <w:lang w:val="es-ES" w:eastAsia="ja-JP"/>
              </w:rPr>
              <w:t xml:space="preserve"> 1.2</w:t>
            </w:r>
          </w:p>
        </w:tc>
        <w:tc>
          <w:tcPr>
            <w:tcW w:w="3005"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233</w:t>
            </w:r>
            <w:r w:rsidRPr="00F9410F">
              <w:rPr>
                <w:b/>
                <w:bCs/>
                <w:lang w:val="es-ES"/>
              </w:rPr>
              <w:t xml:space="preserve"> (CMR</w:t>
            </w:r>
            <w:r w:rsidRPr="00F9410F">
              <w:rPr>
                <w:b/>
                <w:bCs/>
                <w:lang w:val="es-ES"/>
              </w:rPr>
              <w:noBreakHyphen/>
              <w:t>12)</w:t>
            </w:r>
          </w:p>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232</w:t>
            </w:r>
            <w:r w:rsidRPr="00F9410F">
              <w:rPr>
                <w:b/>
                <w:bCs/>
                <w:lang w:val="es-ES"/>
              </w:rPr>
              <w:t xml:space="preserve"> (CMR</w:t>
            </w:r>
            <w:r w:rsidRPr="00F9410F">
              <w:rPr>
                <w:b/>
                <w:bCs/>
                <w:lang w:val="es-ES"/>
              </w:rPr>
              <w:noBreakHyphen/>
              <w:t>12)</w:t>
            </w:r>
          </w:p>
        </w:tc>
        <w:tc>
          <w:tcPr>
            <w:tcW w:w="4791" w:type="dxa"/>
          </w:tcPr>
          <w:p w:rsidR="00C00643" w:rsidRPr="00A07CD7" w:rsidRDefault="00C00643" w:rsidP="002F1E53">
            <w:pPr>
              <w:pStyle w:val="Tabletext"/>
              <w:spacing w:before="20" w:after="20"/>
              <w:rPr>
                <w:lang w:val="fr-CH" w:eastAsia="ja-JP"/>
              </w:rPr>
            </w:pPr>
            <w:r w:rsidRPr="00A07CD7">
              <w:rPr>
                <w:lang w:val="fr-CH" w:eastAsia="ja-JP"/>
              </w:rPr>
              <w:t>Informe UIT-R M.2039-3, Informe UIT-R M.2292-0</w:t>
            </w:r>
          </w:p>
        </w:tc>
      </w:tr>
      <w:tr w:rsidR="00C00643" w:rsidRPr="00F9410F" w:rsidTr="004C30E1">
        <w:trPr>
          <w:jc w:val="center"/>
        </w:trPr>
        <w:tc>
          <w:tcPr>
            <w:tcW w:w="1526" w:type="dxa"/>
          </w:tcPr>
          <w:p w:rsidR="00C00643" w:rsidRPr="00F9410F" w:rsidRDefault="00C00643" w:rsidP="008545C2">
            <w:pPr>
              <w:pStyle w:val="Tabletext"/>
              <w:spacing w:before="20" w:after="20"/>
              <w:jc w:val="center"/>
              <w:rPr>
                <w:lang w:val="es-ES" w:eastAsia="ja-JP"/>
              </w:rPr>
            </w:pPr>
            <w:r w:rsidRPr="00F9410F">
              <w:rPr>
                <w:lang w:val="es-ES" w:eastAsia="ja-JP"/>
              </w:rPr>
              <w:t>1.2</w:t>
            </w:r>
          </w:p>
        </w:tc>
        <w:tc>
          <w:tcPr>
            <w:tcW w:w="3005"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232</w:t>
            </w:r>
            <w:r w:rsidRPr="00F9410F">
              <w:rPr>
                <w:b/>
                <w:bCs/>
                <w:lang w:val="es-ES"/>
              </w:rPr>
              <w:t xml:space="preserve"> (CMR</w:t>
            </w:r>
            <w:r w:rsidRPr="00F9410F">
              <w:rPr>
                <w:b/>
                <w:bCs/>
                <w:lang w:val="es-ES"/>
              </w:rPr>
              <w:noBreakHyphen/>
              <w:t>12)</w:t>
            </w:r>
          </w:p>
        </w:tc>
        <w:tc>
          <w:tcPr>
            <w:tcW w:w="4791" w:type="dxa"/>
          </w:tcPr>
          <w:p w:rsidR="00C00643" w:rsidRPr="00F9410F" w:rsidRDefault="00C00643" w:rsidP="002F1E53">
            <w:pPr>
              <w:pStyle w:val="Tabletext"/>
              <w:spacing w:before="20" w:after="20"/>
              <w:rPr>
                <w:lang w:val="es-ES" w:eastAsia="ja-JP"/>
              </w:rPr>
            </w:pPr>
            <w:r w:rsidRPr="00F9410F">
              <w:rPr>
                <w:lang w:val="es-ES" w:eastAsia="ja-JP"/>
              </w:rPr>
              <w:t xml:space="preserve">Proyecto de revisión de la Recomendación UIT-R M.1036-4 </w:t>
            </w:r>
            <w:r w:rsidRPr="004C30E1">
              <w:rPr>
                <w:vertAlign w:val="superscript"/>
                <w:lang w:val="es-ES" w:eastAsia="ja-JP"/>
              </w:rPr>
              <w:t>(*)</w:t>
            </w:r>
          </w:p>
          <w:p w:rsidR="00C00643" w:rsidRPr="00F9410F" w:rsidRDefault="00C00643" w:rsidP="002F1E53">
            <w:pPr>
              <w:pStyle w:val="Tabletext"/>
              <w:spacing w:before="20" w:after="20"/>
              <w:rPr>
                <w:lang w:val="es-ES" w:eastAsia="ja-JP"/>
              </w:rPr>
            </w:pPr>
            <w:r w:rsidRPr="00F9410F">
              <w:rPr>
                <w:lang w:val="es-ES" w:eastAsia="ja-JP"/>
              </w:rPr>
              <w:t xml:space="preserve">Proyecto de nueva Recomendación UIT-R M.[BSMS700] </w:t>
            </w:r>
            <w:r w:rsidRPr="004C30E1">
              <w:rPr>
                <w:vertAlign w:val="superscript"/>
                <w:lang w:val="es-ES" w:eastAsia="ja-JP"/>
              </w:rPr>
              <w:t>(**)</w:t>
            </w:r>
          </w:p>
        </w:tc>
      </w:tr>
      <w:tr w:rsidR="00C00643" w:rsidRPr="00F9410F" w:rsidTr="004C30E1">
        <w:trPr>
          <w:jc w:val="center"/>
        </w:trPr>
        <w:tc>
          <w:tcPr>
            <w:tcW w:w="1526" w:type="dxa"/>
            <w:tcBorders>
              <w:bottom w:val="single" w:sz="4" w:space="0" w:color="auto"/>
            </w:tcBorders>
          </w:tcPr>
          <w:p w:rsidR="00C00643" w:rsidRPr="00F9410F" w:rsidRDefault="00C00643" w:rsidP="008545C2">
            <w:pPr>
              <w:pStyle w:val="Tabletext"/>
              <w:spacing w:before="20" w:after="20"/>
              <w:jc w:val="center"/>
              <w:rPr>
                <w:lang w:val="es-ES" w:eastAsia="ja-JP"/>
              </w:rPr>
            </w:pPr>
            <w:r w:rsidRPr="00F9410F">
              <w:rPr>
                <w:lang w:val="es-ES"/>
              </w:rPr>
              <w:t>1.</w:t>
            </w:r>
            <w:r w:rsidRPr="00F9410F">
              <w:rPr>
                <w:lang w:val="es-ES" w:eastAsia="ja-JP"/>
              </w:rPr>
              <w:t>3</w:t>
            </w:r>
          </w:p>
        </w:tc>
        <w:tc>
          <w:tcPr>
            <w:tcW w:w="3005" w:type="dxa"/>
            <w:tcBorders>
              <w:bottom w:val="single" w:sz="4" w:space="0" w:color="auto"/>
            </w:tcBorders>
          </w:tcPr>
          <w:p w:rsidR="00C00643" w:rsidRPr="00F9410F" w:rsidRDefault="00C00643" w:rsidP="002F1E53">
            <w:pPr>
              <w:pStyle w:val="Tabletext"/>
              <w:spacing w:before="20" w:after="20"/>
              <w:rPr>
                <w:b/>
                <w:lang w:val="es-ES" w:eastAsia="ja-JP"/>
              </w:rPr>
            </w:pPr>
            <w:r w:rsidRPr="00F9410F">
              <w:rPr>
                <w:lang w:val="es-ES" w:eastAsia="ja-JP"/>
              </w:rPr>
              <w:t xml:space="preserve">Resolución </w:t>
            </w:r>
            <w:r w:rsidRPr="00F9410F">
              <w:rPr>
                <w:b/>
                <w:lang w:val="es-ES" w:eastAsia="ja-JP"/>
              </w:rPr>
              <w:t>646</w:t>
            </w:r>
            <w:r w:rsidRPr="00F9410F">
              <w:rPr>
                <w:lang w:val="es-ES" w:eastAsia="ja-JP"/>
              </w:rPr>
              <w:t xml:space="preserve"> </w:t>
            </w:r>
            <w:r w:rsidRPr="00F9410F">
              <w:rPr>
                <w:b/>
                <w:lang w:val="es-ES" w:eastAsia="ja-JP"/>
              </w:rPr>
              <w:t>(</w:t>
            </w:r>
            <w:r w:rsidRPr="00F9410F">
              <w:rPr>
                <w:b/>
                <w:bCs/>
                <w:lang w:val="es-ES"/>
              </w:rPr>
              <w:t>Rev.CMR</w:t>
            </w:r>
            <w:r w:rsidRPr="00F9410F">
              <w:rPr>
                <w:b/>
                <w:bCs/>
                <w:lang w:val="es-ES"/>
              </w:rPr>
              <w:noBreakHyphen/>
              <w:t>12</w:t>
            </w:r>
            <w:r w:rsidRPr="00F9410F">
              <w:rPr>
                <w:b/>
                <w:lang w:val="es-ES" w:eastAsia="ja-JP"/>
              </w:rPr>
              <w:t>)</w:t>
            </w:r>
          </w:p>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lang w:val="es-ES" w:eastAsia="ja-JP"/>
              </w:rPr>
            </w:pPr>
            <w:r w:rsidRPr="00F9410F">
              <w:rPr>
                <w:lang w:val="es-ES" w:eastAsia="ja-JP"/>
              </w:rPr>
              <w:t xml:space="preserve">Resolución </w:t>
            </w:r>
            <w:r w:rsidRPr="00F9410F">
              <w:rPr>
                <w:rFonts w:ascii="Times New Roman Bold" w:hAnsi="Times New Roman Bold" w:cs="Times New Roman Bold"/>
                <w:b/>
                <w:bCs/>
                <w:lang w:val="es-ES"/>
              </w:rPr>
              <w:t xml:space="preserve">648 </w:t>
            </w:r>
            <w:r w:rsidRPr="00F9410F">
              <w:rPr>
                <w:b/>
                <w:bCs/>
                <w:lang w:val="es-ES" w:eastAsia="ja-JP"/>
              </w:rPr>
              <w:t>(CMR</w:t>
            </w:r>
            <w:r w:rsidRPr="00F9410F">
              <w:rPr>
                <w:b/>
                <w:bCs/>
                <w:lang w:val="es-ES" w:eastAsia="ja-JP"/>
              </w:rPr>
              <w:noBreakHyphen/>
              <w:t>12)</w:t>
            </w:r>
          </w:p>
        </w:tc>
        <w:tc>
          <w:tcPr>
            <w:tcW w:w="4791" w:type="dxa"/>
            <w:tcBorders>
              <w:bottom w:val="single" w:sz="4" w:space="0" w:color="auto"/>
            </w:tcBorders>
          </w:tcPr>
          <w:p w:rsidR="00C00643" w:rsidRPr="00F9410F" w:rsidRDefault="00C00643" w:rsidP="002F1E53">
            <w:pPr>
              <w:pStyle w:val="Tabletext"/>
              <w:spacing w:before="20" w:after="20"/>
              <w:rPr>
                <w:lang w:val="es-ES" w:eastAsia="ja-JP"/>
              </w:rPr>
            </w:pPr>
            <w:r w:rsidRPr="00F9410F">
              <w:rPr>
                <w:lang w:val="es-ES" w:eastAsia="ja-JP"/>
              </w:rPr>
              <w:t>Informe UIT-R M.2291-0</w:t>
            </w:r>
          </w:p>
        </w:tc>
      </w:tr>
      <w:tr w:rsidR="008545C2" w:rsidRPr="00F9410F" w:rsidTr="008545C2">
        <w:trPr>
          <w:jc w:val="center"/>
        </w:trPr>
        <w:tc>
          <w:tcPr>
            <w:tcW w:w="9322" w:type="dxa"/>
            <w:gridSpan w:val="3"/>
            <w:tcBorders>
              <w:left w:val="nil"/>
              <w:bottom w:val="nil"/>
              <w:right w:val="nil"/>
            </w:tcBorders>
          </w:tcPr>
          <w:p w:rsidR="008545C2" w:rsidRPr="00F9410F" w:rsidRDefault="008545C2" w:rsidP="004C30E1">
            <w:pPr>
              <w:pStyle w:val="Tablelegend"/>
              <w:rPr>
                <w:lang w:val="es-ES" w:eastAsia="ja-JP"/>
              </w:rPr>
            </w:pPr>
            <w:r w:rsidRPr="004C30E1">
              <w:rPr>
                <w:vertAlign w:val="superscript"/>
                <w:lang w:val="es-ES" w:eastAsia="ja-JP"/>
              </w:rPr>
              <w:t>(*)</w:t>
            </w:r>
            <w:r>
              <w:rPr>
                <w:lang w:val="es-ES" w:eastAsia="ja-JP"/>
              </w:rPr>
              <w:tab/>
            </w:r>
            <w:r w:rsidRPr="00F9410F">
              <w:rPr>
                <w:lang w:val="es-ES" w:eastAsia="ja-JP"/>
              </w:rPr>
              <w:t xml:space="preserve">Este proyecto de revisión de la Recomendación se ha trasladado a la AR-15 para su consideración (véase el Documento </w:t>
            </w:r>
            <w:hyperlink r:id="rId34" w:history="1">
              <w:r w:rsidRPr="00F9410F">
                <w:rPr>
                  <w:rStyle w:val="Hyperlink"/>
                  <w:lang w:val="es-ES" w:eastAsia="ja-JP"/>
                </w:rPr>
                <w:t>5/1008</w:t>
              </w:r>
            </w:hyperlink>
            <w:r w:rsidRPr="00F9410F">
              <w:rPr>
                <w:lang w:val="es-ES" w:eastAsia="ja-JP"/>
              </w:rPr>
              <w:t>).</w:t>
            </w:r>
          </w:p>
          <w:p w:rsidR="008545C2" w:rsidRPr="00F9410F" w:rsidRDefault="008545C2" w:rsidP="004C30E1">
            <w:pPr>
              <w:pStyle w:val="Tablelegend"/>
              <w:rPr>
                <w:lang w:val="es-ES" w:eastAsia="ja-JP"/>
              </w:rPr>
            </w:pPr>
            <w:r w:rsidRPr="004C30E1">
              <w:rPr>
                <w:vertAlign w:val="superscript"/>
                <w:lang w:val="es-ES" w:eastAsia="ja-JP"/>
              </w:rPr>
              <w:t>(**)</w:t>
            </w:r>
            <w:r>
              <w:rPr>
                <w:lang w:val="es-ES" w:eastAsia="ja-JP"/>
              </w:rPr>
              <w:tab/>
            </w:r>
            <w:r w:rsidRPr="00F9410F">
              <w:rPr>
                <w:lang w:val="es-ES" w:eastAsia="ja-JP"/>
              </w:rPr>
              <w:t xml:space="preserve">Este proyecto de nueva Recomendación se ha trasladado a la AR-15 para su consideración (véase el Documento </w:t>
            </w:r>
            <w:hyperlink r:id="rId35" w:history="1">
              <w:r w:rsidRPr="00F9410F">
                <w:rPr>
                  <w:rStyle w:val="Hyperlink"/>
                  <w:lang w:val="es-ES" w:eastAsia="ja-JP"/>
                </w:rPr>
                <w:t>5/1009</w:t>
              </w:r>
            </w:hyperlink>
            <w:r>
              <w:rPr>
                <w:rStyle w:val="Hyperlink"/>
                <w:lang w:val="es-ES" w:eastAsia="ja-JP"/>
              </w:rPr>
              <w:t>.</w:t>
            </w:r>
          </w:p>
        </w:tc>
      </w:tr>
    </w:tbl>
    <w:p w:rsidR="00C00643" w:rsidRPr="00F9410F" w:rsidRDefault="00C00643" w:rsidP="00C00643">
      <w:pPr>
        <w:pStyle w:val="enumlev1"/>
        <w:spacing w:beforeLines="100" w:before="240"/>
        <w:rPr>
          <w:b/>
          <w:lang w:val="es-ES" w:eastAsia="ja-JP"/>
        </w:rPr>
      </w:pPr>
      <w:r w:rsidRPr="00F9410F">
        <w:rPr>
          <w:b/>
          <w:lang w:val="es-ES" w:eastAsia="ja-JP"/>
        </w:rPr>
        <w:t>4.4.4</w:t>
      </w:r>
      <w:r w:rsidRPr="00F9410F">
        <w:rPr>
          <w:b/>
          <w:lang w:val="es-ES" w:eastAsia="ja-JP"/>
        </w:rPr>
        <w:tab/>
      </w:r>
      <w:r w:rsidRPr="00F9410F">
        <w:rPr>
          <w:b/>
          <w:lang w:val="es-ES"/>
        </w:rPr>
        <w:t>Otras actividades conexas</w:t>
      </w:r>
    </w:p>
    <w:p w:rsidR="00C00643" w:rsidRPr="00F9410F" w:rsidRDefault="00C00643" w:rsidP="00740256">
      <w:pPr>
        <w:rPr>
          <w:lang w:val="es-ES" w:eastAsia="ja-JP"/>
        </w:rPr>
      </w:pPr>
      <w:r w:rsidRPr="00F9410F">
        <w:rPr>
          <w:lang w:val="es-ES"/>
        </w:rPr>
        <w:t>El Grupo de Trabajo 5D organizó en dos ocasiones el Taller sobre IMT futuras durante el presente per</w:t>
      </w:r>
      <w:r w:rsidR="00740256">
        <w:rPr>
          <w:lang w:val="es-ES"/>
        </w:rPr>
        <w:t>i</w:t>
      </w:r>
      <w:r w:rsidRPr="00F9410F">
        <w:rPr>
          <w:lang w:val="es-ES"/>
        </w:rPr>
        <w:t>odo de estudios, a saber</w:t>
      </w:r>
      <w:r w:rsidRPr="00F9410F">
        <w:rPr>
          <w:lang w:val="es-ES" w:eastAsia="ja-JP"/>
        </w:rPr>
        <w:t>:</w:t>
      </w:r>
    </w:p>
    <w:p w:rsidR="00C00643" w:rsidRPr="00F9410F" w:rsidRDefault="00C00643" w:rsidP="002B750B">
      <w:pPr>
        <w:pStyle w:val="enumlev1"/>
        <w:rPr>
          <w:szCs w:val="24"/>
          <w:lang w:val="es-ES"/>
        </w:rPr>
      </w:pPr>
      <w:r w:rsidRPr="00F9410F">
        <w:rPr>
          <w:szCs w:val="24"/>
          <w:lang w:val="es-ES"/>
        </w:rPr>
        <w:t>−</w:t>
      </w:r>
      <w:r w:rsidRPr="00F9410F">
        <w:rPr>
          <w:szCs w:val="24"/>
          <w:lang w:val="es-ES"/>
        </w:rPr>
        <w:tab/>
        <w:t>I</w:t>
      </w:r>
      <w:r w:rsidRPr="00F9410F">
        <w:rPr>
          <w:color w:val="000000"/>
          <w:lang w:val="es-ES"/>
        </w:rPr>
        <w:t>nvestigaciones sobre la evolución tecnológica de las IMT</w:t>
      </w:r>
      <w:r w:rsidRPr="00F9410F">
        <w:rPr>
          <w:rFonts w:cs="Segoe UI"/>
          <w:color w:val="000000"/>
          <w:szCs w:val="24"/>
          <w:lang w:val="es-ES" w:eastAsia="ja-JP"/>
        </w:rPr>
        <w:t>,</w:t>
      </w:r>
      <w:r w:rsidRPr="00F9410F">
        <w:rPr>
          <w:rFonts w:cs="Segoe UI"/>
          <w:color w:val="000000"/>
          <w:szCs w:val="24"/>
          <w:lang w:val="es-ES"/>
        </w:rPr>
        <w:t xml:space="preserve"> (Ginebra, 16 de julio de</w:t>
      </w:r>
      <w:r w:rsidR="002B750B">
        <w:rPr>
          <w:rFonts w:cs="Segoe UI"/>
          <w:color w:val="000000"/>
          <w:szCs w:val="24"/>
          <w:lang w:val="es-ES"/>
        </w:rPr>
        <w:t> </w:t>
      </w:r>
      <w:r w:rsidRPr="00F9410F">
        <w:rPr>
          <w:rFonts w:cs="Segoe UI"/>
          <w:color w:val="000000"/>
          <w:szCs w:val="24"/>
          <w:lang w:val="es-ES"/>
        </w:rPr>
        <w:t>2012).</w:t>
      </w:r>
    </w:p>
    <w:p w:rsidR="00C00643" w:rsidRPr="00F9410F" w:rsidRDefault="00C00643" w:rsidP="002B750B">
      <w:pPr>
        <w:pStyle w:val="enumlev1"/>
        <w:rPr>
          <w:szCs w:val="24"/>
          <w:lang w:val="es-ES"/>
        </w:rPr>
      </w:pPr>
      <w:r w:rsidRPr="00F9410F">
        <w:rPr>
          <w:szCs w:val="24"/>
          <w:lang w:val="es-ES"/>
        </w:rPr>
        <w:t>−</w:t>
      </w:r>
      <w:r w:rsidRPr="00F9410F">
        <w:rPr>
          <w:szCs w:val="24"/>
          <w:lang w:val="es-ES"/>
        </w:rPr>
        <w:tab/>
      </w:r>
      <w:r w:rsidRPr="00F9410F">
        <w:rPr>
          <w:rFonts w:cs="Segoe UI"/>
          <w:color w:val="000000"/>
          <w:szCs w:val="24"/>
          <w:lang w:val="es-ES"/>
        </w:rPr>
        <w:t>Investigaciones sobre las IMT a partir de 2020</w:t>
      </w:r>
      <w:r w:rsidRPr="00F9410F">
        <w:rPr>
          <w:rFonts w:cs="Segoe UI"/>
          <w:color w:val="000000"/>
          <w:szCs w:val="24"/>
          <w:lang w:val="es-ES" w:eastAsia="ja-JP"/>
        </w:rPr>
        <w:t xml:space="preserve">, </w:t>
      </w:r>
      <w:r w:rsidRPr="00F9410F">
        <w:rPr>
          <w:rFonts w:cs="Segoe UI"/>
          <w:color w:val="000000"/>
          <w:szCs w:val="24"/>
          <w:lang w:val="es-ES"/>
        </w:rPr>
        <w:t>(Ho Chi Minh City, 12 de febrero de</w:t>
      </w:r>
      <w:r w:rsidR="002B750B">
        <w:rPr>
          <w:rFonts w:cs="Segoe UI"/>
          <w:color w:val="000000"/>
          <w:szCs w:val="24"/>
          <w:lang w:val="es-ES"/>
        </w:rPr>
        <w:t> </w:t>
      </w:r>
      <w:r w:rsidRPr="00F9410F">
        <w:rPr>
          <w:rFonts w:cs="Segoe UI"/>
          <w:color w:val="000000"/>
          <w:szCs w:val="24"/>
          <w:lang w:val="es-ES"/>
        </w:rPr>
        <w:t>2014)</w:t>
      </w:r>
      <w:r w:rsidRPr="00F9410F">
        <w:rPr>
          <w:szCs w:val="24"/>
          <w:lang w:val="es-ES" w:eastAsia="ja-JP"/>
        </w:rPr>
        <w:t>.</w:t>
      </w:r>
    </w:p>
    <w:p w:rsidR="00C00643" w:rsidRPr="00F9410F" w:rsidRDefault="00C00643" w:rsidP="00C00643">
      <w:pPr>
        <w:pStyle w:val="Heading1"/>
        <w:rPr>
          <w:lang w:val="es-ES" w:eastAsia="ja-JP"/>
        </w:rPr>
      </w:pPr>
      <w:r w:rsidRPr="00F9410F">
        <w:rPr>
          <w:lang w:val="es-ES"/>
        </w:rPr>
        <w:lastRenderedPageBreak/>
        <w:t>5</w:t>
      </w:r>
      <w:r w:rsidRPr="00F9410F">
        <w:rPr>
          <w:lang w:val="es-ES"/>
        </w:rPr>
        <w:tab/>
      </w:r>
      <w:r w:rsidRPr="00F9410F">
        <w:rPr>
          <w:lang w:val="es-ES" w:eastAsia="ja-JP"/>
        </w:rPr>
        <w:t>Los trabajos del Grupo Mixto de Tareas Especiales 4-5-6-7</w:t>
      </w:r>
    </w:p>
    <w:p w:rsidR="00C00643" w:rsidRPr="00F9410F" w:rsidRDefault="00C00643" w:rsidP="00074A9E">
      <w:pPr>
        <w:rPr>
          <w:lang w:val="es-ES" w:eastAsia="ja-JP"/>
        </w:rPr>
      </w:pPr>
      <w:r w:rsidRPr="00F9410F">
        <w:rPr>
          <w:lang w:val="es-ES" w:eastAsia="ja-JP"/>
        </w:rPr>
        <w:t>Durante el presente per</w:t>
      </w:r>
      <w:r w:rsidR="00074A9E">
        <w:rPr>
          <w:lang w:val="es-ES" w:eastAsia="ja-JP"/>
        </w:rPr>
        <w:t>i</w:t>
      </w:r>
      <w:r w:rsidRPr="00F9410F">
        <w:rPr>
          <w:lang w:val="es-ES" w:eastAsia="ja-JP"/>
        </w:rPr>
        <w:t>odo de estudios, la RPC</w:t>
      </w:r>
      <w:r w:rsidRPr="00F9410F">
        <w:rPr>
          <w:lang w:val="es-ES"/>
        </w:rPr>
        <w:t>-</w:t>
      </w:r>
      <w:r w:rsidRPr="00F9410F">
        <w:rPr>
          <w:lang w:val="es-ES" w:eastAsia="ja-JP"/>
        </w:rPr>
        <w:t>15</w:t>
      </w:r>
      <w:r w:rsidRPr="00F9410F">
        <w:rPr>
          <w:lang w:val="es-ES"/>
        </w:rPr>
        <w:t xml:space="preserve"> designó, en su primera reunión, a</w:t>
      </w:r>
      <w:r w:rsidRPr="00F9410F">
        <w:rPr>
          <w:lang w:val="es-ES" w:eastAsia="ja-JP"/>
        </w:rPr>
        <w:t>l Grupo Mixto de Tareas Especiales 4-</w:t>
      </w:r>
      <w:r w:rsidRPr="00F9410F">
        <w:rPr>
          <w:lang w:val="es-ES"/>
        </w:rPr>
        <w:t>5-6</w:t>
      </w:r>
      <w:r w:rsidRPr="00F9410F">
        <w:rPr>
          <w:lang w:val="es-ES" w:eastAsia="ja-JP"/>
        </w:rPr>
        <w:t>-7</w:t>
      </w:r>
      <w:r w:rsidRPr="00F9410F">
        <w:rPr>
          <w:lang w:val="es-ES"/>
        </w:rPr>
        <w:t xml:space="preserve"> (GMTE </w:t>
      </w:r>
      <w:r w:rsidRPr="00F9410F">
        <w:rPr>
          <w:lang w:val="es-ES" w:eastAsia="ja-JP"/>
        </w:rPr>
        <w:t>4-</w:t>
      </w:r>
      <w:r w:rsidRPr="00F9410F">
        <w:rPr>
          <w:lang w:val="es-ES"/>
        </w:rPr>
        <w:t>5-6</w:t>
      </w:r>
      <w:r w:rsidRPr="00F9410F">
        <w:rPr>
          <w:lang w:val="es-ES" w:eastAsia="ja-JP"/>
        </w:rPr>
        <w:t>-7)</w:t>
      </w:r>
      <w:r w:rsidRPr="00F9410F">
        <w:rPr>
          <w:lang w:val="es-ES"/>
        </w:rPr>
        <w:t xml:space="preserve"> como grupo encargado de los estudios relativos a los puntos 1.1 y 1.2 del orden del día de la CMR-15</w:t>
      </w:r>
      <w:r w:rsidRPr="00F9410F">
        <w:rPr>
          <w:lang w:val="es-ES" w:eastAsia="ja-JP"/>
        </w:rPr>
        <w:t>:</w:t>
      </w:r>
    </w:p>
    <w:p w:rsidR="00C00643" w:rsidRPr="00F9410F" w:rsidRDefault="000D1CE2" w:rsidP="00C00643">
      <w:pPr>
        <w:ind w:left="1134" w:hanging="1134"/>
        <w:rPr>
          <w:lang w:val="es-ES" w:eastAsia="ja-JP"/>
        </w:rPr>
      </w:pPr>
      <w:r w:rsidRPr="000D1CE2">
        <w:rPr>
          <w:lang w:val="es-ES" w:eastAsia="ja-JP"/>
        </w:rPr>
        <w:t>–</w:t>
      </w:r>
      <w:r w:rsidR="00C00643" w:rsidRPr="00F9410F">
        <w:rPr>
          <w:lang w:val="es-ES"/>
        </w:rPr>
        <w:tab/>
        <w:t xml:space="preserve">examinar atribuciones adicionales de espectro al servicio móvil a título primario e identificar bandas de frecuencias adicionales para las telecomunicaciones móviles internacionales (IMT), así como las disposiciones transitorias conexas, a fin de facilitar el desarrollo de aplicaciones terrenales móviles de banda ancha, de conformidad con la Resolución </w:t>
      </w:r>
      <w:r w:rsidR="00C00643" w:rsidRPr="00074A9E">
        <w:rPr>
          <w:b/>
          <w:bCs/>
          <w:lang w:val="es-ES"/>
        </w:rPr>
        <w:t>233 (CMR-12)</w:t>
      </w:r>
      <w:r w:rsidR="00C00643" w:rsidRPr="00F9410F">
        <w:rPr>
          <w:lang w:val="es-ES"/>
        </w:rPr>
        <w:t>;</w:t>
      </w:r>
    </w:p>
    <w:p w:rsidR="00C00643" w:rsidRPr="00F9410F" w:rsidRDefault="000D1CE2" w:rsidP="00C00643">
      <w:pPr>
        <w:ind w:left="1134" w:hanging="1134"/>
        <w:rPr>
          <w:lang w:val="es-ES" w:eastAsia="ja-JP"/>
        </w:rPr>
      </w:pPr>
      <w:r w:rsidRPr="000D1CE2">
        <w:rPr>
          <w:lang w:val="es-ES" w:eastAsia="ja-JP"/>
        </w:rPr>
        <w:t>–</w:t>
      </w:r>
      <w:r w:rsidR="00C00643" w:rsidRPr="00F9410F">
        <w:rPr>
          <w:lang w:val="es-ES" w:eastAsia="ja-JP"/>
        </w:rPr>
        <w:tab/>
      </w:r>
      <w:r w:rsidR="00C00643" w:rsidRPr="00F9410F">
        <w:rPr>
          <w:lang w:val="es-ES"/>
        </w:rPr>
        <w:t xml:space="preserve">examinar los resultados de los estudios realizados por el UIT-R de conformidad con la Resolución </w:t>
      </w:r>
      <w:r w:rsidR="00C00643" w:rsidRPr="00074A9E">
        <w:rPr>
          <w:b/>
          <w:bCs/>
          <w:lang w:val="es-ES"/>
        </w:rPr>
        <w:t>232 (CMR-12)</w:t>
      </w:r>
      <w:r w:rsidR="00C00643" w:rsidRPr="00F9410F">
        <w:rPr>
          <w:lang w:val="es-ES"/>
        </w:rPr>
        <w:t xml:space="preserve"> sobre la utilización de la banda de frecuencias 694-790 MHz por los servicios móviles, excepto móvil aeronáutico, en la Región 1 y adoptar las medidas correspondientes</w:t>
      </w:r>
      <w:r w:rsidR="00C00643" w:rsidRPr="00F9410F">
        <w:rPr>
          <w:lang w:val="es-ES" w:eastAsia="ja-JP"/>
        </w:rPr>
        <w:t>.</w:t>
      </w:r>
    </w:p>
    <w:p w:rsidR="00C00643" w:rsidRPr="00F9410F" w:rsidRDefault="00C00643" w:rsidP="00C00643">
      <w:pPr>
        <w:rPr>
          <w:lang w:val="es-ES"/>
        </w:rPr>
      </w:pPr>
      <w:r w:rsidRPr="00F9410F">
        <w:rPr>
          <w:lang w:val="es-ES" w:eastAsia="ja-JP"/>
        </w:rPr>
        <w:t xml:space="preserve">El GMTE celebró las seis reuniones que se indican en el Cuadro </w:t>
      </w:r>
      <w:r w:rsidRPr="00F9410F">
        <w:rPr>
          <w:lang w:val="es-ES"/>
        </w:rPr>
        <w:t>A1-2 del Anexo 1.</w:t>
      </w:r>
      <w:r w:rsidRPr="00F9410F">
        <w:rPr>
          <w:lang w:val="es-ES" w:eastAsia="ja-JP"/>
        </w:rPr>
        <w:t xml:space="preserve"> El Sr.</w:t>
      </w:r>
      <w:r w:rsidRPr="00F9410F">
        <w:rPr>
          <w:lang w:val="es-ES"/>
        </w:rPr>
        <w:t> </w:t>
      </w:r>
      <w:r w:rsidRPr="00F9410F">
        <w:rPr>
          <w:lang w:val="es-ES" w:eastAsia="ja-JP"/>
        </w:rPr>
        <w:t>Thomas Ewers</w:t>
      </w:r>
      <w:r w:rsidRPr="00F9410F">
        <w:rPr>
          <w:lang w:val="es-ES"/>
        </w:rPr>
        <w:t xml:space="preserve"> (</w:t>
      </w:r>
      <w:r w:rsidRPr="00F9410F">
        <w:rPr>
          <w:lang w:val="es-ES" w:eastAsia="ja-JP"/>
        </w:rPr>
        <w:t>Alemania</w:t>
      </w:r>
      <w:r w:rsidRPr="00F9410F">
        <w:rPr>
          <w:lang w:val="es-ES"/>
        </w:rPr>
        <w:t>) presidió las dos primeras reuniones, mientras que las cuatro siguientes las presidió el Sr</w:t>
      </w:r>
      <w:r w:rsidRPr="00F9410F">
        <w:rPr>
          <w:lang w:val="es-ES" w:eastAsia="ja-JP"/>
        </w:rPr>
        <w:t>. Martin Fenton (Reino Unido)</w:t>
      </w:r>
      <w:r w:rsidRPr="00F9410F">
        <w:rPr>
          <w:lang w:val="es-ES"/>
        </w:rPr>
        <w:t>.</w:t>
      </w:r>
    </w:p>
    <w:p w:rsidR="00C00643" w:rsidRPr="00F9410F" w:rsidRDefault="00C00643" w:rsidP="00364C88">
      <w:pPr>
        <w:rPr>
          <w:lang w:val="es-ES" w:eastAsia="ja-JP"/>
        </w:rPr>
      </w:pPr>
      <w:r w:rsidRPr="00F9410F">
        <w:rPr>
          <w:lang w:val="es-ES" w:eastAsia="ja-JP"/>
        </w:rPr>
        <w:t xml:space="preserve">A lo largo de las seis reuniones, el GMTE recibió más de 700 contribuciones de los miembros y de los grupos contribuyentes del UIT-R. A partir de esas aportaciones, el GMTE completó, en su sexta reunión, celebrada en julio de 2014, los proyectos de texto de la RPC correspondientes a los </w:t>
      </w:r>
      <w:r w:rsidR="00364C88">
        <w:rPr>
          <w:lang w:val="es-ES" w:eastAsia="ja-JP"/>
        </w:rPr>
        <w:t>§ </w:t>
      </w:r>
      <w:r w:rsidRPr="00F9410F">
        <w:rPr>
          <w:lang w:val="es-ES" w:eastAsia="ja-JP"/>
        </w:rPr>
        <w:t>1.1 y 1.2 del orden del día, y elaboró además distintos Informes UIT-R sobre estudios de compartición/compatibilidad.</w:t>
      </w:r>
    </w:p>
    <w:p w:rsidR="00C00643" w:rsidRPr="00F9410F" w:rsidRDefault="00C00643" w:rsidP="00C00643">
      <w:pPr>
        <w:pStyle w:val="TableNo"/>
        <w:spacing w:before="360"/>
        <w:rPr>
          <w:lang w:val="es-ES" w:eastAsia="ja-JP"/>
        </w:rPr>
      </w:pPr>
      <w:r w:rsidRPr="00F9410F">
        <w:rPr>
          <w:lang w:val="es-ES" w:eastAsia="ja-JP"/>
        </w:rPr>
        <w:t>cuadro 5</w:t>
      </w:r>
    </w:p>
    <w:p w:rsidR="00C00643" w:rsidRPr="00F9410F" w:rsidRDefault="00C00643" w:rsidP="00C00643">
      <w:pPr>
        <w:pStyle w:val="Tabletitle"/>
        <w:rPr>
          <w:lang w:val="es-ES" w:eastAsia="ja-JP"/>
        </w:rPr>
      </w:pPr>
      <w:r w:rsidRPr="00F9410F">
        <w:rPr>
          <w:lang w:val="es-ES"/>
        </w:rPr>
        <w:t xml:space="preserve">Resultados relativos a la CMR obtenidos por el Grupo Mixto de Tareas Especiales </w:t>
      </w:r>
      <w:r w:rsidRPr="00F9410F">
        <w:rPr>
          <w:lang w:val="es-ES" w:eastAsia="ja-JP"/>
        </w:rPr>
        <w:t xml:space="preserve">4-5-6-7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427"/>
        <w:gridCol w:w="5369"/>
      </w:tblGrid>
      <w:tr w:rsidR="00C00643" w:rsidRPr="00F9410F" w:rsidTr="002F1E53">
        <w:trPr>
          <w:jc w:val="center"/>
        </w:trPr>
        <w:tc>
          <w:tcPr>
            <w:tcW w:w="1526" w:type="dxa"/>
          </w:tcPr>
          <w:p w:rsidR="00C00643" w:rsidRPr="00F9410F" w:rsidRDefault="00C00643" w:rsidP="002F1E53">
            <w:pPr>
              <w:pStyle w:val="Tablehead"/>
              <w:rPr>
                <w:lang w:val="es-ES"/>
              </w:rPr>
            </w:pPr>
            <w:r w:rsidRPr="00F9410F">
              <w:rPr>
                <w:lang w:val="es-ES"/>
              </w:rPr>
              <w:t xml:space="preserve">Punto del orden del día </w:t>
            </w:r>
          </w:p>
        </w:tc>
        <w:tc>
          <w:tcPr>
            <w:tcW w:w="2427" w:type="dxa"/>
            <w:vAlign w:val="center"/>
          </w:tcPr>
          <w:p w:rsidR="00C00643" w:rsidRPr="00F9410F" w:rsidRDefault="00C00643" w:rsidP="002F1E53">
            <w:pPr>
              <w:pStyle w:val="Tablehead"/>
              <w:rPr>
                <w:lang w:val="es-ES"/>
              </w:rPr>
            </w:pPr>
            <w:r w:rsidRPr="00F9410F">
              <w:rPr>
                <w:lang w:val="es-ES"/>
              </w:rPr>
              <w:t>Resolución CMR</w:t>
            </w:r>
          </w:p>
        </w:tc>
        <w:tc>
          <w:tcPr>
            <w:tcW w:w="5369" w:type="dxa"/>
          </w:tcPr>
          <w:p w:rsidR="00C00643" w:rsidRPr="00F9410F" w:rsidRDefault="00C00643" w:rsidP="002F1E53">
            <w:pPr>
              <w:pStyle w:val="Tablehead"/>
              <w:rPr>
                <w:lang w:val="es-ES" w:eastAsia="ja-JP"/>
              </w:rPr>
            </w:pPr>
            <w:r w:rsidRPr="00F9410F">
              <w:rPr>
                <w:lang w:val="es-ES" w:eastAsia="ja-JP"/>
              </w:rPr>
              <w:t>Informes conexos</w:t>
            </w:r>
          </w:p>
        </w:tc>
      </w:tr>
      <w:tr w:rsidR="00C00643" w:rsidRPr="00740256" w:rsidTr="002F1E53">
        <w:trPr>
          <w:jc w:val="center"/>
        </w:trPr>
        <w:tc>
          <w:tcPr>
            <w:tcW w:w="1526" w:type="dxa"/>
          </w:tcPr>
          <w:p w:rsidR="00C00643" w:rsidRPr="00F9410F" w:rsidRDefault="00C00643" w:rsidP="002F1E53">
            <w:pPr>
              <w:pStyle w:val="Tabletext"/>
              <w:jc w:val="center"/>
              <w:rPr>
                <w:lang w:val="es-ES" w:eastAsia="ja-JP"/>
              </w:rPr>
            </w:pPr>
            <w:r w:rsidRPr="00F9410F">
              <w:rPr>
                <w:lang w:val="es-ES" w:eastAsia="ja-JP"/>
              </w:rPr>
              <w:t>1.1</w:t>
            </w:r>
          </w:p>
        </w:tc>
        <w:tc>
          <w:tcPr>
            <w:tcW w:w="2427"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233</w:t>
            </w:r>
            <w:r w:rsidRPr="00F9410F">
              <w:rPr>
                <w:b/>
                <w:bCs/>
                <w:lang w:val="es-ES"/>
              </w:rPr>
              <w:t xml:space="preserve"> (CMR</w:t>
            </w:r>
            <w:r w:rsidRPr="00F9410F">
              <w:rPr>
                <w:b/>
                <w:bCs/>
                <w:lang w:val="es-ES"/>
              </w:rPr>
              <w:noBreakHyphen/>
              <w:t>12)</w:t>
            </w:r>
          </w:p>
        </w:tc>
        <w:tc>
          <w:tcPr>
            <w:tcW w:w="5369" w:type="dxa"/>
          </w:tcPr>
          <w:p w:rsidR="00C00643" w:rsidRPr="00A07CD7" w:rsidRDefault="00C00643" w:rsidP="002F1E53">
            <w:pPr>
              <w:pStyle w:val="Tabletext"/>
              <w:rPr>
                <w:lang w:val="fr-CH" w:eastAsia="ja-JP"/>
              </w:rPr>
            </w:pPr>
            <w:r w:rsidRPr="00A07CD7">
              <w:rPr>
                <w:lang w:val="fr-CH" w:eastAsia="ja-JP"/>
              </w:rPr>
              <w:t>Informe UIT-R BS.2340-0, Informe UIT-R BT.2337-0</w:t>
            </w:r>
          </w:p>
          <w:p w:rsidR="00C00643" w:rsidRPr="00A07CD7" w:rsidRDefault="00C00643" w:rsidP="002F1E53">
            <w:pPr>
              <w:pStyle w:val="Tabletext"/>
              <w:rPr>
                <w:lang w:val="fr-CH" w:eastAsia="ja-JP"/>
              </w:rPr>
            </w:pPr>
            <w:r w:rsidRPr="00A07CD7">
              <w:rPr>
                <w:lang w:val="fr-CH" w:eastAsia="ja-JP"/>
              </w:rPr>
              <w:t>Informe UIT-R F.2326-0, Informe UIT-R F.2327-0</w:t>
            </w:r>
          </w:p>
          <w:p w:rsidR="00C00643" w:rsidRPr="00A07CD7" w:rsidRDefault="00C00643" w:rsidP="002F1E53">
            <w:pPr>
              <w:pStyle w:val="Tabletext"/>
              <w:rPr>
                <w:lang w:val="fr-CH" w:eastAsia="ja-JP"/>
              </w:rPr>
            </w:pPr>
            <w:r w:rsidRPr="00A07CD7">
              <w:rPr>
                <w:lang w:val="fr-CH" w:eastAsia="ja-JP"/>
              </w:rPr>
              <w:t>Informe UIT-R F.2328-0, Informe UIT-R F.2331-0</w:t>
            </w:r>
          </w:p>
          <w:p w:rsidR="00C00643" w:rsidRPr="00A07CD7" w:rsidRDefault="00C00643" w:rsidP="002F1E53">
            <w:pPr>
              <w:pStyle w:val="Tabletext"/>
              <w:rPr>
                <w:lang w:val="fr-CH" w:eastAsia="ja-JP"/>
              </w:rPr>
            </w:pPr>
            <w:r w:rsidRPr="00A07CD7">
              <w:rPr>
                <w:lang w:val="fr-CH" w:eastAsia="ja-JP"/>
              </w:rPr>
              <w:t>Informe UIT-R F.2333-0, Informe UIT-R M.2324-0</w:t>
            </w:r>
          </w:p>
          <w:p w:rsidR="00C00643" w:rsidRPr="00A07CD7" w:rsidRDefault="00C00643" w:rsidP="002F1E53">
            <w:pPr>
              <w:pStyle w:val="Tabletext"/>
              <w:rPr>
                <w:lang w:val="fr-CH" w:eastAsia="ja-JP"/>
              </w:rPr>
            </w:pPr>
            <w:r w:rsidRPr="00A07CD7">
              <w:rPr>
                <w:lang w:val="fr-CH" w:eastAsia="ja-JP"/>
              </w:rPr>
              <w:t>Informe UIT-R RA.2332-0, Informe UIT-R RS.2336-0</w:t>
            </w:r>
          </w:p>
          <w:p w:rsidR="00C00643" w:rsidRPr="00A07CD7" w:rsidRDefault="00C00643" w:rsidP="002F1E53">
            <w:pPr>
              <w:pStyle w:val="Tabletext"/>
              <w:rPr>
                <w:lang w:val="fr-CH" w:eastAsia="ja-JP"/>
              </w:rPr>
            </w:pPr>
            <w:r w:rsidRPr="00A07CD7">
              <w:rPr>
                <w:lang w:val="fr-CH" w:eastAsia="ja-JP"/>
              </w:rPr>
              <w:t>Informe UIT-R S.2367-0, Informe UIT-R S.2368-0</w:t>
            </w:r>
          </w:p>
          <w:p w:rsidR="00C00643" w:rsidRPr="00A07CD7" w:rsidRDefault="00C00643" w:rsidP="002F1E53">
            <w:pPr>
              <w:pStyle w:val="Tabletext"/>
              <w:rPr>
                <w:lang w:val="fr-CH" w:eastAsia="ja-JP"/>
              </w:rPr>
            </w:pPr>
            <w:r w:rsidRPr="00A07CD7">
              <w:rPr>
                <w:lang w:val="fr-CH" w:eastAsia="ja-JP"/>
              </w:rPr>
              <w:t>Informe UIT-R SA.2325-0, Informe UIT-R SA.2329-0</w:t>
            </w:r>
          </w:p>
        </w:tc>
      </w:tr>
      <w:tr w:rsidR="00C00643" w:rsidRPr="00740256" w:rsidTr="002F1E53">
        <w:trPr>
          <w:jc w:val="center"/>
        </w:trPr>
        <w:tc>
          <w:tcPr>
            <w:tcW w:w="1526" w:type="dxa"/>
          </w:tcPr>
          <w:p w:rsidR="00C00643" w:rsidRPr="00F9410F" w:rsidRDefault="00C00643" w:rsidP="002F1E53">
            <w:pPr>
              <w:pStyle w:val="Tabletext"/>
              <w:jc w:val="center"/>
              <w:rPr>
                <w:lang w:val="es-ES" w:eastAsia="ja-JP"/>
              </w:rPr>
            </w:pPr>
            <w:r w:rsidRPr="00F9410F">
              <w:rPr>
                <w:lang w:val="es-ES" w:eastAsia="ja-JP"/>
              </w:rPr>
              <w:t>1.2</w:t>
            </w:r>
          </w:p>
        </w:tc>
        <w:tc>
          <w:tcPr>
            <w:tcW w:w="2427" w:type="dxa"/>
          </w:tcPr>
          <w:p w:rsidR="00C00643" w:rsidRPr="00F9410F" w:rsidRDefault="00C00643" w:rsidP="002F1E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val="es-ES" w:eastAsia="ja-JP"/>
              </w:rPr>
            </w:pPr>
            <w:r w:rsidRPr="00F9410F">
              <w:rPr>
                <w:lang w:val="es-ES"/>
              </w:rPr>
              <w:t xml:space="preserve">Resolución </w:t>
            </w:r>
            <w:r w:rsidRPr="00F9410F">
              <w:rPr>
                <w:rFonts w:ascii="Times New Roman Bold" w:hAnsi="Times New Roman Bold" w:cs="Times New Roman Bold"/>
                <w:b/>
                <w:bCs/>
                <w:lang w:val="es-ES" w:eastAsia="ja-JP"/>
              </w:rPr>
              <w:t>232</w:t>
            </w:r>
            <w:r w:rsidRPr="00F9410F">
              <w:rPr>
                <w:b/>
                <w:bCs/>
                <w:lang w:val="es-ES"/>
              </w:rPr>
              <w:t xml:space="preserve"> (CMR</w:t>
            </w:r>
            <w:r w:rsidRPr="00F9410F">
              <w:rPr>
                <w:b/>
                <w:bCs/>
                <w:lang w:val="es-ES"/>
              </w:rPr>
              <w:noBreakHyphen/>
              <w:t>12)</w:t>
            </w:r>
          </w:p>
        </w:tc>
        <w:tc>
          <w:tcPr>
            <w:tcW w:w="5369" w:type="dxa"/>
          </w:tcPr>
          <w:p w:rsidR="00C00643" w:rsidRPr="00A07CD7" w:rsidRDefault="00C00643" w:rsidP="002F1E53">
            <w:pPr>
              <w:pStyle w:val="Tabletext"/>
              <w:rPr>
                <w:lang w:val="fr-CH" w:eastAsia="ja-JP"/>
              </w:rPr>
            </w:pPr>
            <w:r w:rsidRPr="00A07CD7">
              <w:rPr>
                <w:lang w:val="fr-CH" w:eastAsia="ja-JP"/>
              </w:rPr>
              <w:t>Informe UIT-R BT.2338-0, Informe UIT-R BT.2339-0</w:t>
            </w:r>
          </w:p>
        </w:tc>
      </w:tr>
    </w:tbl>
    <w:p w:rsidR="00C00643" w:rsidRPr="00F9410F" w:rsidRDefault="00C00643" w:rsidP="00032AD4">
      <w:pPr>
        <w:rPr>
          <w:lang w:val="es-ES" w:eastAsia="ja-JP"/>
        </w:rPr>
      </w:pPr>
      <w:r w:rsidRPr="00F9410F">
        <w:rPr>
          <w:lang w:val="es-ES" w:eastAsia="ja-JP"/>
        </w:rPr>
        <w:t>Una vez finalizada la tarea del GMTE, las cuatro Comisiones de Estudio acordaron que toda futura revisión de los Informes elaborados por el Grupo Mixto la llevarían a cabo conjuntamente las Comisiones de Estudio correspondientes, salvo en el caso de los informes de las series F y M, que competen exclusivamente a la Comisión de Estudio 5.</w:t>
      </w:r>
    </w:p>
    <w:p w:rsidR="00C00643" w:rsidRPr="00F9410F" w:rsidRDefault="00C00643" w:rsidP="00C00643">
      <w:pPr>
        <w:pStyle w:val="Heading1"/>
        <w:rPr>
          <w:lang w:val="es-ES" w:eastAsia="ja-JP"/>
        </w:rPr>
      </w:pPr>
      <w:r w:rsidRPr="00F9410F">
        <w:rPr>
          <w:lang w:val="es-ES" w:eastAsia="ja-JP"/>
        </w:rPr>
        <w:t>6</w:t>
      </w:r>
      <w:r w:rsidRPr="00F9410F">
        <w:rPr>
          <w:lang w:val="es-ES" w:eastAsia="ja-JP"/>
        </w:rPr>
        <w:tab/>
      </w:r>
      <w:r w:rsidRPr="00F9410F">
        <w:rPr>
          <w:lang w:val="es-ES"/>
        </w:rPr>
        <w:t>Otras cuestiones</w:t>
      </w:r>
    </w:p>
    <w:p w:rsidR="00C00643" w:rsidRPr="00F9410F" w:rsidRDefault="00C00643" w:rsidP="00C00643">
      <w:pPr>
        <w:pStyle w:val="Heading2"/>
        <w:rPr>
          <w:lang w:val="es-ES" w:eastAsia="ja-JP"/>
        </w:rPr>
      </w:pPr>
      <w:r w:rsidRPr="00F9410F">
        <w:rPr>
          <w:lang w:val="es-ES" w:eastAsia="ja-JP"/>
        </w:rPr>
        <w:t>6.1</w:t>
      </w:r>
      <w:r w:rsidRPr="00F9410F">
        <w:rPr>
          <w:lang w:val="es-ES" w:eastAsia="ja-JP"/>
        </w:rPr>
        <w:tab/>
        <w:t xml:space="preserve">Avances en los estudios solicitados en las Resoluciones del UIT-R </w:t>
      </w:r>
    </w:p>
    <w:p w:rsidR="00C00643" w:rsidRPr="00F9410F" w:rsidRDefault="00C00643" w:rsidP="00032AD4">
      <w:pPr>
        <w:rPr>
          <w:lang w:val="es-ES" w:eastAsia="ja-JP"/>
        </w:rPr>
      </w:pPr>
      <w:r w:rsidRPr="00F9410F">
        <w:rPr>
          <w:lang w:val="es-ES" w:eastAsia="ja-JP"/>
        </w:rPr>
        <w:t>Durante su 19ª reunión, celebrada en junio de 2012, el GAR solicitó a los Presidentes de la Comisión de Estudio que le informaran de los avances en los estudios solicitados en las Resoluciones del UIT-R.</w:t>
      </w:r>
    </w:p>
    <w:p w:rsidR="00C00643" w:rsidRPr="00F9410F" w:rsidRDefault="00C00643" w:rsidP="00032AD4">
      <w:pPr>
        <w:rPr>
          <w:lang w:val="es-ES" w:eastAsia="ja-JP"/>
        </w:rPr>
      </w:pPr>
      <w:r w:rsidRPr="00F9410F">
        <w:rPr>
          <w:lang w:val="es-ES" w:eastAsia="ja-JP"/>
        </w:rPr>
        <w:lastRenderedPageBreak/>
        <w:t>En respuesta a esta petición, el Presidente de la Comisión de Estudio 5 ha presentado información de manera periódica en todas las reuniones del GAR. La Secretaría también ha procurado desarrollar un apartado específico en la página web de la Comisión de Estudio 5 (</w:t>
      </w:r>
      <w:hyperlink r:id="rId36" w:history="1">
        <w:r w:rsidRPr="00F9410F">
          <w:rPr>
            <w:rStyle w:val="Hyperlink"/>
            <w:rFonts w:asciiTheme="majorBidi" w:hAnsiTheme="majorBidi" w:cstheme="majorBidi"/>
            <w:szCs w:val="24"/>
            <w:lang w:val="es-ES" w:eastAsia="ja-JP"/>
          </w:rPr>
          <w:t>http://www.itu.int/go/statusofstudies</w:t>
        </w:r>
      </w:hyperlink>
      <w:r w:rsidRPr="00F9410F">
        <w:rPr>
          <w:lang w:val="es-ES" w:eastAsia="ja-JP"/>
        </w:rPr>
        <w:t>) para indicar la situación en que se encuentran los estudios.</w:t>
      </w:r>
    </w:p>
    <w:p w:rsidR="00C00643" w:rsidRPr="00F9410F" w:rsidRDefault="00C00643" w:rsidP="00740256">
      <w:pPr>
        <w:rPr>
          <w:lang w:val="es-ES" w:eastAsia="ja-JP"/>
        </w:rPr>
      </w:pPr>
      <w:r w:rsidRPr="00F9410F">
        <w:rPr>
          <w:lang w:val="es-ES" w:eastAsia="ja-JP"/>
        </w:rPr>
        <w:t>La situación definitiva actualizada durante el presente per</w:t>
      </w:r>
      <w:r w:rsidR="00740256">
        <w:rPr>
          <w:lang w:val="es-ES" w:eastAsia="ja-JP"/>
        </w:rPr>
        <w:t>i</w:t>
      </w:r>
      <w:r w:rsidRPr="00F9410F">
        <w:rPr>
          <w:lang w:val="es-ES" w:eastAsia="ja-JP"/>
        </w:rPr>
        <w:t>odo de estudios puede consultarse en el Cuadro A3-1 del Anexo 3.</w:t>
      </w:r>
    </w:p>
    <w:p w:rsidR="00C00643" w:rsidRPr="00F9410F" w:rsidRDefault="00C00643" w:rsidP="00C00643">
      <w:pPr>
        <w:pStyle w:val="Heading2"/>
        <w:rPr>
          <w:lang w:val="es-ES" w:eastAsia="ja-JP"/>
        </w:rPr>
      </w:pPr>
      <w:r w:rsidRPr="00F9410F">
        <w:rPr>
          <w:lang w:val="es-ES" w:eastAsia="ja-JP"/>
        </w:rPr>
        <w:t>6.2</w:t>
      </w:r>
      <w:r w:rsidRPr="00F9410F">
        <w:rPr>
          <w:lang w:val="es-ES" w:eastAsia="ja-JP"/>
        </w:rPr>
        <w:tab/>
        <w:t xml:space="preserve">Avances en los estudios </w:t>
      </w:r>
      <w:r w:rsidRPr="00F9410F">
        <w:rPr>
          <w:lang w:val="es-ES"/>
        </w:rPr>
        <w:t>solicitados en las Resoluciones/Recomendaciones de la CMR</w:t>
      </w:r>
    </w:p>
    <w:p w:rsidR="00C00643" w:rsidRPr="00F9410F" w:rsidRDefault="00C00643" w:rsidP="00C00643">
      <w:pPr>
        <w:rPr>
          <w:lang w:val="es-ES" w:eastAsia="ja-JP"/>
        </w:rPr>
      </w:pPr>
      <w:r w:rsidRPr="00F9410F">
        <w:rPr>
          <w:lang w:val="es-ES"/>
        </w:rPr>
        <w:t>Las Comisiones de Estudio del UIT</w:t>
      </w:r>
      <w:r w:rsidRPr="00F9410F">
        <w:rPr>
          <w:lang w:val="es-ES"/>
        </w:rPr>
        <w:noBreakHyphen/>
        <w:t>R han de efectuar los estudios estipulados en varias Resoluciones (o Recomendaciones) de la CMR, además de los relativos a los puntos del orden del día de la CMR</w:t>
      </w:r>
      <w:r w:rsidRPr="00F9410F">
        <w:rPr>
          <w:lang w:val="es-ES"/>
        </w:rPr>
        <w:noBreakHyphen/>
        <w:t xml:space="preserve">15. La Comisión de Estudio 5 también ha realizado avances en estos estudios, según se recoge en el Anexo 4, preparado a título informativo. </w:t>
      </w:r>
    </w:p>
    <w:p w:rsidR="00C00643" w:rsidRPr="00F9410F" w:rsidRDefault="00C00643" w:rsidP="00C00643">
      <w:pPr>
        <w:pStyle w:val="Heading1"/>
        <w:rPr>
          <w:lang w:val="es-ES" w:eastAsia="ja-JP"/>
        </w:rPr>
      </w:pPr>
      <w:r w:rsidRPr="00F9410F">
        <w:rPr>
          <w:lang w:val="es-ES" w:eastAsia="ja-JP"/>
        </w:rPr>
        <w:t>7</w:t>
      </w:r>
      <w:r w:rsidRPr="00F9410F">
        <w:rPr>
          <w:lang w:val="es-ES" w:eastAsia="ja-JP"/>
        </w:rPr>
        <w:tab/>
      </w:r>
      <w:r w:rsidRPr="00F9410F">
        <w:rPr>
          <w:lang w:val="es-ES"/>
        </w:rPr>
        <w:t>Trabajos futuros</w:t>
      </w:r>
    </w:p>
    <w:p w:rsidR="00C00643" w:rsidRPr="00F9410F" w:rsidRDefault="00C00643" w:rsidP="00C00643">
      <w:pPr>
        <w:rPr>
          <w:lang w:val="es-ES"/>
        </w:rPr>
      </w:pPr>
      <w:r w:rsidRPr="00F9410F">
        <w:rPr>
          <w:lang w:val="es-ES"/>
        </w:rPr>
        <w:t>El principal objetivo de los trabajos futuros es evaluar cualquier actividad que deba realizarse en el marco de la Comisión de Estudio 5 en apoyo de los preparativos para la CMR</w:t>
      </w:r>
      <w:r w:rsidRPr="00F9410F">
        <w:rPr>
          <w:lang w:val="es-ES"/>
        </w:rPr>
        <w:noBreakHyphen/>
        <w:t>19 en relación con los puntos del orden del día respecto de los cuales los Grupos de Trabajo podrían ser grupos encargados o grupos interesados.</w:t>
      </w:r>
    </w:p>
    <w:p w:rsidR="00C00643" w:rsidRPr="00F9410F" w:rsidRDefault="00C00643" w:rsidP="00FE0686">
      <w:pPr>
        <w:rPr>
          <w:lang w:val="es-ES"/>
        </w:rPr>
      </w:pPr>
      <w:r w:rsidRPr="00F9410F">
        <w:rPr>
          <w:lang w:val="es-ES"/>
        </w:rPr>
        <w:t>Por otro lado, con arreglo a la práctica habitual de los Grupos de Trabajo, se seguirá trabajando en las Cuestiones del UIT</w:t>
      </w:r>
      <w:r w:rsidRPr="00F9410F">
        <w:rPr>
          <w:lang w:val="es-ES"/>
        </w:rPr>
        <w:noBreakHyphen/>
        <w:t xml:space="preserve">R asignadas a la Comisión de Estudio 5, así como en los temas solicitados por las Resoluciones de la CMR o las Resoluciones del UIT-R, tal y como se señalan en los </w:t>
      </w:r>
      <w:r w:rsidR="00FE0686">
        <w:rPr>
          <w:lang w:val="es-ES"/>
        </w:rPr>
        <w:t>a</w:t>
      </w:r>
      <w:r w:rsidRPr="00F9410F">
        <w:rPr>
          <w:lang w:val="es-ES"/>
        </w:rPr>
        <w:t>nexos del siguiente Informe del Presidente del GT;</w:t>
      </w:r>
    </w:p>
    <w:p w:rsidR="00C00643" w:rsidRPr="00F9410F" w:rsidRDefault="00C00643" w:rsidP="00032AD4">
      <w:pPr>
        <w:pStyle w:val="enumlev1"/>
        <w:rPr>
          <w:lang w:val="es-ES" w:eastAsia="ja-JP"/>
        </w:rPr>
      </w:pPr>
      <w:r w:rsidRPr="00F9410F">
        <w:rPr>
          <w:lang w:val="es-ES" w:eastAsia="ja-JP"/>
        </w:rPr>
        <w:t>–</w:t>
      </w:r>
      <w:r w:rsidRPr="00F9410F">
        <w:rPr>
          <w:lang w:val="es-ES" w:eastAsia="ja-JP"/>
        </w:rPr>
        <w:tab/>
      </w:r>
      <w:r w:rsidRPr="00F9410F">
        <w:rPr>
          <w:lang w:val="es-ES"/>
        </w:rPr>
        <w:t>Para el Grupo de Trabajo 5A, Documento</w:t>
      </w:r>
      <w:hyperlink r:id="rId37" w:history="1">
        <w:r w:rsidRPr="00F9410F">
          <w:rPr>
            <w:lang w:val="es-ES"/>
          </w:rPr>
          <w:t xml:space="preserve"> </w:t>
        </w:r>
        <w:r w:rsidRPr="00F9410F">
          <w:rPr>
            <w:rStyle w:val="Hyperlink"/>
            <w:lang w:val="es-ES"/>
          </w:rPr>
          <w:t>5A/7</w:t>
        </w:r>
        <w:r w:rsidRPr="00F9410F">
          <w:rPr>
            <w:rStyle w:val="Hyperlink"/>
            <w:lang w:val="es-ES" w:eastAsia="ja-JP"/>
          </w:rPr>
          <w:t>36</w:t>
        </w:r>
      </w:hyperlink>
      <w:r w:rsidRPr="00F9410F">
        <w:rPr>
          <w:lang w:val="es-ES" w:eastAsia="ja-JP"/>
        </w:rPr>
        <w:t>.</w:t>
      </w:r>
    </w:p>
    <w:p w:rsidR="00C00643" w:rsidRPr="00F9410F" w:rsidRDefault="00C00643" w:rsidP="00032AD4">
      <w:pPr>
        <w:pStyle w:val="enumlev1"/>
        <w:rPr>
          <w:lang w:val="es-ES" w:eastAsia="ja-JP"/>
        </w:rPr>
      </w:pPr>
      <w:r w:rsidRPr="00F9410F">
        <w:rPr>
          <w:lang w:val="es-ES" w:eastAsia="ja-JP"/>
        </w:rPr>
        <w:t>–</w:t>
      </w:r>
      <w:r w:rsidRPr="00F9410F">
        <w:rPr>
          <w:lang w:val="es-ES" w:eastAsia="ja-JP"/>
        </w:rPr>
        <w:tab/>
      </w:r>
      <w:r w:rsidRPr="00F9410F">
        <w:rPr>
          <w:lang w:val="es-ES"/>
        </w:rPr>
        <w:t>Para el Grupo de Trabajo 5B, Documento</w:t>
      </w:r>
      <w:hyperlink r:id="rId38" w:history="1">
        <w:r w:rsidRPr="00F9410F">
          <w:rPr>
            <w:lang w:val="es-ES"/>
          </w:rPr>
          <w:t xml:space="preserve"> </w:t>
        </w:r>
        <w:r w:rsidRPr="00F9410F">
          <w:rPr>
            <w:rStyle w:val="Hyperlink"/>
            <w:lang w:val="es-ES"/>
          </w:rPr>
          <w:t>5</w:t>
        </w:r>
        <w:r w:rsidRPr="00F9410F">
          <w:rPr>
            <w:rStyle w:val="Hyperlink"/>
            <w:lang w:val="es-ES" w:eastAsia="ja-JP"/>
          </w:rPr>
          <w:t>B</w:t>
        </w:r>
        <w:r w:rsidRPr="00F9410F">
          <w:rPr>
            <w:rStyle w:val="Hyperlink"/>
            <w:lang w:val="es-ES"/>
          </w:rPr>
          <w:t>/</w:t>
        </w:r>
        <w:r w:rsidRPr="00F9410F">
          <w:rPr>
            <w:rStyle w:val="Hyperlink"/>
            <w:lang w:val="es-ES" w:eastAsia="ja-JP"/>
          </w:rPr>
          <w:t>883</w:t>
        </w:r>
      </w:hyperlink>
      <w:r w:rsidRPr="00F9410F">
        <w:rPr>
          <w:lang w:val="es-ES" w:eastAsia="ja-JP"/>
        </w:rPr>
        <w:t>.</w:t>
      </w:r>
    </w:p>
    <w:p w:rsidR="00C00643" w:rsidRPr="00F9410F" w:rsidRDefault="00C00643" w:rsidP="00032AD4">
      <w:pPr>
        <w:pStyle w:val="enumlev1"/>
        <w:rPr>
          <w:lang w:val="es-ES" w:eastAsia="ja-JP"/>
        </w:rPr>
      </w:pPr>
      <w:r w:rsidRPr="00F9410F">
        <w:rPr>
          <w:lang w:val="es-ES" w:eastAsia="ja-JP"/>
        </w:rPr>
        <w:t>–</w:t>
      </w:r>
      <w:r w:rsidRPr="00F9410F">
        <w:rPr>
          <w:lang w:val="es-ES" w:eastAsia="ja-JP"/>
        </w:rPr>
        <w:tab/>
      </w:r>
      <w:r w:rsidRPr="00F9410F">
        <w:rPr>
          <w:lang w:val="es-ES"/>
        </w:rPr>
        <w:t>Para el Grupo de Trabajo 5C, Documento</w:t>
      </w:r>
      <w:r w:rsidR="00032AD4">
        <w:rPr>
          <w:lang w:val="es-ES"/>
        </w:rPr>
        <w:t xml:space="preserve"> </w:t>
      </w:r>
      <w:hyperlink r:id="rId39" w:history="1">
        <w:r w:rsidRPr="00F9410F">
          <w:rPr>
            <w:rStyle w:val="Hyperlink"/>
            <w:lang w:val="es-ES"/>
          </w:rPr>
          <w:t>5</w:t>
        </w:r>
        <w:r w:rsidRPr="00F9410F">
          <w:rPr>
            <w:rStyle w:val="Hyperlink"/>
            <w:lang w:val="es-ES" w:eastAsia="ja-JP"/>
          </w:rPr>
          <w:t>C</w:t>
        </w:r>
        <w:r w:rsidRPr="00F9410F">
          <w:rPr>
            <w:rStyle w:val="Hyperlink"/>
            <w:lang w:val="es-ES"/>
          </w:rPr>
          <w:t>/</w:t>
        </w:r>
        <w:r w:rsidRPr="00F9410F">
          <w:rPr>
            <w:rStyle w:val="Hyperlink"/>
            <w:lang w:val="es-ES" w:eastAsia="ja-JP"/>
          </w:rPr>
          <w:t>428</w:t>
        </w:r>
      </w:hyperlink>
      <w:r w:rsidRPr="00F9410F">
        <w:rPr>
          <w:rStyle w:val="Hyperlink"/>
          <w:lang w:val="es-ES" w:eastAsia="ja-JP"/>
        </w:rPr>
        <w:t>.</w:t>
      </w:r>
    </w:p>
    <w:p w:rsidR="00C00643" w:rsidRPr="00F9410F" w:rsidRDefault="00C00643" w:rsidP="00032AD4">
      <w:pPr>
        <w:pStyle w:val="enumlev1"/>
        <w:rPr>
          <w:lang w:val="es-ES" w:eastAsia="ja-JP"/>
        </w:rPr>
      </w:pPr>
      <w:r w:rsidRPr="00F9410F">
        <w:rPr>
          <w:lang w:val="es-ES" w:eastAsia="ja-JP"/>
        </w:rPr>
        <w:t>–</w:t>
      </w:r>
      <w:r w:rsidRPr="00F9410F">
        <w:rPr>
          <w:lang w:val="es-ES" w:eastAsia="ja-JP"/>
        </w:rPr>
        <w:tab/>
      </w:r>
      <w:r w:rsidRPr="00F9410F">
        <w:rPr>
          <w:lang w:val="es-ES"/>
        </w:rPr>
        <w:t>Para el Grupo de Trabajo 5D, Documento</w:t>
      </w:r>
      <w:hyperlink r:id="rId40" w:history="1">
        <w:r w:rsidRPr="00F9410F">
          <w:rPr>
            <w:lang w:val="es-ES"/>
          </w:rPr>
          <w:t xml:space="preserve"> </w:t>
        </w:r>
        <w:r w:rsidRPr="00F9410F">
          <w:rPr>
            <w:rStyle w:val="Hyperlink"/>
            <w:lang w:val="es-ES"/>
          </w:rPr>
          <w:t>5</w:t>
        </w:r>
        <w:r w:rsidRPr="00F9410F">
          <w:rPr>
            <w:rStyle w:val="Hyperlink"/>
            <w:lang w:val="es-ES" w:eastAsia="ja-JP"/>
          </w:rPr>
          <w:t>D</w:t>
        </w:r>
        <w:r w:rsidRPr="00F9410F">
          <w:rPr>
            <w:rStyle w:val="Hyperlink"/>
            <w:lang w:val="es-ES"/>
          </w:rPr>
          <w:t>/</w:t>
        </w:r>
        <w:r w:rsidRPr="00F9410F">
          <w:rPr>
            <w:rStyle w:val="Hyperlink"/>
            <w:lang w:val="es-ES" w:eastAsia="ja-JP"/>
          </w:rPr>
          <w:t>1042</w:t>
        </w:r>
      </w:hyperlink>
      <w:r w:rsidRPr="00F9410F">
        <w:rPr>
          <w:lang w:val="es-ES" w:eastAsia="ja-JP"/>
        </w:rPr>
        <w:t>.</w:t>
      </w:r>
    </w:p>
    <w:p w:rsidR="00C00643" w:rsidRPr="00F9410F" w:rsidRDefault="00C00643" w:rsidP="00C00643">
      <w:pPr>
        <w:pStyle w:val="Heading1"/>
        <w:rPr>
          <w:lang w:val="es-ES"/>
        </w:rPr>
      </w:pPr>
      <w:r w:rsidRPr="00F9410F">
        <w:rPr>
          <w:lang w:val="es-ES" w:eastAsia="ja-JP"/>
        </w:rPr>
        <w:t>8</w:t>
      </w:r>
      <w:r w:rsidRPr="00F9410F">
        <w:rPr>
          <w:lang w:val="es-ES"/>
        </w:rPr>
        <w:tab/>
        <w:t>Resumen</w:t>
      </w:r>
    </w:p>
    <w:p w:rsidR="00C00643" w:rsidRPr="00F9410F" w:rsidRDefault="00C00643" w:rsidP="00C00643">
      <w:pPr>
        <w:rPr>
          <w:lang w:val="es-ES"/>
        </w:rPr>
      </w:pPr>
      <w:r w:rsidRPr="00F9410F">
        <w:rPr>
          <w:lang w:val="es-ES"/>
        </w:rPr>
        <w:t>A lo largo del ciclo de estudios 20</w:t>
      </w:r>
      <w:r w:rsidRPr="00F9410F">
        <w:rPr>
          <w:lang w:val="es-ES" w:eastAsia="ja-JP"/>
        </w:rPr>
        <w:t>12</w:t>
      </w:r>
      <w:r w:rsidRPr="00F9410F">
        <w:rPr>
          <w:lang w:val="es-ES"/>
        </w:rPr>
        <w:t>-201</w:t>
      </w:r>
      <w:r w:rsidRPr="00F9410F">
        <w:rPr>
          <w:lang w:val="es-ES" w:eastAsia="ja-JP"/>
        </w:rPr>
        <w:t>5</w:t>
      </w:r>
      <w:r w:rsidRPr="00F9410F">
        <w:rPr>
          <w:lang w:val="es-ES"/>
        </w:rPr>
        <w:t xml:space="preserve">, la Comisión de Estudio 5 ha llevado a cabo eficazmente el gran número de tareas que se le habían asignado. </w:t>
      </w:r>
    </w:p>
    <w:p w:rsidR="00C00643" w:rsidRPr="00F9410F" w:rsidRDefault="00C00643" w:rsidP="00C00643">
      <w:pPr>
        <w:rPr>
          <w:lang w:val="es-ES"/>
        </w:rPr>
      </w:pPr>
      <w:r w:rsidRPr="00F9410F">
        <w:rPr>
          <w:lang w:val="es-ES"/>
        </w:rPr>
        <w:t>El Presidente considera que esta eficacia obedece a los factores siguientes:</w:t>
      </w:r>
    </w:p>
    <w:p w:rsidR="00C00643" w:rsidRPr="00F9410F" w:rsidRDefault="00C00643" w:rsidP="00C00643">
      <w:pPr>
        <w:pStyle w:val="enumlev1"/>
        <w:rPr>
          <w:lang w:val="es-ES"/>
        </w:rPr>
      </w:pPr>
      <w:r w:rsidRPr="00F9410F">
        <w:rPr>
          <w:lang w:val="es-ES"/>
        </w:rPr>
        <w:t>−</w:t>
      </w:r>
      <w:r w:rsidRPr="00F9410F">
        <w:rPr>
          <w:lang w:val="es-ES"/>
        </w:rPr>
        <w:tab/>
        <w:t>el apoyo adecuado de la Oficina de Radiocomunicaciones por medio de la eficiente asistencia de varios Consejeros;</w:t>
      </w:r>
    </w:p>
    <w:p w:rsidR="00C00643" w:rsidRPr="00F9410F" w:rsidRDefault="00C00643" w:rsidP="00C00643">
      <w:pPr>
        <w:pStyle w:val="enumlev1"/>
        <w:rPr>
          <w:lang w:val="es-ES"/>
        </w:rPr>
      </w:pPr>
      <w:r w:rsidRPr="00F9410F">
        <w:rPr>
          <w:lang w:val="es-ES"/>
        </w:rPr>
        <w:t>−</w:t>
      </w:r>
      <w:r w:rsidRPr="00F9410F">
        <w:rPr>
          <w:lang w:val="es-ES"/>
        </w:rPr>
        <w:tab/>
        <w:t>el liderazgo de los Presidentes de los Grupos de Trabajo y sus grupos subordinados;</w:t>
      </w:r>
    </w:p>
    <w:p w:rsidR="00C00643" w:rsidRPr="00F9410F" w:rsidRDefault="00C00643" w:rsidP="00C00643">
      <w:pPr>
        <w:pStyle w:val="enumlev1"/>
        <w:rPr>
          <w:lang w:val="es-ES"/>
        </w:rPr>
      </w:pPr>
      <w:r w:rsidRPr="00F9410F">
        <w:rPr>
          <w:lang w:val="es-ES"/>
        </w:rPr>
        <w:t>−</w:t>
      </w:r>
      <w:r w:rsidRPr="00F9410F">
        <w:rPr>
          <w:lang w:val="es-ES"/>
        </w:rPr>
        <w:tab/>
        <w:t>la buena cooperación entre todos los participantes en las reuniones.</w:t>
      </w:r>
    </w:p>
    <w:p w:rsidR="00C00643" w:rsidRPr="00F9410F" w:rsidRDefault="00C00643" w:rsidP="00C00643">
      <w:pPr>
        <w:rPr>
          <w:lang w:val="es-ES"/>
        </w:rPr>
      </w:pPr>
      <w:r w:rsidRPr="00F9410F">
        <w:rPr>
          <w:lang w:val="es-ES"/>
        </w:rPr>
        <w:t>Por consiguiente, el Presidente desea manifestar su sincero agradecimiento a numerosas personas por sus contribuciones a los Grupos de Trabajo y a la Comisión de Estudio 5 en su conjunto. De manera especial, expresa su agradecimiento a los Presidentes de los Grupos de Trabajo, Dr. José Costa, Sr. John Mettrop, Sr. Charles Glass y Sr. Stephen Blust, así como a la Secretaría de la BR, al Sr. Colin Langtry, Jefe del Departamento de Comisiones de Estudio, al Sr. Sergio Buonomo, Consejero de la CE 5, al Sr. Vadim Nozdrin, Consejero del GT 5</w:t>
      </w:r>
      <w:r w:rsidRPr="00F9410F">
        <w:rPr>
          <w:lang w:val="es-ES" w:eastAsia="ja-JP"/>
        </w:rPr>
        <w:t>B</w:t>
      </w:r>
      <w:r w:rsidRPr="00F9410F">
        <w:rPr>
          <w:lang w:val="es-ES"/>
        </w:rPr>
        <w:t>, al S</w:t>
      </w:r>
      <w:r w:rsidRPr="00F9410F">
        <w:rPr>
          <w:lang w:val="es-ES" w:eastAsia="ja-JP"/>
        </w:rPr>
        <w:t xml:space="preserve">r. David Botha, Consejero del GMTE 4-5-6-7, </w:t>
      </w:r>
      <w:r w:rsidRPr="00F9410F">
        <w:rPr>
          <w:lang w:val="es-ES"/>
        </w:rPr>
        <w:t>y al resto del personal de la BR.</w:t>
      </w:r>
    </w:p>
    <w:p w:rsidR="00C00643" w:rsidRPr="00F9410F" w:rsidRDefault="00C00643" w:rsidP="00C00643">
      <w:pPr>
        <w:rPr>
          <w:lang w:val="es-ES"/>
        </w:rPr>
      </w:pPr>
    </w:p>
    <w:p w:rsidR="001C7013" w:rsidRDefault="00C00643" w:rsidP="001C7013">
      <w:pPr>
        <w:pStyle w:val="AnnexNo"/>
        <w:rPr>
          <w:lang w:val="es-ES"/>
        </w:rPr>
      </w:pPr>
      <w:r w:rsidRPr="00592F36">
        <w:rPr>
          <w:lang w:val="es-ES"/>
        </w:rPr>
        <w:lastRenderedPageBreak/>
        <w:t>Anexo 1</w:t>
      </w:r>
    </w:p>
    <w:p w:rsidR="00C00643" w:rsidRPr="00F9410F" w:rsidRDefault="00C00643" w:rsidP="001C7013">
      <w:pPr>
        <w:pStyle w:val="Annextitle"/>
        <w:rPr>
          <w:lang w:val="es-ES"/>
        </w:rPr>
      </w:pPr>
      <w:r w:rsidRPr="00F9410F">
        <w:rPr>
          <w:lang w:val="es-ES"/>
        </w:rPr>
        <w:t>Información general sobre la Comisión de Estudio 5</w:t>
      </w:r>
      <w:r w:rsidRPr="00F9410F">
        <w:rPr>
          <w:lang w:val="es-ES"/>
        </w:rPr>
        <w:br/>
        <w:t>(Servicios terrenales)</w:t>
      </w:r>
    </w:p>
    <w:p w:rsidR="00C00643" w:rsidRPr="00F9410F" w:rsidRDefault="00C00643" w:rsidP="00C00643">
      <w:pPr>
        <w:pStyle w:val="Headingb"/>
        <w:rPr>
          <w:lang w:val="es-ES"/>
        </w:rPr>
      </w:pPr>
      <w:r w:rsidRPr="00F9410F">
        <w:rPr>
          <w:lang w:val="es-ES"/>
        </w:rPr>
        <w:t>Cometido</w:t>
      </w:r>
    </w:p>
    <w:p w:rsidR="00C00643" w:rsidRPr="00F9410F" w:rsidRDefault="00C00643" w:rsidP="00C00643">
      <w:pPr>
        <w:rPr>
          <w:lang w:val="es-ES"/>
        </w:rPr>
      </w:pPr>
      <w:r w:rsidRPr="00F9410F">
        <w:rPr>
          <w:lang w:val="es-ES"/>
        </w:rPr>
        <w:t>Sistemas y redes de los servicios fijo, móvil, de radiodeterminación, de aficionados y de aficionados por satélite:</w:t>
      </w:r>
    </w:p>
    <w:p w:rsidR="00C00643" w:rsidRPr="00287226" w:rsidRDefault="00C00643" w:rsidP="00C00643">
      <w:pPr>
        <w:spacing w:before="0"/>
        <w:rPr>
          <w:sz w:val="16"/>
          <w:szCs w:val="16"/>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0"/>
        <w:gridCol w:w="4148"/>
        <w:gridCol w:w="3411"/>
      </w:tblGrid>
      <w:tr w:rsidR="00C00643" w:rsidRPr="00F9410F" w:rsidTr="002F1E53">
        <w:trPr>
          <w:cantSplit/>
          <w:jc w:val="center"/>
        </w:trPr>
        <w:tc>
          <w:tcPr>
            <w:tcW w:w="2080" w:type="dxa"/>
            <w:vAlign w:val="center"/>
          </w:tcPr>
          <w:p w:rsidR="00C00643" w:rsidRPr="00F9410F" w:rsidRDefault="00C00643" w:rsidP="002F1E53">
            <w:pPr>
              <w:keepNext/>
              <w:spacing w:before="40" w:after="40"/>
              <w:rPr>
                <w:i/>
                <w:iCs/>
                <w:szCs w:val="24"/>
                <w:lang w:val="es-ES"/>
              </w:rPr>
            </w:pPr>
            <w:r w:rsidRPr="00F9410F">
              <w:rPr>
                <w:i/>
                <w:iCs/>
                <w:szCs w:val="24"/>
                <w:lang w:val="es-ES"/>
              </w:rPr>
              <w:t>Presidente:</w:t>
            </w:r>
          </w:p>
        </w:tc>
        <w:tc>
          <w:tcPr>
            <w:tcW w:w="4148" w:type="dxa"/>
            <w:vAlign w:val="center"/>
          </w:tcPr>
          <w:p w:rsidR="00C00643" w:rsidRPr="00F9410F" w:rsidRDefault="00C00643" w:rsidP="002F1E53">
            <w:pPr>
              <w:pStyle w:val="Tabletext"/>
              <w:tabs>
                <w:tab w:val="clear" w:pos="284"/>
              </w:tabs>
              <w:rPr>
                <w:rFonts w:asciiTheme="majorBidi" w:hAnsiTheme="majorBidi" w:cstheme="majorBidi"/>
                <w:sz w:val="24"/>
                <w:szCs w:val="24"/>
                <w:lang w:val="es-ES"/>
              </w:rPr>
            </w:pPr>
            <w:r w:rsidRPr="00F9410F">
              <w:rPr>
                <w:rFonts w:asciiTheme="majorBidi" w:hAnsiTheme="majorBidi" w:cstheme="majorBidi"/>
                <w:sz w:val="24"/>
                <w:szCs w:val="24"/>
                <w:lang w:val="es-ES"/>
              </w:rPr>
              <w:t>Dr. A. HASHIMOTO</w:t>
            </w:r>
          </w:p>
        </w:tc>
        <w:tc>
          <w:tcPr>
            <w:tcW w:w="3411" w:type="dxa"/>
            <w:vAlign w:val="center"/>
          </w:tcPr>
          <w:p w:rsidR="00C00643" w:rsidRPr="00F9410F" w:rsidRDefault="00C00643" w:rsidP="002F1E53">
            <w:pPr>
              <w:pStyle w:val="Tabletext"/>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Japón</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287226" w:rsidRDefault="00C00643" w:rsidP="002F1E53">
            <w:pPr>
              <w:spacing w:beforeLines="50"/>
              <w:rPr>
                <w:szCs w:val="24"/>
                <w:u w:val="single"/>
                <w:lang w:val="es-ES"/>
              </w:rPr>
            </w:pPr>
            <w:r w:rsidRPr="00287226">
              <w:rPr>
                <w:szCs w:val="24"/>
                <w:u w:val="single"/>
                <w:lang w:val="es-ES"/>
              </w:rPr>
              <w:t>Vicepresidentes:</w:t>
            </w:r>
          </w:p>
        </w:tc>
        <w:tc>
          <w:tcPr>
            <w:tcW w:w="4148" w:type="dxa"/>
            <w:vAlign w:val="center"/>
          </w:tcPr>
          <w:p w:rsidR="00C00643" w:rsidRPr="00F9410F" w:rsidRDefault="00C00643" w:rsidP="002F1E53">
            <w:pPr>
              <w:pStyle w:val="Tabletext"/>
              <w:tabs>
                <w:tab w:val="clear" w:pos="284"/>
              </w:tabs>
              <w:spacing w:beforeLines="50" w:before="120" w:after="0"/>
              <w:rPr>
                <w:rFonts w:asciiTheme="majorBidi" w:hAnsiTheme="majorBidi" w:cstheme="majorBidi"/>
                <w:iCs/>
                <w:sz w:val="24"/>
                <w:szCs w:val="24"/>
                <w:lang w:val="es-ES"/>
              </w:rPr>
            </w:pPr>
            <w:r w:rsidRPr="00F9410F">
              <w:rPr>
                <w:rFonts w:asciiTheme="majorBidi" w:hAnsiTheme="majorBidi" w:cstheme="majorBidi"/>
                <w:iCs/>
                <w:sz w:val="24"/>
                <w:szCs w:val="24"/>
                <w:lang w:val="es-ES"/>
              </w:rPr>
              <w:t>Sr. E.H. ABDOURAMANE</w:t>
            </w:r>
          </w:p>
        </w:tc>
        <w:tc>
          <w:tcPr>
            <w:tcW w:w="3411" w:type="dxa"/>
            <w:vAlign w:val="center"/>
          </w:tcPr>
          <w:p w:rsidR="00C00643" w:rsidRPr="00F9410F" w:rsidRDefault="00C00643" w:rsidP="002F1E53">
            <w:pPr>
              <w:pStyle w:val="Tabletext"/>
              <w:spacing w:beforeLines="50" w:before="120" w:after="0"/>
              <w:ind w:left="108"/>
              <w:rPr>
                <w:rFonts w:asciiTheme="majorBidi" w:hAnsiTheme="majorBidi" w:cstheme="majorBidi"/>
                <w:iCs/>
                <w:sz w:val="24"/>
                <w:szCs w:val="24"/>
                <w:lang w:val="es-ES"/>
              </w:rPr>
            </w:pPr>
            <w:r w:rsidRPr="00F9410F">
              <w:rPr>
                <w:rFonts w:asciiTheme="majorBidi" w:hAnsiTheme="majorBidi" w:cstheme="majorBidi"/>
                <w:iCs/>
                <w:sz w:val="24"/>
                <w:szCs w:val="24"/>
                <w:lang w:val="es-ES"/>
              </w:rPr>
              <w:t>(Camerún)</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A. AL-AMRI</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Arabia Saudita</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BUI HA LONG</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Viet Nam</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R. CASTAÑEDA ALVAREZ</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México</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eastAsia="ja-JP"/>
              </w:rPr>
              <w:t>D</w:t>
            </w:r>
            <w:r w:rsidRPr="00F9410F">
              <w:rPr>
                <w:rFonts w:asciiTheme="majorBidi" w:hAnsiTheme="majorBidi" w:cstheme="majorBidi"/>
                <w:sz w:val="24"/>
                <w:szCs w:val="24"/>
                <w:lang w:val="es-ES"/>
              </w:rPr>
              <w:t>r.</w:t>
            </w:r>
            <w:r w:rsidRPr="00F9410F">
              <w:rPr>
                <w:rFonts w:asciiTheme="majorBidi" w:hAnsiTheme="majorBidi" w:cstheme="majorBidi"/>
                <w:sz w:val="24"/>
                <w:szCs w:val="24"/>
                <w:lang w:val="es-ES" w:eastAsia="ja-JP"/>
              </w:rPr>
              <w:t xml:space="preserve"> </w:t>
            </w:r>
            <w:r w:rsidRPr="00F9410F">
              <w:rPr>
                <w:rFonts w:asciiTheme="majorBidi" w:hAnsiTheme="majorBidi" w:cstheme="majorBidi"/>
                <w:sz w:val="24"/>
                <w:szCs w:val="24"/>
                <w:lang w:val="es-ES"/>
              </w:rPr>
              <w:t>J. COSTA</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Canadá</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M. FENTON</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Reino Unido</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eastAsia="ja-JP"/>
              </w:rPr>
            </w:pPr>
            <w:r w:rsidRPr="00F9410F">
              <w:rPr>
                <w:rFonts w:asciiTheme="majorBidi" w:hAnsiTheme="majorBidi" w:cstheme="majorBidi"/>
                <w:sz w:val="24"/>
                <w:szCs w:val="24"/>
                <w:lang w:val="es-ES"/>
              </w:rPr>
              <w:t xml:space="preserve">Sr. </w:t>
            </w:r>
            <w:r w:rsidRPr="00F9410F">
              <w:rPr>
                <w:rFonts w:asciiTheme="majorBidi" w:hAnsiTheme="majorBidi" w:cstheme="majorBidi"/>
                <w:sz w:val="24"/>
                <w:szCs w:val="24"/>
                <w:lang w:val="es-ES" w:eastAsia="ja-JP"/>
              </w:rPr>
              <w:t>V</w:t>
            </w:r>
            <w:r w:rsidRPr="00F9410F">
              <w:rPr>
                <w:rFonts w:asciiTheme="majorBidi" w:hAnsiTheme="majorBidi" w:cstheme="majorBidi"/>
                <w:sz w:val="24"/>
                <w:szCs w:val="24"/>
                <w:lang w:val="es-ES"/>
              </w:rPr>
              <w:t xml:space="preserve">. </w:t>
            </w:r>
            <w:r w:rsidR="00364C88">
              <w:rPr>
                <w:rFonts w:asciiTheme="majorBidi" w:hAnsiTheme="majorBidi" w:cstheme="majorBidi"/>
                <w:sz w:val="24"/>
                <w:szCs w:val="24"/>
                <w:lang w:val="es-ES" w:eastAsia="ja-JP"/>
              </w:rPr>
              <w:t>POSKAKUKHIN</w:t>
            </w:r>
            <w:r w:rsidRPr="00F9410F">
              <w:rPr>
                <w:rFonts w:asciiTheme="majorBidi" w:hAnsiTheme="majorBidi" w:cstheme="majorBidi"/>
                <w:sz w:val="24"/>
                <w:szCs w:val="24"/>
                <w:lang w:val="es-ES" w:eastAsia="ja-JP"/>
              </w:rPr>
              <w:t>(*)</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Federación de Rusia</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G. OSINGA</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Países Bajos</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iCs/>
                <w:sz w:val="24"/>
                <w:szCs w:val="24"/>
                <w:lang w:val="es-ES"/>
              </w:rPr>
            </w:pPr>
            <w:r w:rsidRPr="00F9410F">
              <w:rPr>
                <w:rFonts w:asciiTheme="majorBidi" w:hAnsiTheme="majorBidi" w:cstheme="majorBidi"/>
                <w:iCs/>
                <w:sz w:val="24"/>
                <w:szCs w:val="24"/>
                <w:lang w:val="es-ES"/>
              </w:rPr>
              <w:t>Sr. W.M. SAYED</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iCs/>
                <w:sz w:val="24"/>
                <w:szCs w:val="24"/>
                <w:lang w:val="es-ES"/>
              </w:rPr>
            </w:pPr>
            <w:r w:rsidRPr="00F9410F">
              <w:rPr>
                <w:rFonts w:asciiTheme="majorBidi" w:hAnsiTheme="majorBidi" w:cstheme="majorBidi"/>
                <w:iCs/>
                <w:sz w:val="24"/>
                <w:szCs w:val="24"/>
                <w:lang w:val="es-ES"/>
              </w:rPr>
              <w:t>(Egipto)</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iCs/>
                <w:sz w:val="24"/>
                <w:szCs w:val="24"/>
                <w:lang w:val="es-ES"/>
              </w:rPr>
            </w:pPr>
            <w:r w:rsidRPr="00F9410F">
              <w:rPr>
                <w:rFonts w:asciiTheme="majorBidi" w:hAnsiTheme="majorBidi" w:cstheme="majorBidi"/>
                <w:iCs/>
                <w:sz w:val="24"/>
                <w:szCs w:val="24"/>
                <w:lang w:val="es-ES"/>
              </w:rPr>
              <w:t>Sr. I. K. SOUARE</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iCs/>
                <w:sz w:val="24"/>
                <w:szCs w:val="24"/>
                <w:lang w:val="es-ES"/>
              </w:rPr>
            </w:pPr>
            <w:r w:rsidRPr="00F9410F">
              <w:rPr>
                <w:rFonts w:asciiTheme="majorBidi" w:hAnsiTheme="majorBidi" w:cstheme="majorBidi"/>
                <w:iCs/>
                <w:sz w:val="24"/>
                <w:szCs w:val="24"/>
                <w:lang w:val="es-ES"/>
              </w:rPr>
              <w:t>(Guinea)</w:t>
            </w:r>
          </w:p>
        </w:tc>
      </w:tr>
      <w:tr w:rsidR="00C00643" w:rsidRPr="00F9410F" w:rsidTr="002F1E53">
        <w:trPr>
          <w:cantSplit/>
          <w:jc w:val="center"/>
        </w:trPr>
        <w:tc>
          <w:tcPr>
            <w:tcW w:w="2080" w:type="dxa"/>
            <w:vAlign w:val="center"/>
          </w:tcPr>
          <w:p w:rsidR="00C00643" w:rsidRPr="00F9410F" w:rsidRDefault="00C00643" w:rsidP="002F1E53">
            <w:pPr>
              <w:spacing w:before="0"/>
              <w:rPr>
                <w:i/>
                <w:iCs/>
                <w:szCs w:val="24"/>
                <w:lang w:val="es-ES"/>
              </w:rPr>
            </w:pPr>
          </w:p>
        </w:tc>
        <w:tc>
          <w:tcPr>
            <w:tcW w:w="4148" w:type="dxa"/>
            <w:vAlign w:val="center"/>
          </w:tcPr>
          <w:p w:rsidR="00C00643" w:rsidRPr="00F9410F" w:rsidRDefault="00C00643" w:rsidP="002F1E53">
            <w:pPr>
              <w:pStyle w:val="Tabletext"/>
              <w:tabs>
                <w:tab w:val="clear" w:pos="284"/>
              </w:tabs>
              <w:spacing w:before="0" w:after="0"/>
              <w:rPr>
                <w:rFonts w:asciiTheme="majorBidi" w:hAnsiTheme="majorBidi" w:cstheme="majorBidi"/>
                <w:sz w:val="24"/>
                <w:szCs w:val="24"/>
                <w:lang w:val="es-ES"/>
              </w:rPr>
            </w:pPr>
            <w:r w:rsidRPr="00F9410F">
              <w:rPr>
                <w:rFonts w:asciiTheme="majorBidi" w:hAnsiTheme="majorBidi" w:cstheme="majorBidi"/>
                <w:sz w:val="24"/>
                <w:szCs w:val="24"/>
                <w:lang w:val="es-ES"/>
              </w:rPr>
              <w:t>Sr. L. SUN</w:t>
            </w:r>
          </w:p>
        </w:tc>
        <w:tc>
          <w:tcPr>
            <w:tcW w:w="3411" w:type="dxa"/>
            <w:vAlign w:val="center"/>
          </w:tcPr>
          <w:p w:rsidR="00C00643" w:rsidRPr="00F9410F" w:rsidRDefault="00C00643" w:rsidP="002F1E53">
            <w:pPr>
              <w:pStyle w:val="Tabletext"/>
              <w:spacing w:before="0" w:after="0"/>
              <w:ind w:left="108"/>
              <w:rPr>
                <w:rFonts w:asciiTheme="majorBidi" w:hAnsiTheme="majorBidi" w:cstheme="majorBidi"/>
                <w:sz w:val="24"/>
                <w:szCs w:val="24"/>
                <w:lang w:val="es-ES"/>
              </w:rPr>
            </w:pPr>
            <w:r w:rsidRPr="00F9410F">
              <w:rPr>
                <w:rFonts w:asciiTheme="majorBidi" w:hAnsiTheme="majorBidi" w:cstheme="majorBidi"/>
                <w:iCs/>
                <w:sz w:val="24"/>
                <w:szCs w:val="24"/>
                <w:lang w:val="es-ES"/>
              </w:rPr>
              <w:t>(</w:t>
            </w:r>
            <w:r w:rsidRPr="00F9410F">
              <w:rPr>
                <w:rFonts w:asciiTheme="majorBidi" w:hAnsiTheme="majorBidi" w:cstheme="majorBidi"/>
                <w:sz w:val="24"/>
                <w:szCs w:val="24"/>
                <w:lang w:val="es-ES"/>
              </w:rPr>
              <w:t>China</w:t>
            </w:r>
            <w:r w:rsidRPr="00F9410F">
              <w:rPr>
                <w:rFonts w:asciiTheme="majorBidi" w:hAnsiTheme="majorBidi" w:cstheme="majorBidi"/>
                <w:iCs/>
                <w:sz w:val="24"/>
                <w:szCs w:val="24"/>
                <w:lang w:val="es-ES"/>
              </w:rPr>
              <w:t>)</w:t>
            </w:r>
          </w:p>
        </w:tc>
      </w:tr>
      <w:tr w:rsidR="00C00643" w:rsidRPr="00F9410F" w:rsidTr="002F1E53">
        <w:trPr>
          <w:cantSplit/>
          <w:jc w:val="center"/>
        </w:trPr>
        <w:tc>
          <w:tcPr>
            <w:tcW w:w="2080" w:type="dxa"/>
            <w:vAlign w:val="center"/>
          </w:tcPr>
          <w:p w:rsidR="00C00643" w:rsidRPr="00F9410F" w:rsidRDefault="00C00643" w:rsidP="002F1E53">
            <w:pPr>
              <w:spacing w:beforeLines="50"/>
              <w:rPr>
                <w:i/>
                <w:iCs/>
                <w:szCs w:val="24"/>
                <w:lang w:val="es-ES" w:eastAsia="ja-JP"/>
              </w:rPr>
            </w:pPr>
            <w:r w:rsidRPr="00F9410F">
              <w:rPr>
                <w:i/>
                <w:szCs w:val="24"/>
                <w:lang w:val="es-ES" w:eastAsia="ja-JP"/>
              </w:rPr>
              <w:t>Consejero:</w:t>
            </w:r>
          </w:p>
        </w:tc>
        <w:tc>
          <w:tcPr>
            <w:tcW w:w="4148" w:type="dxa"/>
            <w:vAlign w:val="center"/>
          </w:tcPr>
          <w:p w:rsidR="00C00643" w:rsidRPr="00F9410F" w:rsidRDefault="00C00643" w:rsidP="002F1E53">
            <w:pPr>
              <w:pStyle w:val="Tabletext"/>
              <w:tabs>
                <w:tab w:val="clear" w:pos="284"/>
              </w:tabs>
              <w:spacing w:beforeLines="50" w:before="120" w:after="0"/>
              <w:rPr>
                <w:rFonts w:asciiTheme="majorBidi" w:hAnsiTheme="majorBidi" w:cstheme="majorBidi"/>
                <w:sz w:val="24"/>
                <w:szCs w:val="24"/>
                <w:lang w:val="es-ES" w:eastAsia="ja-JP"/>
              </w:rPr>
            </w:pPr>
            <w:r w:rsidRPr="00F9410F">
              <w:rPr>
                <w:sz w:val="24"/>
                <w:szCs w:val="24"/>
                <w:lang w:val="es-ES" w:eastAsia="ja-JP"/>
              </w:rPr>
              <w:t>Sr. S. BUONOMO</w:t>
            </w:r>
          </w:p>
        </w:tc>
        <w:tc>
          <w:tcPr>
            <w:tcW w:w="3411" w:type="dxa"/>
            <w:vAlign w:val="center"/>
          </w:tcPr>
          <w:p w:rsidR="00C00643" w:rsidRPr="00F9410F" w:rsidRDefault="00C00643" w:rsidP="002F1E53">
            <w:pPr>
              <w:pStyle w:val="Tabletext"/>
              <w:spacing w:beforeLines="50" w:before="120" w:after="0"/>
              <w:ind w:left="108"/>
              <w:rPr>
                <w:rFonts w:asciiTheme="majorBidi" w:hAnsiTheme="majorBidi" w:cstheme="majorBidi"/>
                <w:iCs/>
                <w:sz w:val="24"/>
                <w:szCs w:val="24"/>
                <w:lang w:val="es-ES" w:eastAsia="ja-JP"/>
              </w:rPr>
            </w:pPr>
            <w:r w:rsidRPr="00F9410F">
              <w:rPr>
                <w:sz w:val="24"/>
                <w:szCs w:val="24"/>
                <w:lang w:val="es-ES" w:eastAsia="ja-JP"/>
              </w:rPr>
              <w:t>(UIT</w:t>
            </w:r>
            <w:r w:rsidRPr="00F9410F">
              <w:rPr>
                <w:sz w:val="24"/>
                <w:szCs w:val="24"/>
                <w:lang w:val="es-ES" w:eastAsia="ja-JP"/>
              </w:rPr>
              <w:noBreakHyphen/>
              <w:t>R)</w:t>
            </w:r>
          </w:p>
        </w:tc>
      </w:tr>
      <w:tr w:rsidR="00C00643" w:rsidRPr="00F9410F" w:rsidTr="002F1E53">
        <w:trPr>
          <w:cantSplit/>
          <w:jc w:val="center"/>
        </w:trPr>
        <w:tc>
          <w:tcPr>
            <w:tcW w:w="9639" w:type="dxa"/>
            <w:gridSpan w:val="3"/>
            <w:vAlign w:val="center"/>
          </w:tcPr>
          <w:p w:rsidR="00C00643" w:rsidRPr="00F9410F" w:rsidRDefault="00364C88" w:rsidP="00881D07">
            <w:pPr>
              <w:pStyle w:val="Tablelegend"/>
              <w:rPr>
                <w:iCs/>
                <w:lang w:val="es-ES" w:eastAsia="ja-JP"/>
              </w:rPr>
            </w:pPr>
            <w:r w:rsidRPr="00881D07">
              <w:rPr>
                <w:vertAlign w:val="superscript"/>
                <w:lang w:val="es-ES" w:eastAsia="ja-JP"/>
              </w:rPr>
              <w:t>(*)</w:t>
            </w:r>
            <w:r>
              <w:rPr>
                <w:lang w:val="es-ES" w:eastAsia="ja-JP"/>
              </w:rPr>
              <w:tab/>
            </w:r>
            <w:r w:rsidR="00C00643" w:rsidRPr="00F9410F">
              <w:rPr>
                <w:lang w:val="es-ES" w:eastAsia="ja-JP"/>
              </w:rPr>
              <w:t>Nombrado como sucesor del Sr. A. KLYUCHAREV en la reunión de la Comisión de Estudio 5 de 2012.</w:t>
            </w:r>
          </w:p>
        </w:tc>
      </w:tr>
    </w:tbl>
    <w:p w:rsidR="00C00643" w:rsidRPr="00F9410F" w:rsidRDefault="00C00643" w:rsidP="00287226">
      <w:pPr>
        <w:pStyle w:val="TableNo"/>
        <w:rPr>
          <w:lang w:val="es-ES" w:eastAsia="ja-JP"/>
        </w:rPr>
      </w:pPr>
      <w:r w:rsidRPr="00287226">
        <w:t>cuadro</w:t>
      </w:r>
      <w:r w:rsidRPr="00F9410F">
        <w:rPr>
          <w:lang w:val="es-ES"/>
        </w:rPr>
        <w:t xml:space="preserve"> A1-1</w:t>
      </w:r>
    </w:p>
    <w:p w:rsidR="00C00643" w:rsidRPr="00F9410F" w:rsidRDefault="00C00643" w:rsidP="00C00643">
      <w:pPr>
        <w:pStyle w:val="Tabletitle"/>
        <w:rPr>
          <w:sz w:val="22"/>
          <w:szCs w:val="22"/>
          <w:lang w:val="es-ES" w:eastAsia="ja-JP"/>
        </w:rPr>
      </w:pPr>
      <w:r w:rsidRPr="00F9410F">
        <w:rPr>
          <w:lang w:val="es-ES" w:eastAsia="ja-JP"/>
        </w:rPr>
        <w:t>Estructura y presidencia de los Grupos de Trabajo</w:t>
      </w:r>
      <w:r w:rsidRPr="00F9410F">
        <w:rPr>
          <w:lang w:val="es-ES" w:eastAsia="ja-JP"/>
        </w:rPr>
        <w:br/>
        <w:t>y del Grupo</w:t>
      </w:r>
      <w:r w:rsidRPr="00F9410F">
        <w:rPr>
          <w:lang w:val="es-ES"/>
        </w:rPr>
        <w:t xml:space="preserve"> </w:t>
      </w:r>
      <w:r w:rsidRPr="00F9410F">
        <w:rPr>
          <w:lang w:val="es-ES" w:eastAsia="ja-JP"/>
        </w:rPr>
        <w:t>Mixto de Tareas Especiales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70"/>
        <w:gridCol w:w="1979"/>
      </w:tblGrid>
      <w:tr w:rsidR="00C00643" w:rsidRPr="00F9410F" w:rsidTr="00375633">
        <w:trPr>
          <w:jc w:val="center"/>
        </w:trPr>
        <w:tc>
          <w:tcPr>
            <w:tcW w:w="1980" w:type="dxa"/>
          </w:tcPr>
          <w:p w:rsidR="00C00643" w:rsidRPr="00F9410F" w:rsidRDefault="00C00643" w:rsidP="002F1E53">
            <w:pPr>
              <w:pStyle w:val="Tablehead"/>
              <w:rPr>
                <w:lang w:val="es-ES"/>
              </w:rPr>
            </w:pPr>
          </w:p>
        </w:tc>
        <w:tc>
          <w:tcPr>
            <w:tcW w:w="5670" w:type="dxa"/>
          </w:tcPr>
          <w:p w:rsidR="00C00643" w:rsidRPr="00F9410F" w:rsidRDefault="00C00643" w:rsidP="002F1E53">
            <w:pPr>
              <w:pStyle w:val="Tablehead"/>
              <w:rPr>
                <w:lang w:val="es-ES" w:eastAsia="ja-JP"/>
              </w:rPr>
            </w:pPr>
            <w:r w:rsidRPr="00F9410F">
              <w:rPr>
                <w:lang w:val="es-ES"/>
              </w:rPr>
              <w:t>Cometido o mandato</w:t>
            </w:r>
          </w:p>
        </w:tc>
        <w:tc>
          <w:tcPr>
            <w:tcW w:w="1979" w:type="dxa"/>
          </w:tcPr>
          <w:p w:rsidR="00C00643" w:rsidRPr="00F9410F" w:rsidRDefault="00C00643" w:rsidP="002F1E53">
            <w:pPr>
              <w:pStyle w:val="Tablehead"/>
              <w:rPr>
                <w:lang w:val="es-ES"/>
              </w:rPr>
            </w:pPr>
            <w:r w:rsidRPr="00F9410F">
              <w:rPr>
                <w:lang w:val="es-ES"/>
              </w:rPr>
              <w:t>Presidente</w:t>
            </w:r>
          </w:p>
        </w:tc>
      </w:tr>
      <w:tr w:rsidR="00C00643" w:rsidRPr="00F9410F" w:rsidTr="00375633">
        <w:trPr>
          <w:jc w:val="center"/>
        </w:trPr>
        <w:tc>
          <w:tcPr>
            <w:tcW w:w="1980" w:type="dxa"/>
          </w:tcPr>
          <w:p w:rsidR="00C00643" w:rsidRPr="00F9410F" w:rsidRDefault="00C00643" w:rsidP="002F1E53">
            <w:pPr>
              <w:pStyle w:val="Tabletext"/>
              <w:rPr>
                <w:lang w:val="es-ES"/>
              </w:rPr>
            </w:pPr>
            <w:r w:rsidRPr="00F9410F">
              <w:rPr>
                <w:lang w:val="es-ES"/>
              </w:rPr>
              <w:t>Grupo de Trabajo 5A</w:t>
            </w:r>
          </w:p>
        </w:tc>
        <w:tc>
          <w:tcPr>
            <w:tcW w:w="5670" w:type="dxa"/>
          </w:tcPr>
          <w:p w:rsidR="00C00643" w:rsidRPr="00F9410F" w:rsidRDefault="00C00643" w:rsidP="00364C88">
            <w:pPr>
              <w:pStyle w:val="Tabletext"/>
              <w:spacing w:after="0"/>
              <w:rPr>
                <w:lang w:val="es-ES" w:eastAsia="ja-JP"/>
              </w:rPr>
            </w:pPr>
            <w:r w:rsidRPr="00F9410F">
              <w:rPr>
                <w:lang w:val="es-ES" w:eastAsia="zh-CN"/>
              </w:rPr>
              <w:t>Servicio móvil terrestre por encima de 30 MHz</w:t>
            </w:r>
            <w:r w:rsidRPr="002A2C9F">
              <w:rPr>
                <w:vertAlign w:val="superscript"/>
              </w:rPr>
              <w:t>(*)</w:t>
            </w:r>
            <w:r w:rsidRPr="00F9410F">
              <w:rPr>
                <w:lang w:val="es-ES"/>
              </w:rPr>
              <w:t xml:space="preserve"> </w:t>
            </w:r>
            <w:r w:rsidRPr="00F9410F">
              <w:rPr>
                <w:lang w:val="es-ES" w:eastAsia="zh-CN"/>
              </w:rPr>
              <w:t>(excluidas las IMT); acceso inalámbrico en el servicio fijo</w:t>
            </w:r>
            <w:r w:rsidRPr="00F9410F">
              <w:rPr>
                <w:lang w:val="es-ES" w:eastAsia="ja-JP"/>
              </w:rPr>
              <w:t xml:space="preserve"> (véase también</w:t>
            </w:r>
            <w:r w:rsidR="00364C88">
              <w:rPr>
                <w:lang w:val="es-ES" w:eastAsia="ja-JP"/>
              </w:rPr>
              <w:t> </w:t>
            </w:r>
            <w:r w:rsidRPr="00F9410F">
              <w:rPr>
                <w:bCs/>
                <w:lang w:val="es-ES" w:eastAsia="ja-JP"/>
              </w:rPr>
              <w:t>2.6</w:t>
            </w:r>
            <w:r w:rsidRPr="00F9410F">
              <w:rPr>
                <w:lang w:val="es-ES" w:eastAsia="ja-JP"/>
              </w:rPr>
              <w:t>);</w:t>
            </w:r>
            <w:r w:rsidRPr="00F9410F">
              <w:rPr>
                <w:lang w:val="es-ES"/>
              </w:rPr>
              <w:t xml:space="preserve"> </w:t>
            </w:r>
            <w:r w:rsidR="00364C88">
              <w:rPr>
                <w:lang w:val="es-ES"/>
              </w:rPr>
              <w:t>s</w:t>
            </w:r>
            <w:r w:rsidRPr="00F9410F">
              <w:rPr>
                <w:lang w:val="es-ES"/>
              </w:rPr>
              <w:t>ervicios de aficionados y de aficionados por satélite</w:t>
            </w:r>
          </w:p>
        </w:tc>
        <w:tc>
          <w:tcPr>
            <w:tcW w:w="1979" w:type="dxa"/>
          </w:tcPr>
          <w:p w:rsidR="00C00643" w:rsidRPr="00F9410F" w:rsidRDefault="00C00643" w:rsidP="002F1E53">
            <w:pPr>
              <w:pStyle w:val="Tabletext"/>
              <w:rPr>
                <w:lang w:val="es-ES"/>
              </w:rPr>
            </w:pPr>
            <w:r w:rsidRPr="00F9410F">
              <w:rPr>
                <w:lang w:val="es-ES"/>
              </w:rPr>
              <w:t>J. Costa (CAN)</w:t>
            </w:r>
          </w:p>
        </w:tc>
      </w:tr>
      <w:tr w:rsidR="00C00643" w:rsidRPr="00F9410F" w:rsidTr="00375633">
        <w:trPr>
          <w:jc w:val="center"/>
        </w:trPr>
        <w:tc>
          <w:tcPr>
            <w:tcW w:w="1980" w:type="dxa"/>
          </w:tcPr>
          <w:p w:rsidR="00C00643" w:rsidRPr="00F9410F" w:rsidRDefault="00C00643" w:rsidP="002F1E53">
            <w:pPr>
              <w:pStyle w:val="Tabletext"/>
              <w:rPr>
                <w:lang w:val="es-ES"/>
              </w:rPr>
            </w:pPr>
            <w:r w:rsidRPr="00F9410F">
              <w:rPr>
                <w:lang w:val="es-ES"/>
              </w:rPr>
              <w:t>Grupo de Trabajo 5B</w:t>
            </w:r>
          </w:p>
        </w:tc>
        <w:tc>
          <w:tcPr>
            <w:tcW w:w="5670" w:type="dxa"/>
          </w:tcPr>
          <w:p w:rsidR="00C00643" w:rsidRPr="00F9410F" w:rsidRDefault="00C00643" w:rsidP="002F1E53">
            <w:pPr>
              <w:pStyle w:val="Tabletext"/>
              <w:spacing w:after="0"/>
              <w:rPr>
                <w:lang w:val="es-ES"/>
              </w:rPr>
            </w:pPr>
            <w:r w:rsidRPr="00F9410F">
              <w:rPr>
                <w:lang w:val="es-ES" w:eastAsia="zh-CN"/>
              </w:rPr>
              <w:t>Servicio móvil marítimo, incluido el sistema mundial de socorro y seguridad marítimos (SMSSM); servicio móvil aeronáutico, y servicio de radiodeterminación</w:t>
            </w:r>
          </w:p>
        </w:tc>
        <w:tc>
          <w:tcPr>
            <w:tcW w:w="1979" w:type="dxa"/>
          </w:tcPr>
          <w:p w:rsidR="00C00643" w:rsidRPr="00F9410F" w:rsidRDefault="00C00643" w:rsidP="002F1E53">
            <w:pPr>
              <w:pStyle w:val="Tabletext"/>
              <w:rPr>
                <w:lang w:val="es-ES"/>
              </w:rPr>
            </w:pPr>
            <w:r w:rsidRPr="00F9410F">
              <w:rPr>
                <w:lang w:val="es-ES"/>
              </w:rPr>
              <w:t>J. Mettrop (UK)</w:t>
            </w:r>
            <w:r w:rsidRPr="00F9410F">
              <w:rPr>
                <w:lang w:val="es-ES" w:eastAsia="ja-JP"/>
              </w:rPr>
              <w:t xml:space="preserve"> </w:t>
            </w:r>
          </w:p>
        </w:tc>
      </w:tr>
      <w:tr w:rsidR="00C00643" w:rsidRPr="00F9410F" w:rsidTr="00375633">
        <w:trPr>
          <w:jc w:val="center"/>
        </w:trPr>
        <w:tc>
          <w:tcPr>
            <w:tcW w:w="1980" w:type="dxa"/>
          </w:tcPr>
          <w:p w:rsidR="00C00643" w:rsidRPr="00F9410F" w:rsidRDefault="00C00643" w:rsidP="002F1E53">
            <w:pPr>
              <w:pStyle w:val="Tabletext"/>
              <w:rPr>
                <w:lang w:val="es-ES"/>
              </w:rPr>
            </w:pPr>
            <w:r w:rsidRPr="00F9410F">
              <w:rPr>
                <w:lang w:val="es-ES"/>
              </w:rPr>
              <w:t>Grupo de Trabajo 5C</w:t>
            </w:r>
          </w:p>
        </w:tc>
        <w:tc>
          <w:tcPr>
            <w:tcW w:w="5670" w:type="dxa"/>
          </w:tcPr>
          <w:p w:rsidR="00C00643" w:rsidRPr="00F9410F" w:rsidRDefault="00C00643" w:rsidP="002F1E53">
            <w:pPr>
              <w:pStyle w:val="Tabletext"/>
              <w:spacing w:after="0"/>
              <w:rPr>
                <w:lang w:val="es-ES"/>
              </w:rPr>
            </w:pPr>
            <w:r w:rsidRPr="00F9410F">
              <w:rPr>
                <w:lang w:val="es-ES" w:eastAsia="zh-CN"/>
              </w:rPr>
              <w:t>Sistemas fijos inalámbricos; sistemas por ondas decamétricas y otros sistemas por debajo de 30 MHz en los servicios fijo y móvil terrestre</w:t>
            </w:r>
          </w:p>
        </w:tc>
        <w:tc>
          <w:tcPr>
            <w:tcW w:w="1979" w:type="dxa"/>
          </w:tcPr>
          <w:p w:rsidR="00C00643" w:rsidRPr="00F9410F" w:rsidRDefault="00C00643" w:rsidP="002F1E53">
            <w:pPr>
              <w:pStyle w:val="Tabletext"/>
              <w:rPr>
                <w:lang w:val="es-ES"/>
              </w:rPr>
            </w:pPr>
            <w:r w:rsidRPr="00F9410F">
              <w:rPr>
                <w:lang w:val="es-ES"/>
              </w:rPr>
              <w:t>C. Glass (USA)</w:t>
            </w:r>
          </w:p>
        </w:tc>
      </w:tr>
      <w:tr w:rsidR="00C00643" w:rsidRPr="00F9410F" w:rsidTr="00375633">
        <w:trPr>
          <w:jc w:val="center"/>
        </w:trPr>
        <w:tc>
          <w:tcPr>
            <w:tcW w:w="1980" w:type="dxa"/>
          </w:tcPr>
          <w:p w:rsidR="00C00643" w:rsidRPr="00F9410F" w:rsidRDefault="00C00643" w:rsidP="002F1E53">
            <w:pPr>
              <w:pStyle w:val="Tabletext"/>
              <w:rPr>
                <w:lang w:val="es-ES"/>
              </w:rPr>
            </w:pPr>
            <w:r w:rsidRPr="00F9410F">
              <w:rPr>
                <w:lang w:val="es-ES"/>
              </w:rPr>
              <w:t>Grupo de Trabajo 5D</w:t>
            </w:r>
          </w:p>
        </w:tc>
        <w:tc>
          <w:tcPr>
            <w:tcW w:w="5670" w:type="dxa"/>
          </w:tcPr>
          <w:p w:rsidR="00C00643" w:rsidRPr="00F9410F" w:rsidRDefault="00C00643" w:rsidP="002F1E53">
            <w:pPr>
              <w:pStyle w:val="Tabletext"/>
              <w:spacing w:after="0"/>
              <w:rPr>
                <w:lang w:val="es-ES"/>
              </w:rPr>
            </w:pPr>
            <w:r w:rsidRPr="00F9410F">
              <w:rPr>
                <w:lang w:val="es-ES"/>
              </w:rPr>
              <w:t>Sistemas IMT</w:t>
            </w:r>
          </w:p>
        </w:tc>
        <w:tc>
          <w:tcPr>
            <w:tcW w:w="1979" w:type="dxa"/>
          </w:tcPr>
          <w:p w:rsidR="00C00643" w:rsidRPr="00F9410F" w:rsidRDefault="00C00643" w:rsidP="002F1E53">
            <w:pPr>
              <w:pStyle w:val="Tabletext"/>
              <w:rPr>
                <w:lang w:val="es-ES"/>
              </w:rPr>
            </w:pPr>
            <w:r w:rsidRPr="00F9410F">
              <w:rPr>
                <w:lang w:val="es-ES"/>
              </w:rPr>
              <w:t>S. Blust (AT&amp;T)</w:t>
            </w:r>
          </w:p>
        </w:tc>
      </w:tr>
      <w:tr w:rsidR="00C00643" w:rsidRPr="00740256" w:rsidTr="00375633">
        <w:trPr>
          <w:jc w:val="center"/>
        </w:trPr>
        <w:tc>
          <w:tcPr>
            <w:tcW w:w="1980" w:type="dxa"/>
            <w:tcBorders>
              <w:bottom w:val="single" w:sz="4" w:space="0" w:color="auto"/>
            </w:tcBorders>
          </w:tcPr>
          <w:p w:rsidR="00C00643" w:rsidRPr="00F9410F" w:rsidRDefault="00C00643" w:rsidP="002F1E53">
            <w:pPr>
              <w:pStyle w:val="Tabletext"/>
              <w:rPr>
                <w:lang w:val="es-ES" w:eastAsia="ja-JP"/>
              </w:rPr>
            </w:pPr>
            <w:r w:rsidRPr="00F9410F">
              <w:rPr>
                <w:lang w:val="es-ES"/>
              </w:rPr>
              <w:t xml:space="preserve">Grupo Mixto de Tareas Especiales </w:t>
            </w:r>
            <w:r w:rsidRPr="00F9410F">
              <w:rPr>
                <w:lang w:val="es-ES" w:eastAsia="ja-JP"/>
              </w:rPr>
              <w:t>4</w:t>
            </w:r>
            <w:r w:rsidRPr="00F9410F">
              <w:rPr>
                <w:lang w:val="es-ES" w:eastAsia="ja-JP"/>
              </w:rPr>
              <w:noBreakHyphen/>
              <w:t>5</w:t>
            </w:r>
            <w:r w:rsidRPr="00F9410F">
              <w:rPr>
                <w:lang w:val="es-ES" w:eastAsia="ja-JP"/>
              </w:rPr>
              <w:noBreakHyphen/>
              <w:t>6</w:t>
            </w:r>
            <w:r w:rsidRPr="00F9410F">
              <w:rPr>
                <w:lang w:val="es-ES"/>
              </w:rPr>
              <w:t>-</w:t>
            </w:r>
            <w:r w:rsidRPr="00F9410F">
              <w:rPr>
                <w:lang w:val="es-ES" w:eastAsia="ja-JP"/>
              </w:rPr>
              <w:t>7</w:t>
            </w:r>
          </w:p>
        </w:tc>
        <w:tc>
          <w:tcPr>
            <w:tcW w:w="5670" w:type="dxa"/>
            <w:tcBorders>
              <w:bottom w:val="single" w:sz="4" w:space="0" w:color="auto"/>
            </w:tcBorders>
          </w:tcPr>
          <w:p w:rsidR="00C00643" w:rsidRPr="00E41D16" w:rsidRDefault="00E41D16" w:rsidP="00E41D16">
            <w:pPr>
              <w:pStyle w:val="Tabletext"/>
              <w:ind w:left="284" w:hanging="284"/>
              <w:rPr>
                <w:lang w:val="es-ES" w:eastAsia="ja-JP"/>
              </w:rPr>
            </w:pPr>
            <w:r>
              <w:rPr>
                <w:lang w:val="es-ES" w:eastAsia="ja-JP"/>
              </w:rPr>
              <w:t>–</w:t>
            </w:r>
            <w:r>
              <w:rPr>
                <w:lang w:val="es-ES" w:eastAsia="ja-JP"/>
              </w:rPr>
              <w:tab/>
            </w:r>
            <w:r w:rsidR="00C00643" w:rsidRPr="00F9410F">
              <w:rPr>
                <w:lang w:val="es-ES" w:eastAsia="ja-JP"/>
              </w:rPr>
              <w:t xml:space="preserve">Realizar estudios de compartición/compatibilidad entre el servicio móvil (IMT) y otros servicios, de acuerdo con las Resoluciones </w:t>
            </w:r>
            <w:r w:rsidR="00C00643" w:rsidRPr="00E41D16">
              <w:rPr>
                <w:rFonts w:hAnsi="Times New Roman Bold"/>
                <w:bCs/>
                <w:lang w:val="es-ES"/>
              </w:rPr>
              <w:t>232</w:t>
            </w:r>
            <w:r w:rsidR="00C00643" w:rsidRPr="00E41D16">
              <w:rPr>
                <w:lang w:val="es-ES"/>
              </w:rPr>
              <w:t xml:space="preserve"> (CMR-12) y </w:t>
            </w:r>
            <w:r w:rsidR="00C00643" w:rsidRPr="00E41D16">
              <w:rPr>
                <w:rFonts w:hAnsi="Times New Roman Bold"/>
                <w:bCs/>
                <w:lang w:val="es-ES"/>
              </w:rPr>
              <w:t>233</w:t>
            </w:r>
            <w:r w:rsidR="00C00643" w:rsidRPr="00E41D16">
              <w:rPr>
                <w:bCs/>
                <w:lang w:val="es-ES"/>
              </w:rPr>
              <w:t xml:space="preserve"> </w:t>
            </w:r>
            <w:r w:rsidR="00C00643" w:rsidRPr="00E41D16">
              <w:rPr>
                <w:lang w:val="es-ES"/>
              </w:rPr>
              <w:t>(CMR-12)</w:t>
            </w:r>
          </w:p>
          <w:p w:rsidR="00C00643" w:rsidRPr="00F9410F" w:rsidRDefault="00E41D16" w:rsidP="00E41D16">
            <w:pPr>
              <w:pStyle w:val="Tabletext"/>
              <w:ind w:left="284" w:hanging="284"/>
              <w:rPr>
                <w:lang w:val="es-ES" w:eastAsia="ja-JP"/>
              </w:rPr>
            </w:pPr>
            <w:r>
              <w:rPr>
                <w:lang w:val="es-ES" w:eastAsia="ja-JP"/>
              </w:rPr>
              <w:t>–</w:t>
            </w:r>
            <w:r>
              <w:rPr>
                <w:lang w:val="es-ES" w:eastAsia="ja-JP"/>
              </w:rPr>
              <w:tab/>
            </w:r>
            <w:r w:rsidR="00C00643" w:rsidRPr="00F9410F">
              <w:rPr>
                <w:lang w:val="es-ES" w:eastAsia="ja-JP"/>
              </w:rPr>
              <w:t xml:space="preserve">Elaborar el proyecto de texto para el </w:t>
            </w:r>
            <w:r>
              <w:rPr>
                <w:lang w:val="es-ES" w:eastAsia="ja-JP"/>
              </w:rPr>
              <w:t>I</w:t>
            </w:r>
            <w:r w:rsidR="00C00643" w:rsidRPr="00F9410F">
              <w:rPr>
                <w:lang w:val="es-ES" w:eastAsia="ja-JP"/>
              </w:rPr>
              <w:t>nforme de la RPC correspondiente a los puntos 1.1 y 1.2 del orden del día de la CMR-15</w:t>
            </w:r>
          </w:p>
        </w:tc>
        <w:tc>
          <w:tcPr>
            <w:tcW w:w="1979" w:type="dxa"/>
            <w:tcBorders>
              <w:bottom w:val="single" w:sz="4" w:space="0" w:color="auto"/>
            </w:tcBorders>
          </w:tcPr>
          <w:p w:rsidR="00C00643" w:rsidRPr="00740256" w:rsidRDefault="00C00643" w:rsidP="002F1E53">
            <w:pPr>
              <w:pStyle w:val="Tabletext"/>
              <w:spacing w:before="120"/>
              <w:rPr>
                <w:lang w:val="en-GB"/>
              </w:rPr>
            </w:pPr>
            <w:r w:rsidRPr="00A07CD7">
              <w:rPr>
                <w:lang w:val="en-US" w:eastAsia="ja-JP"/>
              </w:rPr>
              <w:t xml:space="preserve">T. Ewers (D) </w:t>
            </w:r>
            <w:r w:rsidRPr="00740256">
              <w:rPr>
                <w:vertAlign w:val="superscript"/>
                <w:lang w:val="en-GB"/>
              </w:rPr>
              <w:t>(**)</w:t>
            </w:r>
          </w:p>
          <w:p w:rsidR="00C00643" w:rsidRPr="00A07CD7" w:rsidRDefault="00C00643" w:rsidP="002F1E53">
            <w:pPr>
              <w:pStyle w:val="Tabletext"/>
              <w:rPr>
                <w:lang w:val="en-US" w:eastAsia="ja-JP"/>
              </w:rPr>
            </w:pPr>
            <w:r w:rsidRPr="00A07CD7">
              <w:rPr>
                <w:lang w:val="en-US" w:eastAsia="ja-JP"/>
              </w:rPr>
              <w:t xml:space="preserve">M. Fenton (UK) </w:t>
            </w:r>
            <w:r w:rsidRPr="00740256">
              <w:rPr>
                <w:vertAlign w:val="superscript"/>
                <w:lang w:val="en-GB"/>
              </w:rPr>
              <w:t>(***)</w:t>
            </w:r>
          </w:p>
        </w:tc>
      </w:tr>
      <w:tr w:rsidR="00C00643" w:rsidRPr="00F9410F" w:rsidTr="002F1E53">
        <w:trPr>
          <w:jc w:val="center"/>
        </w:trPr>
        <w:tc>
          <w:tcPr>
            <w:tcW w:w="9629" w:type="dxa"/>
            <w:gridSpan w:val="3"/>
            <w:tcBorders>
              <w:top w:val="single" w:sz="4" w:space="0" w:color="auto"/>
              <w:left w:val="nil"/>
              <w:bottom w:val="nil"/>
              <w:right w:val="nil"/>
            </w:tcBorders>
          </w:tcPr>
          <w:p w:rsidR="00C00643" w:rsidRPr="00F9410F" w:rsidRDefault="00C00643" w:rsidP="00375633">
            <w:pPr>
              <w:pStyle w:val="Tablelegend"/>
              <w:tabs>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26"/>
              </w:tabs>
              <w:rPr>
                <w:lang w:val="es-ES" w:eastAsia="ja-JP"/>
              </w:rPr>
            </w:pPr>
            <w:r w:rsidRPr="002A2C9F">
              <w:rPr>
                <w:vertAlign w:val="superscript"/>
              </w:rPr>
              <w:t>(*</w:t>
            </w:r>
            <w:r w:rsidR="00287226" w:rsidRPr="002A2C9F">
              <w:rPr>
                <w:vertAlign w:val="superscript"/>
              </w:rPr>
              <w:t>)</w:t>
            </w:r>
            <w:r w:rsidR="00287226">
              <w:rPr>
                <w:lang w:val="es-ES"/>
              </w:rPr>
              <w:tab/>
            </w:r>
            <w:r w:rsidRPr="00F9410F">
              <w:rPr>
                <w:lang w:val="es-ES"/>
              </w:rPr>
              <w:t xml:space="preserve">Incluida la frecuencia exacta de </w:t>
            </w:r>
            <w:r w:rsidRPr="00F9410F">
              <w:rPr>
                <w:rFonts w:eastAsia="MS PGothic"/>
                <w:lang w:val="es-ES" w:eastAsia="ja-JP"/>
              </w:rPr>
              <w:t>30 MHz.</w:t>
            </w:r>
            <w:r w:rsidR="00287226">
              <w:rPr>
                <w:rFonts w:eastAsia="MS PGothic"/>
                <w:lang w:val="es-ES" w:eastAsia="ja-JP"/>
              </w:rPr>
              <w:br/>
            </w:r>
            <w:r w:rsidRPr="002A2C9F">
              <w:rPr>
                <w:vertAlign w:val="superscript"/>
                <w:lang w:val="es-ES"/>
              </w:rPr>
              <w:t>(</w:t>
            </w:r>
            <w:r w:rsidRPr="002A2C9F">
              <w:rPr>
                <w:vertAlign w:val="superscript"/>
                <w:lang w:val="es-ES" w:eastAsia="ja-JP"/>
              </w:rPr>
              <w:t>*</w:t>
            </w:r>
            <w:r w:rsidRPr="002A2C9F">
              <w:rPr>
                <w:vertAlign w:val="superscript"/>
                <w:lang w:val="es-ES"/>
              </w:rPr>
              <w:t>*)</w:t>
            </w:r>
            <w:r w:rsidR="00287226">
              <w:rPr>
                <w:lang w:val="es-ES" w:eastAsia="ja-JP"/>
              </w:rPr>
              <w:tab/>
            </w:r>
            <w:r w:rsidRPr="00F9410F">
              <w:rPr>
                <w:lang w:val="es-ES" w:eastAsia="ja-JP"/>
              </w:rPr>
              <w:t>De julio de 2012 a noviembre de 2012.</w:t>
            </w:r>
            <w:r w:rsidR="00287226">
              <w:rPr>
                <w:lang w:val="es-ES" w:eastAsia="ja-JP"/>
              </w:rPr>
              <w:br/>
            </w:r>
            <w:r w:rsidRPr="002A2C9F">
              <w:rPr>
                <w:vertAlign w:val="superscript"/>
                <w:lang w:val="es-ES" w:eastAsia="ja-JP"/>
              </w:rPr>
              <w:t>(***)</w:t>
            </w:r>
            <w:r w:rsidR="00287226">
              <w:rPr>
                <w:lang w:val="es-ES" w:eastAsia="ja-JP"/>
              </w:rPr>
              <w:tab/>
            </w:r>
            <w:r w:rsidRPr="00F9410F">
              <w:rPr>
                <w:lang w:val="es-ES" w:eastAsia="ja-JP"/>
              </w:rPr>
              <w:t>De julio 2013 a julio de 2014.</w:t>
            </w:r>
          </w:p>
        </w:tc>
      </w:tr>
    </w:tbl>
    <w:p w:rsidR="00C00643" w:rsidRPr="00F9410F" w:rsidRDefault="00C00643" w:rsidP="002A2C9F">
      <w:pPr>
        <w:pStyle w:val="TableNo"/>
        <w:rPr>
          <w:lang w:val="es-ES" w:eastAsia="ja-JP"/>
        </w:rPr>
      </w:pPr>
      <w:r w:rsidRPr="00F9410F">
        <w:rPr>
          <w:lang w:val="es-ES" w:eastAsia="ja-JP"/>
        </w:rPr>
        <w:br w:type="page"/>
      </w:r>
      <w:r w:rsidRPr="002A2C9F">
        <w:lastRenderedPageBreak/>
        <w:t>cuadro</w:t>
      </w:r>
      <w:r w:rsidRPr="00F9410F">
        <w:rPr>
          <w:lang w:val="es-ES"/>
        </w:rPr>
        <w:t xml:space="preserve"> A1-2</w:t>
      </w:r>
    </w:p>
    <w:p w:rsidR="00C00643" w:rsidRPr="00F9410F" w:rsidRDefault="00C00643" w:rsidP="002A2C9F">
      <w:pPr>
        <w:pStyle w:val="Tabletitle"/>
        <w:rPr>
          <w:lang w:val="es-ES" w:eastAsia="ja-JP"/>
        </w:rPr>
      </w:pPr>
      <w:r w:rsidRPr="00F9410F">
        <w:rPr>
          <w:lang w:val="es-ES" w:eastAsia="ja-JP"/>
        </w:rPr>
        <w:t>Reuniones de la Comisión de Estudio 5 y sus Grupos de Trabajo,</w:t>
      </w:r>
      <w:r w:rsidRPr="00F9410F">
        <w:rPr>
          <w:lang w:val="es-ES" w:eastAsia="ja-JP"/>
        </w:rPr>
        <w:br/>
        <w:t>incluido el Grupo Mixto de Tareas Especiales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2977"/>
        <w:gridCol w:w="1559"/>
      </w:tblGrid>
      <w:tr w:rsidR="00C00643" w:rsidRPr="002A2C9F" w:rsidTr="002A2C9F">
        <w:trPr>
          <w:jc w:val="center"/>
        </w:trPr>
        <w:tc>
          <w:tcPr>
            <w:tcW w:w="4815" w:type="dxa"/>
          </w:tcPr>
          <w:p w:rsidR="00C00643" w:rsidRPr="002A2C9F" w:rsidRDefault="00C00643" w:rsidP="002F1E53">
            <w:pPr>
              <w:pStyle w:val="Tablehead"/>
              <w:rPr>
                <w:lang w:val="es-ES" w:eastAsia="ja-JP"/>
              </w:rPr>
            </w:pPr>
            <w:r w:rsidRPr="002A2C9F">
              <w:rPr>
                <w:lang w:val="es-ES" w:eastAsia="ja-JP"/>
              </w:rPr>
              <w:t>Reuniones</w:t>
            </w:r>
          </w:p>
        </w:tc>
        <w:tc>
          <w:tcPr>
            <w:tcW w:w="2977" w:type="dxa"/>
          </w:tcPr>
          <w:p w:rsidR="00C00643" w:rsidRPr="002A2C9F" w:rsidRDefault="00C00643" w:rsidP="002F1E53">
            <w:pPr>
              <w:pStyle w:val="Tablehead"/>
              <w:rPr>
                <w:lang w:val="es-ES" w:eastAsia="ja-JP"/>
              </w:rPr>
            </w:pPr>
            <w:r w:rsidRPr="002A2C9F">
              <w:rPr>
                <w:lang w:val="es-ES" w:eastAsia="ja-JP"/>
              </w:rPr>
              <w:t>Fecha</w:t>
            </w:r>
          </w:p>
        </w:tc>
        <w:tc>
          <w:tcPr>
            <w:tcW w:w="1559" w:type="dxa"/>
          </w:tcPr>
          <w:p w:rsidR="00C00643" w:rsidRPr="002A2C9F" w:rsidRDefault="00C00643" w:rsidP="002F1E53">
            <w:pPr>
              <w:pStyle w:val="Tablehead"/>
              <w:rPr>
                <w:lang w:val="es-ES" w:eastAsia="ja-JP"/>
              </w:rPr>
            </w:pPr>
            <w:r w:rsidRPr="002A2C9F">
              <w:rPr>
                <w:lang w:val="es-ES" w:eastAsia="ja-JP"/>
              </w:rPr>
              <w:t>Lugar</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9 Bloque de Grupos de trabajo 5A, 5B y 5C</w:t>
            </w:r>
          </w:p>
        </w:tc>
        <w:tc>
          <w:tcPr>
            <w:tcW w:w="2977" w:type="dxa"/>
          </w:tcPr>
          <w:p w:rsidR="00C00643" w:rsidRPr="002A2C9F" w:rsidRDefault="00C00643" w:rsidP="002A2C9F">
            <w:pPr>
              <w:pStyle w:val="Tabletext"/>
              <w:rPr>
                <w:lang w:val="es-ES" w:eastAsia="ja-JP"/>
              </w:rPr>
            </w:pPr>
            <w:r w:rsidRPr="002A2C9F">
              <w:rPr>
                <w:lang w:val="es-ES" w:eastAsia="ja-JP"/>
              </w:rPr>
              <w:t xml:space="preserve">22 de mayo </w:t>
            </w:r>
            <w:r w:rsidR="002A2C9F" w:rsidRPr="002A2C9F">
              <w:rPr>
                <w:lang w:val="es-ES"/>
              </w:rPr>
              <w:t>–</w:t>
            </w:r>
            <w:r w:rsidRPr="002A2C9F">
              <w:rPr>
                <w:lang w:val="es-ES"/>
              </w:rPr>
              <w:t xml:space="preserve"> 1</w:t>
            </w:r>
            <w:r w:rsidRPr="002A2C9F">
              <w:rPr>
                <w:lang w:val="es-ES" w:eastAsia="ja-JP"/>
              </w:rPr>
              <w:t xml:space="preserve"> de junio de </w:t>
            </w:r>
            <w:r w:rsidRPr="002A2C9F">
              <w:rPr>
                <w:lang w:val="es-ES"/>
              </w:rPr>
              <w:t>20</w:t>
            </w:r>
            <w:r w:rsidRPr="002A2C9F">
              <w:rPr>
                <w:lang w:val="es-ES" w:eastAsia="ja-JP"/>
              </w:rPr>
              <w:t>12</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13 Grupo de Trabajo 5D</w:t>
            </w:r>
          </w:p>
        </w:tc>
        <w:tc>
          <w:tcPr>
            <w:tcW w:w="2977" w:type="dxa"/>
          </w:tcPr>
          <w:p w:rsidR="00C00643" w:rsidRPr="002A2C9F" w:rsidRDefault="00C00643" w:rsidP="002F1E53">
            <w:pPr>
              <w:pStyle w:val="Tabletext"/>
              <w:rPr>
                <w:lang w:val="es-ES" w:eastAsia="ja-JP"/>
              </w:rPr>
            </w:pPr>
            <w:r w:rsidRPr="002A2C9F">
              <w:rPr>
                <w:lang w:val="es-ES"/>
              </w:rPr>
              <w:t>16-20 de julio de 2012</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 Grupo Mixto de Tareas Especiales 4-5-6-7</w:t>
            </w:r>
          </w:p>
        </w:tc>
        <w:tc>
          <w:tcPr>
            <w:tcW w:w="2977" w:type="dxa"/>
          </w:tcPr>
          <w:p w:rsidR="00C00643" w:rsidRPr="002A2C9F" w:rsidRDefault="00C00643" w:rsidP="002F1E53">
            <w:pPr>
              <w:pStyle w:val="Tabletext"/>
              <w:rPr>
                <w:lang w:val="es-ES" w:eastAsia="ja-JP"/>
              </w:rPr>
            </w:pPr>
            <w:r w:rsidRPr="002A2C9F">
              <w:rPr>
                <w:lang w:val="es-ES"/>
              </w:rPr>
              <w:t>2</w:t>
            </w:r>
            <w:r w:rsidRPr="002A2C9F">
              <w:rPr>
                <w:lang w:val="es-ES" w:eastAsia="ja-JP"/>
              </w:rPr>
              <w:t>3-27</w:t>
            </w:r>
            <w:r w:rsidRPr="002A2C9F">
              <w:rPr>
                <w:lang w:val="es-ES"/>
              </w:rPr>
              <w:t xml:space="preserve"> de julio de 20</w:t>
            </w:r>
            <w:r w:rsidRPr="002A2C9F">
              <w:rPr>
                <w:lang w:val="es-ES" w:eastAsia="ja-JP"/>
              </w:rPr>
              <w:t>12</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14 Grupo de Trabajo 5D</w:t>
            </w:r>
          </w:p>
        </w:tc>
        <w:tc>
          <w:tcPr>
            <w:tcW w:w="2977" w:type="dxa"/>
          </w:tcPr>
          <w:p w:rsidR="00C00643" w:rsidRPr="002A2C9F" w:rsidRDefault="00C00643" w:rsidP="002F1E53">
            <w:pPr>
              <w:pStyle w:val="Tabletext"/>
              <w:rPr>
                <w:lang w:val="es-ES" w:eastAsia="ja-JP"/>
              </w:rPr>
            </w:pPr>
            <w:r w:rsidRPr="002A2C9F">
              <w:rPr>
                <w:lang w:val="es-ES"/>
              </w:rPr>
              <w:t>3-11 de octubre de 2012</w:t>
            </w:r>
          </w:p>
        </w:tc>
        <w:tc>
          <w:tcPr>
            <w:tcW w:w="1559" w:type="dxa"/>
          </w:tcPr>
          <w:p w:rsidR="00C00643" w:rsidRPr="002A2C9F" w:rsidRDefault="00C00643" w:rsidP="002F1E53">
            <w:pPr>
              <w:pStyle w:val="Tabletext"/>
              <w:rPr>
                <w:lang w:val="es-ES" w:eastAsia="ja-JP"/>
              </w:rPr>
            </w:pPr>
            <w:r w:rsidRPr="002A2C9F">
              <w:rPr>
                <w:lang w:val="es-ES"/>
              </w:rPr>
              <w:t>Woodland Hills</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10 Bloque de Grupos de Trabajo 5A, 5B y 5C</w:t>
            </w:r>
          </w:p>
        </w:tc>
        <w:tc>
          <w:tcPr>
            <w:tcW w:w="2977" w:type="dxa"/>
          </w:tcPr>
          <w:p w:rsidR="00C00643" w:rsidRPr="002A2C9F" w:rsidRDefault="00C00643" w:rsidP="002F1E53">
            <w:pPr>
              <w:pStyle w:val="Tabletext"/>
              <w:rPr>
                <w:lang w:val="es-ES" w:eastAsia="ja-JP"/>
              </w:rPr>
            </w:pPr>
            <w:r w:rsidRPr="002A2C9F">
              <w:rPr>
                <w:lang w:val="es-ES" w:eastAsia="ja-JP"/>
              </w:rPr>
              <w:t>5-16</w:t>
            </w:r>
            <w:r w:rsidRPr="002A2C9F">
              <w:rPr>
                <w:lang w:val="es-ES"/>
              </w:rPr>
              <w:t xml:space="preserve"> de noviembre de 20</w:t>
            </w:r>
            <w:r w:rsidRPr="002A2C9F">
              <w:rPr>
                <w:lang w:val="es-ES" w:eastAsia="ja-JP"/>
              </w:rPr>
              <w:t>12</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7 Comisión de Estudio 5</w:t>
            </w:r>
          </w:p>
        </w:tc>
        <w:tc>
          <w:tcPr>
            <w:tcW w:w="2977" w:type="dxa"/>
          </w:tcPr>
          <w:p w:rsidR="00C00643" w:rsidRPr="002A2C9F" w:rsidRDefault="00C00643" w:rsidP="002F1E53">
            <w:pPr>
              <w:pStyle w:val="Tabletext"/>
              <w:rPr>
                <w:lang w:val="es-ES" w:eastAsia="ja-JP"/>
              </w:rPr>
            </w:pPr>
            <w:r w:rsidRPr="002A2C9F">
              <w:rPr>
                <w:lang w:val="es-ES"/>
              </w:rPr>
              <w:t>19 de noviembre de 2012</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2 Grupo Mixto de Tareas Especiales 4-5-6-7</w:t>
            </w:r>
          </w:p>
        </w:tc>
        <w:tc>
          <w:tcPr>
            <w:tcW w:w="2977" w:type="dxa"/>
          </w:tcPr>
          <w:p w:rsidR="00C00643" w:rsidRPr="002A2C9F" w:rsidRDefault="00C00643" w:rsidP="002F1E53">
            <w:pPr>
              <w:pStyle w:val="Tabletext"/>
              <w:rPr>
                <w:lang w:val="es-ES" w:eastAsia="ja-JP"/>
              </w:rPr>
            </w:pPr>
            <w:r w:rsidRPr="002A2C9F">
              <w:rPr>
                <w:lang w:val="es-ES" w:eastAsia="ja-JP"/>
              </w:rPr>
              <w:t>21</w:t>
            </w:r>
            <w:r w:rsidRPr="002A2C9F">
              <w:rPr>
                <w:lang w:val="es-ES"/>
              </w:rPr>
              <w:t>-</w:t>
            </w:r>
            <w:r w:rsidRPr="002A2C9F">
              <w:rPr>
                <w:lang w:val="es-ES" w:eastAsia="ja-JP"/>
              </w:rPr>
              <w:t>28</w:t>
            </w:r>
            <w:r w:rsidRPr="002A2C9F">
              <w:rPr>
                <w:lang w:val="es-ES"/>
              </w:rPr>
              <w:t xml:space="preserve"> de noviembre de 20</w:t>
            </w:r>
            <w:r w:rsidRPr="002A2C9F">
              <w:rPr>
                <w:lang w:val="es-ES" w:eastAsia="ja-JP"/>
              </w:rPr>
              <w:t>12</w:t>
            </w:r>
          </w:p>
        </w:tc>
        <w:tc>
          <w:tcPr>
            <w:tcW w:w="1559" w:type="dxa"/>
          </w:tcPr>
          <w:p w:rsidR="00C00643" w:rsidRPr="002A2C9F" w:rsidRDefault="00C00643" w:rsidP="002F1E53">
            <w:pPr>
              <w:pStyle w:val="Tabletext"/>
              <w:rPr>
                <w:b/>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15 Grupo de Trabajo 5D</w:t>
            </w:r>
          </w:p>
        </w:tc>
        <w:tc>
          <w:tcPr>
            <w:tcW w:w="2977" w:type="dxa"/>
          </w:tcPr>
          <w:p w:rsidR="00C00643" w:rsidRPr="002A2C9F" w:rsidRDefault="00C00643" w:rsidP="002A2C9F">
            <w:pPr>
              <w:pStyle w:val="Tabletext"/>
              <w:rPr>
                <w:lang w:val="es-ES" w:eastAsia="ja-JP"/>
              </w:rPr>
            </w:pPr>
            <w:r w:rsidRPr="002A2C9F">
              <w:rPr>
                <w:lang w:val="es-ES" w:eastAsia="ja-JP"/>
              </w:rPr>
              <w:t xml:space="preserve">3 de enero </w:t>
            </w:r>
            <w:r w:rsidR="002A2C9F">
              <w:rPr>
                <w:lang w:val="es-ES"/>
              </w:rPr>
              <w:t>–</w:t>
            </w:r>
            <w:r w:rsidRPr="002A2C9F">
              <w:rPr>
                <w:lang w:val="es-ES"/>
              </w:rPr>
              <w:t xml:space="preserve"> </w:t>
            </w:r>
            <w:r w:rsidRPr="002A2C9F">
              <w:rPr>
                <w:lang w:val="es-ES" w:eastAsia="ja-JP"/>
              </w:rPr>
              <w:t>6</w:t>
            </w:r>
            <w:r w:rsidRPr="002A2C9F">
              <w:rPr>
                <w:lang w:val="es-ES"/>
              </w:rPr>
              <w:t xml:space="preserve"> de febrero de 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11 Bloque de Grupos de Trabajo 5A, 5B y 5C</w:t>
            </w:r>
          </w:p>
        </w:tc>
        <w:tc>
          <w:tcPr>
            <w:tcW w:w="2977" w:type="dxa"/>
          </w:tcPr>
          <w:p w:rsidR="00C00643" w:rsidRPr="002A2C9F" w:rsidRDefault="00C00643" w:rsidP="002F1E53">
            <w:pPr>
              <w:pStyle w:val="Tabletext"/>
              <w:rPr>
                <w:lang w:val="es-ES" w:eastAsia="ja-JP"/>
              </w:rPr>
            </w:pPr>
            <w:r w:rsidRPr="002A2C9F">
              <w:rPr>
                <w:lang w:val="es-ES" w:eastAsia="ja-JP"/>
              </w:rPr>
              <w:t>20</w:t>
            </w:r>
            <w:r w:rsidRPr="002A2C9F">
              <w:rPr>
                <w:lang w:val="es-ES"/>
              </w:rPr>
              <w:t>-</w:t>
            </w:r>
            <w:r w:rsidRPr="002A2C9F">
              <w:rPr>
                <w:lang w:val="es-ES" w:eastAsia="ja-JP"/>
              </w:rPr>
              <w:t xml:space="preserve">31 </w:t>
            </w:r>
            <w:r w:rsidRPr="002A2C9F">
              <w:rPr>
                <w:lang w:val="es-ES"/>
              </w:rPr>
              <w:t>de mayo de 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16 Grupo de Trabajo 5D</w:t>
            </w:r>
          </w:p>
        </w:tc>
        <w:tc>
          <w:tcPr>
            <w:tcW w:w="2977" w:type="dxa"/>
          </w:tcPr>
          <w:p w:rsidR="00C00643" w:rsidRPr="002A2C9F" w:rsidRDefault="00C00643" w:rsidP="002F1E53">
            <w:pPr>
              <w:pStyle w:val="Tabletext"/>
              <w:rPr>
                <w:lang w:val="es-ES" w:eastAsia="ja-JP"/>
              </w:rPr>
            </w:pPr>
            <w:r w:rsidRPr="002A2C9F">
              <w:rPr>
                <w:lang w:val="es-ES"/>
              </w:rPr>
              <w:t>10</w:t>
            </w:r>
            <w:r w:rsidRPr="002A2C9F">
              <w:rPr>
                <w:lang w:val="es-ES"/>
              </w:rPr>
              <w:noBreakHyphen/>
              <w:t>17 de julio de</w:t>
            </w:r>
            <w:r w:rsidRPr="002A2C9F">
              <w:rPr>
                <w:lang w:val="es-ES" w:eastAsia="ja-JP"/>
              </w:rPr>
              <w:t xml:space="preserve"> </w:t>
            </w:r>
            <w:r w:rsidRPr="002A2C9F">
              <w:rPr>
                <w:lang w:val="es-ES"/>
              </w:rPr>
              <w:t>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Sapporo</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3 Grupo Mixto de Tareas Especiales 4-5-6-7</w:t>
            </w:r>
          </w:p>
        </w:tc>
        <w:tc>
          <w:tcPr>
            <w:tcW w:w="2977" w:type="dxa"/>
          </w:tcPr>
          <w:p w:rsidR="00C00643" w:rsidRPr="002A2C9F" w:rsidRDefault="00C00643" w:rsidP="002F1E53">
            <w:pPr>
              <w:pStyle w:val="Tabletext"/>
              <w:rPr>
                <w:lang w:val="es-ES" w:eastAsia="ja-JP"/>
              </w:rPr>
            </w:pPr>
            <w:r w:rsidRPr="002A2C9F">
              <w:rPr>
                <w:lang w:val="es-ES" w:eastAsia="ja-JP"/>
              </w:rPr>
              <w:t>22</w:t>
            </w:r>
            <w:r w:rsidRPr="002A2C9F">
              <w:rPr>
                <w:lang w:val="es-ES"/>
              </w:rPr>
              <w:t>-</w:t>
            </w:r>
            <w:r w:rsidRPr="002A2C9F">
              <w:rPr>
                <w:lang w:val="es-ES" w:eastAsia="ja-JP"/>
              </w:rPr>
              <w:t>31</w:t>
            </w:r>
            <w:r w:rsidRPr="002A2C9F">
              <w:rPr>
                <w:lang w:val="es-ES"/>
              </w:rPr>
              <w:t xml:space="preserve"> </w:t>
            </w:r>
            <w:r w:rsidRPr="002A2C9F">
              <w:rPr>
                <w:lang w:val="es-ES" w:eastAsia="ja-JP"/>
              </w:rPr>
              <w:t>de julio de</w:t>
            </w:r>
            <w:r w:rsidRPr="002A2C9F">
              <w:rPr>
                <w:lang w:val="es-ES"/>
              </w:rPr>
              <w:t xml:space="preserve"> 20</w:t>
            </w:r>
            <w:r w:rsidRPr="002A2C9F">
              <w:rPr>
                <w:lang w:val="es-ES" w:eastAsia="ja-JP"/>
              </w:rPr>
              <w:t>13</w:t>
            </w:r>
          </w:p>
        </w:tc>
        <w:tc>
          <w:tcPr>
            <w:tcW w:w="1559" w:type="dxa"/>
          </w:tcPr>
          <w:p w:rsidR="00C00643" w:rsidRPr="002A2C9F" w:rsidRDefault="002A2C9F" w:rsidP="002F1E53">
            <w:pPr>
              <w:pStyle w:val="Tabletext"/>
              <w:rPr>
                <w:lang w:val="es-ES" w:eastAsia="ja-JP"/>
              </w:rPr>
            </w:pPr>
            <w:r>
              <w:rPr>
                <w:lang w:val="es-ES" w:eastAsia="ja-JP"/>
              </w:rPr>
              <w:t>E</w:t>
            </w:r>
            <w:r w:rsidR="00C00643" w:rsidRPr="002A2C9F">
              <w:rPr>
                <w:lang w:val="es-ES" w:eastAsia="ja-JP"/>
              </w:rPr>
              <w:t>ste de Londres</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17 Grupo de Trabajo 5D</w:t>
            </w:r>
          </w:p>
        </w:tc>
        <w:tc>
          <w:tcPr>
            <w:tcW w:w="2977" w:type="dxa"/>
          </w:tcPr>
          <w:p w:rsidR="00C00643" w:rsidRPr="002A2C9F" w:rsidRDefault="00C00643" w:rsidP="002F1E53">
            <w:pPr>
              <w:pStyle w:val="Tabletext"/>
              <w:rPr>
                <w:lang w:val="es-ES" w:eastAsia="ja-JP"/>
              </w:rPr>
            </w:pPr>
            <w:r w:rsidRPr="002A2C9F">
              <w:rPr>
                <w:lang w:val="es-ES" w:eastAsia="ja-JP"/>
              </w:rPr>
              <w:t>9</w:t>
            </w:r>
            <w:r w:rsidRPr="002A2C9F">
              <w:rPr>
                <w:lang w:val="es-ES"/>
              </w:rPr>
              <w:t>-</w:t>
            </w:r>
            <w:r w:rsidRPr="002A2C9F">
              <w:rPr>
                <w:lang w:val="es-ES" w:eastAsia="ja-JP"/>
              </w:rPr>
              <w:t>16</w:t>
            </w:r>
            <w:r w:rsidRPr="002A2C9F">
              <w:rPr>
                <w:lang w:val="es-ES"/>
              </w:rPr>
              <w:t xml:space="preserve"> de octubre de 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A2C9F">
            <w:pPr>
              <w:pStyle w:val="Tabletext"/>
              <w:rPr>
                <w:lang w:val="es-ES" w:eastAsia="ja-JP"/>
              </w:rPr>
            </w:pPr>
            <w:r w:rsidRPr="002A2C9F">
              <w:rPr>
                <w:lang w:val="es-ES" w:eastAsia="ja-JP"/>
              </w:rPr>
              <w:t>Número 4 Grupo Mixto de Tareas Especiales 4</w:t>
            </w:r>
            <w:r w:rsidR="002A2C9F" w:rsidRPr="002A2C9F">
              <w:rPr>
                <w:lang w:val="es-ES" w:eastAsia="ja-JP"/>
              </w:rPr>
              <w:noBreakHyphen/>
            </w:r>
            <w:r w:rsidRPr="002A2C9F">
              <w:rPr>
                <w:lang w:val="es-ES" w:eastAsia="ja-JP"/>
              </w:rPr>
              <w:t>5-6-7</w:t>
            </w:r>
          </w:p>
        </w:tc>
        <w:tc>
          <w:tcPr>
            <w:tcW w:w="2977" w:type="dxa"/>
          </w:tcPr>
          <w:p w:rsidR="00C00643" w:rsidRPr="002A2C9F" w:rsidRDefault="00C00643" w:rsidP="002F1E53">
            <w:pPr>
              <w:pStyle w:val="Tabletext"/>
              <w:rPr>
                <w:lang w:val="es-ES" w:eastAsia="ja-JP"/>
              </w:rPr>
            </w:pPr>
            <w:r w:rsidRPr="002A2C9F">
              <w:rPr>
                <w:lang w:val="es-ES" w:eastAsia="ja-JP"/>
              </w:rPr>
              <w:t>17</w:t>
            </w:r>
            <w:r w:rsidRPr="002A2C9F">
              <w:rPr>
                <w:lang w:val="es-ES"/>
              </w:rPr>
              <w:t>-2</w:t>
            </w:r>
            <w:r w:rsidRPr="002A2C9F">
              <w:rPr>
                <w:lang w:val="es-ES" w:eastAsia="ja-JP"/>
              </w:rPr>
              <w:t>5 de octubre de</w:t>
            </w:r>
            <w:r w:rsidRPr="002A2C9F">
              <w:rPr>
                <w:lang w:val="es-ES"/>
              </w:rPr>
              <w:t xml:space="preserve"> 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12 Bloque de Grupos de Trabajo 5A, 5B y 5C</w:t>
            </w:r>
          </w:p>
        </w:tc>
        <w:tc>
          <w:tcPr>
            <w:tcW w:w="2977" w:type="dxa"/>
          </w:tcPr>
          <w:p w:rsidR="00C00643" w:rsidRPr="002A2C9F" w:rsidRDefault="00C00643" w:rsidP="002F1E53">
            <w:pPr>
              <w:pStyle w:val="Tabletext"/>
              <w:rPr>
                <w:lang w:val="es-ES" w:eastAsia="ja-JP"/>
              </w:rPr>
            </w:pPr>
            <w:r w:rsidRPr="002A2C9F">
              <w:rPr>
                <w:lang w:val="es-ES" w:eastAsia="ja-JP"/>
              </w:rPr>
              <w:t>18-29</w:t>
            </w:r>
            <w:r w:rsidRPr="002A2C9F">
              <w:rPr>
                <w:lang w:val="es-ES"/>
              </w:rPr>
              <w:t xml:space="preserve"> de noviembre de 20</w:t>
            </w:r>
            <w:r w:rsidRPr="002A2C9F">
              <w:rPr>
                <w:lang w:val="es-ES" w:eastAsia="ja-JP"/>
              </w:rPr>
              <w:t>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8 Comisión de Estudio 5</w:t>
            </w:r>
          </w:p>
        </w:tc>
        <w:tc>
          <w:tcPr>
            <w:tcW w:w="2977" w:type="dxa"/>
          </w:tcPr>
          <w:p w:rsidR="00C00643" w:rsidRPr="002A2C9F" w:rsidRDefault="00C00643" w:rsidP="002F1E53">
            <w:pPr>
              <w:pStyle w:val="Tabletext"/>
              <w:rPr>
                <w:lang w:val="es-ES" w:eastAsia="ja-JP"/>
              </w:rPr>
            </w:pPr>
            <w:r w:rsidRPr="002A2C9F">
              <w:rPr>
                <w:lang w:val="es-ES"/>
              </w:rPr>
              <w:t>2-3 de diciembre de 2013</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18 Grupo de Trabajo 5D</w:t>
            </w:r>
          </w:p>
        </w:tc>
        <w:tc>
          <w:tcPr>
            <w:tcW w:w="2977" w:type="dxa"/>
          </w:tcPr>
          <w:p w:rsidR="00C00643" w:rsidRPr="002A2C9F" w:rsidRDefault="00C00643" w:rsidP="002F1E53">
            <w:pPr>
              <w:pStyle w:val="Tabletext"/>
              <w:rPr>
                <w:lang w:val="es-ES" w:eastAsia="ja-JP"/>
              </w:rPr>
            </w:pPr>
            <w:r w:rsidRPr="002A2C9F">
              <w:rPr>
                <w:lang w:val="es-ES"/>
              </w:rPr>
              <w:t>1</w:t>
            </w:r>
            <w:r w:rsidRPr="002A2C9F">
              <w:rPr>
                <w:lang w:val="es-ES" w:eastAsia="ja-JP"/>
              </w:rPr>
              <w:t>2</w:t>
            </w:r>
            <w:r w:rsidRPr="002A2C9F">
              <w:rPr>
                <w:lang w:val="es-ES"/>
              </w:rPr>
              <w:t>-</w:t>
            </w:r>
            <w:r w:rsidRPr="002A2C9F">
              <w:rPr>
                <w:lang w:val="es-ES" w:eastAsia="ja-JP"/>
              </w:rPr>
              <w:t>19</w:t>
            </w:r>
            <w:r w:rsidRPr="002A2C9F">
              <w:rPr>
                <w:lang w:val="es-ES"/>
              </w:rPr>
              <w:t xml:space="preserve"> de febrero de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Ho Chi Minh</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5 Grupo Mixto de Tareas Especiales 4-5-6-7</w:t>
            </w:r>
          </w:p>
        </w:tc>
        <w:tc>
          <w:tcPr>
            <w:tcW w:w="2977" w:type="dxa"/>
          </w:tcPr>
          <w:p w:rsidR="00C00643" w:rsidRPr="002A2C9F" w:rsidRDefault="00C00643" w:rsidP="002F1E53">
            <w:pPr>
              <w:pStyle w:val="Tabletext"/>
              <w:rPr>
                <w:lang w:val="es-ES" w:eastAsia="ja-JP"/>
              </w:rPr>
            </w:pPr>
            <w:r w:rsidRPr="002A2C9F">
              <w:rPr>
                <w:lang w:val="es-ES" w:eastAsia="ja-JP"/>
              </w:rPr>
              <w:t>20-28</w:t>
            </w:r>
            <w:r w:rsidRPr="002A2C9F">
              <w:rPr>
                <w:lang w:val="es-ES"/>
              </w:rPr>
              <w:t xml:space="preserve"> </w:t>
            </w:r>
            <w:r w:rsidRPr="002A2C9F">
              <w:rPr>
                <w:lang w:val="es-ES" w:eastAsia="ja-JP"/>
              </w:rPr>
              <w:t>de febrero de</w:t>
            </w:r>
            <w:r w:rsidRPr="002A2C9F">
              <w:rPr>
                <w:lang w:val="es-ES"/>
              </w:rPr>
              <w:t xml:space="preserv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13 Bloque de Grupos de Trabajo 5A, 5B y 5C</w:t>
            </w:r>
          </w:p>
        </w:tc>
        <w:tc>
          <w:tcPr>
            <w:tcW w:w="2977" w:type="dxa"/>
          </w:tcPr>
          <w:p w:rsidR="00C00643" w:rsidRPr="002A2C9F" w:rsidRDefault="00C00643" w:rsidP="002F1E53">
            <w:pPr>
              <w:pStyle w:val="Tabletext"/>
              <w:rPr>
                <w:lang w:val="es-ES" w:eastAsia="ja-JP"/>
              </w:rPr>
            </w:pPr>
            <w:r w:rsidRPr="002A2C9F">
              <w:rPr>
                <w:lang w:val="es-ES" w:eastAsia="ja-JP"/>
              </w:rPr>
              <w:t>19</w:t>
            </w:r>
            <w:r w:rsidRPr="002A2C9F">
              <w:rPr>
                <w:lang w:val="es-ES"/>
              </w:rPr>
              <w:t>-</w:t>
            </w:r>
            <w:r w:rsidRPr="002A2C9F">
              <w:rPr>
                <w:lang w:val="es-ES" w:eastAsia="ja-JP"/>
              </w:rPr>
              <w:t>30</w:t>
            </w:r>
            <w:r w:rsidRPr="002A2C9F">
              <w:rPr>
                <w:lang w:val="es-ES"/>
              </w:rPr>
              <w:t xml:space="preserve"> de mayo de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19 Grupo de Trabajo 5D</w:t>
            </w:r>
          </w:p>
        </w:tc>
        <w:tc>
          <w:tcPr>
            <w:tcW w:w="2977" w:type="dxa"/>
          </w:tcPr>
          <w:p w:rsidR="00C00643" w:rsidRPr="002A2C9F" w:rsidRDefault="00C00643" w:rsidP="002F1E53">
            <w:pPr>
              <w:pStyle w:val="Tabletext"/>
              <w:rPr>
                <w:lang w:val="es-ES" w:eastAsia="ja-JP"/>
              </w:rPr>
            </w:pPr>
            <w:r w:rsidRPr="002A2C9F">
              <w:rPr>
                <w:lang w:val="es-ES" w:eastAsia="ja-JP"/>
              </w:rPr>
              <w:t>18-25</w:t>
            </w:r>
            <w:r w:rsidRPr="002A2C9F">
              <w:rPr>
                <w:lang w:val="es-ES"/>
              </w:rPr>
              <w:t xml:space="preserve"> de junio de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Halifax</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6 Grupo Mixto de Tareas Especiales 4-5-6-7</w:t>
            </w:r>
          </w:p>
        </w:tc>
        <w:tc>
          <w:tcPr>
            <w:tcW w:w="2977" w:type="dxa"/>
          </w:tcPr>
          <w:p w:rsidR="00C00643" w:rsidRPr="002A2C9F" w:rsidRDefault="00C00643" w:rsidP="002F1E53">
            <w:pPr>
              <w:pStyle w:val="Tabletext"/>
              <w:rPr>
                <w:lang w:val="es-ES" w:eastAsia="ja-JP"/>
              </w:rPr>
            </w:pPr>
            <w:r w:rsidRPr="002A2C9F">
              <w:rPr>
                <w:lang w:val="es-ES" w:eastAsia="ja-JP"/>
              </w:rPr>
              <w:t>21-31</w:t>
            </w:r>
            <w:r w:rsidRPr="002A2C9F">
              <w:rPr>
                <w:lang w:val="es-ES"/>
              </w:rPr>
              <w:t xml:space="preserve"> </w:t>
            </w:r>
            <w:r w:rsidRPr="002A2C9F">
              <w:rPr>
                <w:lang w:val="es-ES" w:eastAsia="ja-JP"/>
              </w:rPr>
              <w:t>de julio de</w:t>
            </w:r>
            <w:r w:rsidRPr="002A2C9F">
              <w:rPr>
                <w:lang w:val="es-ES"/>
              </w:rPr>
              <w:t xml:space="preserv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20 Grupo de Trabajo 5D</w:t>
            </w:r>
          </w:p>
        </w:tc>
        <w:tc>
          <w:tcPr>
            <w:tcW w:w="2977" w:type="dxa"/>
          </w:tcPr>
          <w:p w:rsidR="00C00643" w:rsidRPr="002A2C9F" w:rsidRDefault="00C00643" w:rsidP="002F1E53">
            <w:pPr>
              <w:pStyle w:val="Tabletext"/>
              <w:rPr>
                <w:lang w:val="es-ES" w:eastAsia="ja-JP"/>
              </w:rPr>
            </w:pPr>
            <w:r w:rsidRPr="002A2C9F">
              <w:rPr>
                <w:lang w:val="es-ES"/>
              </w:rPr>
              <w:t>1</w:t>
            </w:r>
            <w:r w:rsidRPr="002A2C9F">
              <w:rPr>
                <w:lang w:val="es-ES" w:eastAsia="ja-JP"/>
              </w:rPr>
              <w:t>5</w:t>
            </w:r>
            <w:r w:rsidRPr="002A2C9F">
              <w:rPr>
                <w:lang w:val="es-ES"/>
              </w:rPr>
              <w:t>-2</w:t>
            </w:r>
            <w:r w:rsidRPr="002A2C9F">
              <w:rPr>
                <w:lang w:val="es-ES" w:eastAsia="ja-JP"/>
              </w:rPr>
              <w:t>2</w:t>
            </w:r>
            <w:r w:rsidRPr="002A2C9F">
              <w:rPr>
                <w:lang w:val="es-ES"/>
              </w:rPr>
              <w:t xml:space="preserve"> de octubre de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14 Bloque de Grupos de Trabajo 5A, 5B y 5C</w:t>
            </w:r>
          </w:p>
        </w:tc>
        <w:tc>
          <w:tcPr>
            <w:tcW w:w="2977" w:type="dxa"/>
          </w:tcPr>
          <w:p w:rsidR="00C00643" w:rsidRPr="002A2C9F" w:rsidRDefault="00C00643" w:rsidP="002A2C9F">
            <w:pPr>
              <w:pStyle w:val="Tabletext"/>
              <w:rPr>
                <w:lang w:val="es-ES" w:eastAsia="ja-JP"/>
              </w:rPr>
            </w:pPr>
            <w:r w:rsidRPr="002A2C9F">
              <w:rPr>
                <w:lang w:val="es-ES" w:eastAsia="ja-JP"/>
              </w:rPr>
              <w:t xml:space="preserve">27 de octubre </w:t>
            </w:r>
            <w:r w:rsidR="002A2C9F" w:rsidRPr="002A2C9F">
              <w:rPr>
                <w:lang w:val="es-ES"/>
              </w:rPr>
              <w:t>–</w:t>
            </w:r>
            <w:r w:rsidRPr="002A2C9F">
              <w:rPr>
                <w:lang w:val="es-ES"/>
              </w:rPr>
              <w:t xml:space="preserve"> </w:t>
            </w:r>
            <w:r w:rsidRPr="002A2C9F">
              <w:rPr>
                <w:lang w:val="es-ES" w:eastAsia="ja-JP"/>
              </w:rPr>
              <w:t>7</w:t>
            </w:r>
            <w:r w:rsidRPr="002A2C9F">
              <w:rPr>
                <w:lang w:val="es-ES"/>
              </w:rPr>
              <w:t xml:space="preserve"> de noviembre de 201</w:t>
            </w:r>
            <w:r w:rsidRPr="002A2C9F">
              <w:rPr>
                <w:lang w:val="es-ES" w:eastAsia="ja-JP"/>
              </w:rPr>
              <w:t>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9 Comisión de Estudio 5</w:t>
            </w:r>
          </w:p>
        </w:tc>
        <w:tc>
          <w:tcPr>
            <w:tcW w:w="2977" w:type="dxa"/>
          </w:tcPr>
          <w:p w:rsidR="00C00643" w:rsidRPr="002A2C9F" w:rsidRDefault="00C00643" w:rsidP="002F1E53">
            <w:pPr>
              <w:pStyle w:val="Tabletext"/>
              <w:rPr>
                <w:lang w:val="es-ES" w:eastAsia="ja-JP"/>
              </w:rPr>
            </w:pPr>
            <w:r w:rsidRPr="002A2C9F">
              <w:rPr>
                <w:lang w:val="es-ES"/>
              </w:rPr>
              <w:t>10-11 de noviembre de 2014</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21 Grupo de Trabajo 5D</w:t>
            </w:r>
          </w:p>
        </w:tc>
        <w:tc>
          <w:tcPr>
            <w:tcW w:w="2977" w:type="dxa"/>
          </w:tcPr>
          <w:p w:rsidR="00C00643" w:rsidRPr="002A2C9F" w:rsidRDefault="00C00643" w:rsidP="002A2C9F">
            <w:pPr>
              <w:pStyle w:val="Tabletext"/>
              <w:rPr>
                <w:lang w:val="es-ES" w:eastAsia="ja-JP"/>
              </w:rPr>
            </w:pPr>
            <w:r w:rsidRPr="002A2C9F">
              <w:rPr>
                <w:lang w:val="es-ES" w:eastAsia="ja-JP"/>
              </w:rPr>
              <w:t>27 de enero</w:t>
            </w:r>
            <w:r w:rsidRPr="002A2C9F">
              <w:rPr>
                <w:lang w:val="es-ES"/>
              </w:rPr>
              <w:t xml:space="preserve"> </w:t>
            </w:r>
            <w:r w:rsidR="002A2C9F" w:rsidRPr="002A2C9F">
              <w:rPr>
                <w:lang w:val="es-ES" w:eastAsia="ja-JP"/>
              </w:rPr>
              <w:t>–</w:t>
            </w:r>
            <w:r w:rsidRPr="002A2C9F">
              <w:rPr>
                <w:lang w:val="es-ES"/>
              </w:rPr>
              <w:t xml:space="preserve"> </w:t>
            </w:r>
            <w:r w:rsidRPr="002A2C9F">
              <w:rPr>
                <w:lang w:val="es-ES" w:eastAsia="ja-JP"/>
              </w:rPr>
              <w:t>4</w:t>
            </w:r>
            <w:r w:rsidRPr="002A2C9F">
              <w:rPr>
                <w:lang w:val="es-ES"/>
              </w:rPr>
              <w:t xml:space="preserve"> </w:t>
            </w:r>
            <w:r w:rsidRPr="002A2C9F">
              <w:rPr>
                <w:lang w:val="es-ES" w:eastAsia="ja-JP"/>
              </w:rPr>
              <w:t xml:space="preserve">de febrero de </w:t>
            </w:r>
            <w:r w:rsidRPr="002A2C9F">
              <w:rPr>
                <w:lang w:val="es-ES"/>
              </w:rPr>
              <w:t>201</w:t>
            </w:r>
            <w:r w:rsidRPr="002A2C9F">
              <w:rPr>
                <w:lang w:val="es-ES" w:eastAsia="ja-JP"/>
              </w:rPr>
              <w:t>5</w:t>
            </w:r>
          </w:p>
        </w:tc>
        <w:tc>
          <w:tcPr>
            <w:tcW w:w="1559" w:type="dxa"/>
          </w:tcPr>
          <w:p w:rsidR="00C00643" w:rsidRPr="002A2C9F" w:rsidRDefault="00C00643" w:rsidP="002F1E53">
            <w:pPr>
              <w:pStyle w:val="Tabletext"/>
              <w:rPr>
                <w:lang w:val="es-ES" w:eastAsia="ja-JP"/>
              </w:rPr>
            </w:pPr>
            <w:r w:rsidRPr="002A2C9F">
              <w:rPr>
                <w:lang w:val="es-ES" w:eastAsia="ja-JP"/>
              </w:rPr>
              <w:t>Auckland</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 xml:space="preserve">Reunión extraordinaria del </w:t>
            </w:r>
            <w:r w:rsidRPr="002A2C9F">
              <w:rPr>
                <w:lang w:val="es-ES"/>
              </w:rPr>
              <w:t>Grupo de Trabajo 5B</w:t>
            </w:r>
          </w:p>
        </w:tc>
        <w:tc>
          <w:tcPr>
            <w:tcW w:w="2977" w:type="dxa"/>
          </w:tcPr>
          <w:p w:rsidR="00C00643" w:rsidRPr="002A2C9F" w:rsidRDefault="00C00643" w:rsidP="002F1E53">
            <w:pPr>
              <w:pStyle w:val="Tabletext"/>
              <w:rPr>
                <w:lang w:val="es-ES" w:eastAsia="ja-JP"/>
              </w:rPr>
            </w:pPr>
            <w:r w:rsidRPr="002A2C9F">
              <w:rPr>
                <w:lang w:val="es-ES" w:eastAsia="ja-JP"/>
              </w:rPr>
              <w:t>11-15 de mayo de 2015</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22 Grupo de Trabajo 5D</w:t>
            </w:r>
          </w:p>
        </w:tc>
        <w:tc>
          <w:tcPr>
            <w:tcW w:w="2977" w:type="dxa"/>
          </w:tcPr>
          <w:p w:rsidR="00C00643" w:rsidRPr="002A2C9F" w:rsidRDefault="00C00643" w:rsidP="002F1E53">
            <w:pPr>
              <w:pStyle w:val="Tabletext"/>
              <w:rPr>
                <w:lang w:val="es-ES" w:eastAsia="ja-JP"/>
              </w:rPr>
            </w:pPr>
            <w:r w:rsidRPr="002A2C9F">
              <w:rPr>
                <w:lang w:val="es-ES" w:eastAsia="ja-JP"/>
              </w:rPr>
              <w:t>10</w:t>
            </w:r>
            <w:r w:rsidRPr="002A2C9F">
              <w:rPr>
                <w:lang w:val="es-ES"/>
              </w:rPr>
              <w:t>-1</w:t>
            </w:r>
            <w:r w:rsidRPr="002A2C9F">
              <w:rPr>
                <w:lang w:val="es-ES" w:eastAsia="ja-JP"/>
              </w:rPr>
              <w:t>8</w:t>
            </w:r>
            <w:r w:rsidRPr="002A2C9F">
              <w:rPr>
                <w:lang w:val="es-ES"/>
              </w:rPr>
              <w:t xml:space="preserve"> </w:t>
            </w:r>
            <w:r w:rsidRPr="002A2C9F">
              <w:rPr>
                <w:lang w:val="es-ES" w:eastAsia="ja-JP"/>
              </w:rPr>
              <w:t>de junio de</w:t>
            </w:r>
            <w:r w:rsidRPr="002A2C9F">
              <w:rPr>
                <w:lang w:val="es-ES"/>
              </w:rPr>
              <w:t xml:space="preserve"> 201</w:t>
            </w:r>
            <w:r w:rsidRPr="002A2C9F">
              <w:rPr>
                <w:lang w:val="es-ES" w:eastAsia="ja-JP"/>
              </w:rPr>
              <w:t>5</w:t>
            </w:r>
          </w:p>
        </w:tc>
        <w:tc>
          <w:tcPr>
            <w:tcW w:w="1559" w:type="dxa"/>
          </w:tcPr>
          <w:p w:rsidR="00C00643" w:rsidRPr="002A2C9F" w:rsidRDefault="00C00643" w:rsidP="002F1E53">
            <w:pPr>
              <w:pStyle w:val="Tabletext"/>
              <w:rPr>
                <w:lang w:val="es-ES" w:eastAsia="ja-JP"/>
              </w:rPr>
            </w:pPr>
            <w:r w:rsidRPr="002A2C9F">
              <w:rPr>
                <w:lang w:val="es-ES" w:eastAsia="ja-JP"/>
              </w:rPr>
              <w:t>San Diego</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15 Bloque de Grupos de Trabajo 5A, 5B y 5C</w:t>
            </w:r>
          </w:p>
        </w:tc>
        <w:tc>
          <w:tcPr>
            <w:tcW w:w="2977" w:type="dxa"/>
          </w:tcPr>
          <w:p w:rsidR="00C00643" w:rsidRPr="002A2C9F" w:rsidRDefault="00C00643" w:rsidP="002F1E53">
            <w:pPr>
              <w:pStyle w:val="Tabletext"/>
              <w:rPr>
                <w:lang w:val="es-ES" w:eastAsia="ja-JP"/>
              </w:rPr>
            </w:pPr>
            <w:r w:rsidRPr="002A2C9F">
              <w:rPr>
                <w:lang w:val="es-ES" w:eastAsia="ja-JP"/>
              </w:rPr>
              <w:t>6</w:t>
            </w:r>
            <w:r w:rsidRPr="002A2C9F">
              <w:rPr>
                <w:lang w:val="es-ES"/>
              </w:rPr>
              <w:t>-1</w:t>
            </w:r>
            <w:r w:rsidRPr="002A2C9F">
              <w:rPr>
                <w:lang w:val="es-ES" w:eastAsia="ja-JP"/>
              </w:rPr>
              <w:t>7 de julio de</w:t>
            </w:r>
            <w:r w:rsidRPr="002A2C9F">
              <w:rPr>
                <w:lang w:val="es-ES"/>
              </w:rPr>
              <w:t xml:space="preserve"> 201</w:t>
            </w:r>
            <w:r w:rsidRPr="002A2C9F">
              <w:rPr>
                <w:lang w:val="es-ES" w:eastAsia="ja-JP"/>
              </w:rPr>
              <w:t>5</w:t>
            </w:r>
          </w:p>
        </w:tc>
        <w:tc>
          <w:tcPr>
            <w:tcW w:w="1559" w:type="dxa"/>
          </w:tcPr>
          <w:p w:rsidR="00C00643" w:rsidRPr="002A2C9F" w:rsidRDefault="00C00643" w:rsidP="002F1E53">
            <w:pPr>
              <w:pStyle w:val="Tabletext"/>
              <w:rPr>
                <w:lang w:val="es-ES" w:eastAsia="ja-JP"/>
              </w:rPr>
            </w:pPr>
            <w:r w:rsidRPr="002A2C9F">
              <w:rPr>
                <w:lang w:val="es-ES" w:eastAsia="ja-JP"/>
              </w:rPr>
              <w:t>Bucarest</w:t>
            </w:r>
          </w:p>
        </w:tc>
      </w:tr>
      <w:tr w:rsidR="00C00643" w:rsidRPr="002A2C9F" w:rsidTr="002A2C9F">
        <w:trPr>
          <w:jc w:val="center"/>
        </w:trPr>
        <w:tc>
          <w:tcPr>
            <w:tcW w:w="4815" w:type="dxa"/>
          </w:tcPr>
          <w:p w:rsidR="00C00643" w:rsidRPr="002A2C9F" w:rsidRDefault="00C00643" w:rsidP="002F1E53">
            <w:pPr>
              <w:pStyle w:val="Tabletext"/>
              <w:rPr>
                <w:lang w:val="es-ES" w:eastAsia="ja-JP"/>
              </w:rPr>
            </w:pPr>
            <w:r w:rsidRPr="002A2C9F">
              <w:rPr>
                <w:lang w:val="es-ES" w:eastAsia="ja-JP"/>
              </w:rPr>
              <w:t>Número 10 Comisión de Estudio 5</w:t>
            </w:r>
          </w:p>
        </w:tc>
        <w:tc>
          <w:tcPr>
            <w:tcW w:w="2977" w:type="dxa"/>
          </w:tcPr>
          <w:p w:rsidR="00C00643" w:rsidRPr="002A2C9F" w:rsidRDefault="00C00643" w:rsidP="002F1E53">
            <w:pPr>
              <w:pStyle w:val="Tabletext"/>
              <w:rPr>
                <w:lang w:val="es-ES" w:eastAsia="ja-JP"/>
              </w:rPr>
            </w:pPr>
            <w:r w:rsidRPr="002A2C9F">
              <w:rPr>
                <w:lang w:val="es-ES" w:eastAsia="ja-JP"/>
              </w:rPr>
              <w:t>20-21 de julio de 2015</w:t>
            </w:r>
          </w:p>
        </w:tc>
        <w:tc>
          <w:tcPr>
            <w:tcW w:w="1559" w:type="dxa"/>
          </w:tcPr>
          <w:p w:rsidR="00C00643" w:rsidRPr="002A2C9F" w:rsidRDefault="00C00643" w:rsidP="002F1E53">
            <w:pPr>
              <w:pStyle w:val="Tabletext"/>
              <w:rPr>
                <w:lang w:val="es-ES" w:eastAsia="ja-JP"/>
              </w:rPr>
            </w:pPr>
            <w:r w:rsidRPr="002A2C9F">
              <w:rPr>
                <w:lang w:val="es-ES" w:eastAsia="ja-JP"/>
              </w:rPr>
              <w:t>Ginebra</w:t>
            </w:r>
          </w:p>
        </w:tc>
      </w:tr>
    </w:tbl>
    <w:p w:rsidR="001C7013" w:rsidRDefault="00C00643" w:rsidP="001C7013">
      <w:pPr>
        <w:pStyle w:val="AnnexNo"/>
        <w:rPr>
          <w:lang w:val="es-ES"/>
        </w:rPr>
      </w:pPr>
      <w:r w:rsidRPr="00F9410F">
        <w:rPr>
          <w:lang w:val="es-ES"/>
        </w:rPr>
        <w:lastRenderedPageBreak/>
        <w:t>Anexo 2</w:t>
      </w:r>
    </w:p>
    <w:p w:rsidR="00C00643" w:rsidRPr="00F9410F" w:rsidRDefault="00C00643" w:rsidP="001C7013">
      <w:pPr>
        <w:pStyle w:val="Annextitle"/>
        <w:rPr>
          <w:lang w:val="es-ES" w:eastAsia="ja-JP"/>
        </w:rPr>
      </w:pPr>
      <w:r w:rsidRPr="00F9410F">
        <w:rPr>
          <w:lang w:val="es-ES"/>
        </w:rPr>
        <w:t xml:space="preserve">Resumen de las actividades la Comisión de Estudio </w:t>
      </w:r>
      <w:r w:rsidRPr="00F9410F">
        <w:rPr>
          <w:lang w:val="es-ES" w:eastAsia="ja-JP"/>
        </w:rPr>
        <w:t>5</w:t>
      </w:r>
    </w:p>
    <w:p w:rsidR="00C00643" w:rsidRPr="00F9410F" w:rsidRDefault="00C00643" w:rsidP="00C00643">
      <w:pPr>
        <w:pStyle w:val="TableNo"/>
        <w:rPr>
          <w:lang w:val="es-ES" w:eastAsia="ja-JP"/>
        </w:rPr>
      </w:pPr>
      <w:r w:rsidRPr="00F9410F">
        <w:rPr>
          <w:lang w:val="es-ES"/>
        </w:rPr>
        <w:t>cuadro A2-1</w:t>
      </w:r>
    </w:p>
    <w:p w:rsidR="00C00643" w:rsidRPr="00F9410F" w:rsidRDefault="00C00643" w:rsidP="00C00643">
      <w:pPr>
        <w:pStyle w:val="Tabletitle"/>
        <w:rPr>
          <w:lang w:val="es-ES" w:eastAsia="ja-JP"/>
        </w:rPr>
      </w:pPr>
      <w:r w:rsidRPr="00F9410F">
        <w:rPr>
          <w:lang w:val="es-ES"/>
        </w:rPr>
        <w:t>Recomendaciones</w:t>
      </w:r>
      <w:r w:rsidRPr="00F9410F">
        <w:rPr>
          <w:lang w:val="es-ES" w:eastAsia="ja-JP"/>
        </w:rPr>
        <w:t xml:space="preserve"> (ya aprobadas) </w:t>
      </w:r>
      <w:r w:rsidRPr="00F9410F">
        <w:rPr>
          <w:lang w:val="es-ES"/>
        </w:rPr>
        <w:t>nuevas y revisadas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3"/>
        <w:gridCol w:w="3001"/>
        <w:gridCol w:w="5505"/>
      </w:tblGrid>
      <w:tr w:rsidR="00C00643" w:rsidRPr="00F9410F" w:rsidTr="002A2C9F">
        <w:trPr>
          <w:jc w:val="center"/>
        </w:trPr>
        <w:tc>
          <w:tcPr>
            <w:tcW w:w="1158" w:type="dxa"/>
          </w:tcPr>
          <w:p w:rsidR="00C00643" w:rsidRPr="00F9410F" w:rsidRDefault="00C00643" w:rsidP="002F1E53">
            <w:pPr>
              <w:pStyle w:val="Tablehead"/>
              <w:rPr>
                <w:lang w:val="es-ES"/>
              </w:rPr>
            </w:pPr>
            <w:r w:rsidRPr="00F9410F">
              <w:rPr>
                <w:lang w:val="es-ES"/>
              </w:rPr>
              <w:t>GT</w:t>
            </w:r>
          </w:p>
        </w:tc>
        <w:tc>
          <w:tcPr>
            <w:tcW w:w="3078" w:type="dxa"/>
          </w:tcPr>
          <w:p w:rsidR="00C00643" w:rsidRPr="00F9410F" w:rsidRDefault="00C00643" w:rsidP="002F1E53">
            <w:pPr>
              <w:pStyle w:val="Tablehead"/>
              <w:rPr>
                <w:lang w:val="es-ES" w:eastAsia="ja-JP"/>
              </w:rPr>
            </w:pPr>
            <w:r w:rsidRPr="00F9410F">
              <w:rPr>
                <w:lang w:val="es-ES"/>
              </w:rPr>
              <w:t xml:space="preserve">Nuevas </w:t>
            </w:r>
            <w:r w:rsidRPr="00F9410F">
              <w:rPr>
                <w:lang w:val="es-ES" w:eastAsia="ja-JP"/>
              </w:rPr>
              <w:t>(</w:t>
            </w:r>
            <w:r w:rsidRPr="00F9410F">
              <w:rPr>
                <w:lang w:val="es-ES"/>
              </w:rPr>
              <w:t>Rec. UIT-R</w:t>
            </w:r>
            <w:r w:rsidRPr="00F9410F">
              <w:rPr>
                <w:lang w:val="es-ES" w:eastAsia="ja-JP"/>
              </w:rPr>
              <w:t>)</w:t>
            </w:r>
          </w:p>
        </w:tc>
        <w:tc>
          <w:tcPr>
            <w:tcW w:w="5653" w:type="dxa"/>
          </w:tcPr>
          <w:p w:rsidR="00C00643" w:rsidRPr="00F9410F" w:rsidRDefault="00C00643" w:rsidP="002F1E53">
            <w:pPr>
              <w:pStyle w:val="Tablehead"/>
              <w:rPr>
                <w:lang w:val="es-ES"/>
              </w:rPr>
            </w:pPr>
            <w:r w:rsidRPr="00F9410F">
              <w:rPr>
                <w:lang w:val="es-ES" w:eastAsia="ja-JP"/>
              </w:rPr>
              <w:t>R</w:t>
            </w:r>
            <w:r w:rsidRPr="00F9410F">
              <w:rPr>
                <w:lang w:val="es-ES"/>
              </w:rPr>
              <w:t>evisadas</w:t>
            </w:r>
            <w:r w:rsidRPr="00F9410F">
              <w:rPr>
                <w:lang w:val="es-ES" w:eastAsia="ja-JP"/>
              </w:rPr>
              <w:t xml:space="preserve"> (</w:t>
            </w:r>
            <w:r w:rsidRPr="00F9410F">
              <w:rPr>
                <w:lang w:val="es-ES"/>
              </w:rPr>
              <w:t>Rec. UIT-R</w:t>
            </w:r>
            <w:r w:rsidRPr="00F9410F">
              <w:rPr>
                <w:lang w:val="es-ES" w:eastAsia="ja-JP"/>
              </w:rPr>
              <w:t>)</w:t>
            </w:r>
          </w:p>
        </w:tc>
      </w:tr>
      <w:tr w:rsidR="00C00643" w:rsidRPr="00F9410F" w:rsidTr="002A2C9F">
        <w:trPr>
          <w:jc w:val="center"/>
        </w:trPr>
        <w:tc>
          <w:tcPr>
            <w:tcW w:w="1158" w:type="dxa"/>
          </w:tcPr>
          <w:p w:rsidR="00C00643" w:rsidRPr="00F9410F" w:rsidRDefault="00C00643" w:rsidP="002F1E53">
            <w:pPr>
              <w:pStyle w:val="Tabletext"/>
              <w:jc w:val="center"/>
              <w:rPr>
                <w:lang w:val="es-ES"/>
              </w:rPr>
            </w:pPr>
            <w:r w:rsidRPr="00F9410F">
              <w:rPr>
                <w:lang w:val="es-ES"/>
              </w:rPr>
              <w:t>GT 5A</w:t>
            </w:r>
          </w:p>
        </w:tc>
        <w:tc>
          <w:tcPr>
            <w:tcW w:w="3078" w:type="dxa"/>
          </w:tcPr>
          <w:p w:rsidR="00C00643" w:rsidRPr="00F9410F" w:rsidRDefault="00C00643" w:rsidP="002F1E53">
            <w:pPr>
              <w:pStyle w:val="Tabletext"/>
              <w:rPr>
                <w:szCs w:val="22"/>
                <w:lang w:val="es-ES" w:eastAsia="ja-JP"/>
              </w:rPr>
            </w:pPr>
            <w:r w:rsidRPr="00F9410F">
              <w:rPr>
                <w:szCs w:val="22"/>
                <w:lang w:val="es-ES" w:eastAsia="ja-JP"/>
              </w:rPr>
              <w:t>M.2034-0, M.2057-0, M.2068-0, M.2084-0</w:t>
            </w:r>
          </w:p>
        </w:tc>
        <w:tc>
          <w:tcPr>
            <w:tcW w:w="5653" w:type="dxa"/>
          </w:tcPr>
          <w:p w:rsidR="00C00643" w:rsidRPr="00F9410F" w:rsidRDefault="00C00643" w:rsidP="002F1E53">
            <w:pPr>
              <w:pStyle w:val="Tabletext"/>
              <w:rPr>
                <w:szCs w:val="22"/>
                <w:lang w:val="es-ES" w:eastAsia="ja-JP"/>
              </w:rPr>
            </w:pPr>
            <w:r w:rsidRPr="00F9410F">
              <w:rPr>
                <w:szCs w:val="22"/>
                <w:lang w:val="es-ES" w:eastAsia="ja-JP"/>
              </w:rPr>
              <w:t>F.1763-1</w:t>
            </w:r>
          </w:p>
          <w:p w:rsidR="00C00643" w:rsidRPr="00F9410F" w:rsidRDefault="00C00643" w:rsidP="002F1E53">
            <w:pPr>
              <w:pStyle w:val="Tabletext"/>
              <w:rPr>
                <w:szCs w:val="22"/>
                <w:lang w:val="es-ES" w:eastAsia="ja-JP"/>
              </w:rPr>
            </w:pPr>
            <w:r w:rsidRPr="00F9410F">
              <w:rPr>
                <w:szCs w:val="22"/>
                <w:lang w:val="es-ES" w:eastAsia="ja-JP"/>
              </w:rPr>
              <w:t>M.1076-1, M.1450-5, M.1544-1, M.1801-2, M.1824-1, M.2003-1, M.2009-1, M.2015-1</w:t>
            </w:r>
          </w:p>
        </w:tc>
      </w:tr>
      <w:tr w:rsidR="00C00643" w:rsidRPr="00F9410F" w:rsidTr="002A2C9F">
        <w:trPr>
          <w:jc w:val="center"/>
        </w:trPr>
        <w:tc>
          <w:tcPr>
            <w:tcW w:w="1158" w:type="dxa"/>
          </w:tcPr>
          <w:p w:rsidR="00C00643" w:rsidRPr="00F9410F" w:rsidRDefault="00C00643" w:rsidP="002F1E53">
            <w:pPr>
              <w:pStyle w:val="Tabletext"/>
              <w:jc w:val="center"/>
              <w:rPr>
                <w:lang w:val="es-ES"/>
              </w:rPr>
            </w:pPr>
            <w:r w:rsidRPr="00F9410F">
              <w:rPr>
                <w:lang w:val="es-ES"/>
              </w:rPr>
              <w:t>GT 5B</w:t>
            </w:r>
          </w:p>
        </w:tc>
        <w:tc>
          <w:tcPr>
            <w:tcW w:w="3078" w:type="dxa"/>
          </w:tcPr>
          <w:p w:rsidR="00C00643" w:rsidRPr="00F9410F" w:rsidRDefault="00C00643" w:rsidP="002F1E53">
            <w:pPr>
              <w:pStyle w:val="Tabletext"/>
              <w:rPr>
                <w:lang w:val="es-ES" w:eastAsia="ja-JP"/>
              </w:rPr>
            </w:pPr>
            <w:r w:rsidRPr="00F9410F">
              <w:rPr>
                <w:lang w:val="es-ES" w:eastAsia="ja-JP"/>
              </w:rPr>
              <w:t>M.2058-0, M.2059-0, M.2067-0, M.2069-0, M.2085</w:t>
            </w:r>
          </w:p>
        </w:tc>
        <w:tc>
          <w:tcPr>
            <w:tcW w:w="5653" w:type="dxa"/>
          </w:tcPr>
          <w:p w:rsidR="00C00643" w:rsidRPr="00F9410F" w:rsidRDefault="00C00643" w:rsidP="002F1E53">
            <w:pPr>
              <w:pStyle w:val="Tabletext"/>
              <w:rPr>
                <w:lang w:val="es-ES" w:eastAsia="ja-JP"/>
              </w:rPr>
            </w:pPr>
            <w:r w:rsidRPr="00F9410F">
              <w:rPr>
                <w:szCs w:val="22"/>
                <w:lang w:val="es-ES" w:eastAsia="ja-JP"/>
              </w:rPr>
              <w:t xml:space="preserve">M.493-14, M.585-7, </w:t>
            </w:r>
            <w:r w:rsidRPr="00F9410F">
              <w:rPr>
                <w:szCs w:val="22"/>
                <w:lang w:val="es-ES"/>
              </w:rPr>
              <w:t>M.</w:t>
            </w:r>
            <w:r w:rsidRPr="00F9410F">
              <w:rPr>
                <w:szCs w:val="22"/>
                <w:lang w:val="es-ES" w:eastAsia="ja-JP"/>
              </w:rPr>
              <w:t xml:space="preserve">629-1, M.690-3, </w:t>
            </w:r>
            <w:r w:rsidRPr="00F9410F">
              <w:rPr>
                <w:szCs w:val="22"/>
                <w:lang w:val="es-ES"/>
              </w:rPr>
              <w:t>M.</w:t>
            </w:r>
            <w:r w:rsidRPr="00F9410F">
              <w:rPr>
                <w:szCs w:val="22"/>
                <w:lang w:val="es-ES" w:eastAsia="ja-JP"/>
              </w:rPr>
              <w:t>824-4, M.1174-3, M.1176-1, M.1371-5, M.1460-2, M.1463-2, M.1463-3, M.1464-2, M.1465-2, M.1638-1, M.1796-2, M.1827-1, M.1841-1, M.1849-1, M.1874-1, M.2008-1</w:t>
            </w:r>
          </w:p>
        </w:tc>
      </w:tr>
      <w:tr w:rsidR="00C00643" w:rsidRPr="00F9410F" w:rsidTr="002A2C9F">
        <w:trPr>
          <w:jc w:val="center"/>
        </w:trPr>
        <w:tc>
          <w:tcPr>
            <w:tcW w:w="1158" w:type="dxa"/>
          </w:tcPr>
          <w:p w:rsidR="00C00643" w:rsidRPr="00F9410F" w:rsidRDefault="00C00643" w:rsidP="002F1E53">
            <w:pPr>
              <w:pStyle w:val="Tabletext"/>
              <w:jc w:val="center"/>
              <w:rPr>
                <w:lang w:val="es-ES"/>
              </w:rPr>
            </w:pPr>
            <w:r w:rsidRPr="00F9410F">
              <w:rPr>
                <w:lang w:val="es-ES"/>
              </w:rPr>
              <w:t>GT 5C</w:t>
            </w:r>
          </w:p>
        </w:tc>
        <w:tc>
          <w:tcPr>
            <w:tcW w:w="3078" w:type="dxa"/>
          </w:tcPr>
          <w:p w:rsidR="00C00643" w:rsidRPr="00F9410F" w:rsidRDefault="00C00643" w:rsidP="002F1E53">
            <w:pPr>
              <w:pStyle w:val="Tabletext"/>
              <w:rPr>
                <w:lang w:val="es-ES" w:eastAsia="ja-JP"/>
              </w:rPr>
            </w:pPr>
            <w:r w:rsidRPr="00F9410F">
              <w:rPr>
                <w:lang w:val="es-ES" w:eastAsia="ja-JP"/>
              </w:rPr>
              <w:t>F.2086</w:t>
            </w:r>
          </w:p>
        </w:tc>
        <w:tc>
          <w:tcPr>
            <w:tcW w:w="5653" w:type="dxa"/>
          </w:tcPr>
          <w:p w:rsidR="00C00643" w:rsidRPr="00F9410F" w:rsidRDefault="00C00643" w:rsidP="002F1E53">
            <w:pPr>
              <w:pStyle w:val="Tabletext"/>
              <w:rPr>
                <w:lang w:val="es-ES" w:eastAsia="ja-JP"/>
              </w:rPr>
            </w:pPr>
            <w:r w:rsidRPr="00F9410F">
              <w:rPr>
                <w:lang w:val="es-ES" w:eastAsia="ja-JP"/>
              </w:rPr>
              <w:t>F.339-8, F.383-9, F.386-9, F.557-5, F.635-7, F.758-6, F.1099-5, F.1105-3, F.1247-3, F.1247-4, F.1249-3, F.1249-4, F.1336-4, F.1497-2, F.1509-2, F.1509-3, F.1777-1, F.1778-1</w:t>
            </w:r>
          </w:p>
          <w:p w:rsidR="00C00643" w:rsidRPr="00F9410F" w:rsidRDefault="00C00643" w:rsidP="002F1E53">
            <w:pPr>
              <w:pStyle w:val="Tabletext"/>
              <w:rPr>
                <w:lang w:val="es-ES" w:eastAsia="ja-JP"/>
              </w:rPr>
            </w:pPr>
            <w:r w:rsidRPr="00F9410F">
              <w:rPr>
                <w:lang w:val="es-ES" w:eastAsia="ja-JP"/>
              </w:rPr>
              <w:t>SF.674-3</w:t>
            </w:r>
          </w:p>
        </w:tc>
      </w:tr>
      <w:tr w:rsidR="00C00643" w:rsidRPr="00F9410F" w:rsidTr="002A2C9F">
        <w:trPr>
          <w:jc w:val="center"/>
        </w:trPr>
        <w:tc>
          <w:tcPr>
            <w:tcW w:w="1158" w:type="dxa"/>
          </w:tcPr>
          <w:p w:rsidR="00C00643" w:rsidRPr="00F9410F" w:rsidRDefault="00C00643" w:rsidP="002F1E53">
            <w:pPr>
              <w:pStyle w:val="Tabletext"/>
              <w:jc w:val="center"/>
              <w:rPr>
                <w:lang w:val="es-ES"/>
              </w:rPr>
            </w:pPr>
            <w:r w:rsidRPr="00F9410F">
              <w:rPr>
                <w:lang w:val="es-ES"/>
              </w:rPr>
              <w:t>GT 5D</w:t>
            </w:r>
          </w:p>
        </w:tc>
        <w:tc>
          <w:tcPr>
            <w:tcW w:w="3078" w:type="dxa"/>
          </w:tcPr>
          <w:p w:rsidR="00C00643" w:rsidRPr="00F9410F" w:rsidRDefault="00C00643" w:rsidP="002F1E53">
            <w:pPr>
              <w:pStyle w:val="Tabletext"/>
              <w:rPr>
                <w:lang w:val="es-ES" w:eastAsia="ja-JP"/>
                <w:rPrChange w:id="10" w:author="Buonomo, Sergio" w:date="2015-08-26T16:34:00Z">
                  <w:rPr>
                    <w:lang w:eastAsia="ja-JP"/>
                  </w:rPr>
                </w:rPrChange>
              </w:rPr>
            </w:pPr>
            <w:r w:rsidRPr="00F9410F">
              <w:rPr>
                <w:lang w:val="es-ES" w:eastAsia="ja-JP"/>
                <w:rPrChange w:id="11" w:author="Buonomo, Sergio" w:date="2015-08-26T16:34:00Z">
                  <w:rPr>
                    <w:lang w:eastAsia="ja-JP"/>
                  </w:rPr>
                </w:rPrChange>
              </w:rPr>
              <w:t>M.2070-0, M.2071-0, M.</w:t>
            </w:r>
            <w:r w:rsidRPr="00F9410F">
              <w:rPr>
                <w:lang w:val="es-ES" w:eastAsia="ja-JP"/>
              </w:rPr>
              <w:t>2083</w:t>
            </w:r>
          </w:p>
        </w:tc>
        <w:tc>
          <w:tcPr>
            <w:tcW w:w="5653" w:type="dxa"/>
          </w:tcPr>
          <w:p w:rsidR="00C00643" w:rsidRPr="00F9410F" w:rsidRDefault="00C00643" w:rsidP="002F1E53">
            <w:pPr>
              <w:pStyle w:val="Tabletext"/>
              <w:rPr>
                <w:lang w:val="es-ES" w:eastAsia="ja-JP"/>
              </w:rPr>
            </w:pPr>
            <w:r w:rsidRPr="00F9410F">
              <w:rPr>
                <w:szCs w:val="22"/>
                <w:lang w:val="es-ES" w:eastAsia="ja-JP"/>
              </w:rPr>
              <w:t>M.1457-11, M.1457-12, M.1579-2, M.1580-5, M.1581-5, M.1768</w:t>
            </w:r>
            <w:r w:rsidRPr="00F9410F">
              <w:rPr>
                <w:szCs w:val="22"/>
                <w:lang w:val="es-ES" w:eastAsia="ja-JP"/>
              </w:rPr>
              <w:noBreakHyphen/>
              <w:t>1, M.2012-1, M.2012-2</w:t>
            </w:r>
          </w:p>
        </w:tc>
      </w:tr>
    </w:tbl>
    <w:p w:rsidR="00C00643" w:rsidRPr="00F9410F" w:rsidRDefault="00C00643" w:rsidP="00C00643">
      <w:pPr>
        <w:pStyle w:val="TableNo"/>
        <w:rPr>
          <w:lang w:val="es-ES" w:eastAsia="ja-JP"/>
        </w:rPr>
      </w:pPr>
      <w:r w:rsidRPr="00F9410F">
        <w:rPr>
          <w:lang w:val="es-ES"/>
        </w:rPr>
        <w:t xml:space="preserve">cuadro </w:t>
      </w:r>
      <w:r w:rsidRPr="00F9410F">
        <w:rPr>
          <w:lang w:val="es-ES" w:eastAsia="ja-JP"/>
        </w:rPr>
        <w:t>A2-2</w:t>
      </w:r>
    </w:p>
    <w:p w:rsidR="00C00643" w:rsidRPr="00F9410F" w:rsidRDefault="00C00643" w:rsidP="00C00643">
      <w:pPr>
        <w:pStyle w:val="Tabletitle"/>
        <w:rPr>
          <w:lang w:val="es-ES" w:eastAsia="ja-JP"/>
        </w:rPr>
      </w:pPr>
      <w:r w:rsidRPr="00F9410F">
        <w:rPr>
          <w:lang w:val="es-ES" w:eastAsia="ja-JP"/>
        </w:rPr>
        <w:t xml:space="preserve">Proyectos de nuevas Recomendaciones o de Recomendaciones revisadas </w:t>
      </w:r>
      <w:r w:rsidR="002A2C9F">
        <w:rPr>
          <w:lang w:val="es-ES" w:eastAsia="ja-JP"/>
        </w:rPr>
        <w:br/>
      </w:r>
      <w:r w:rsidRPr="00F9410F">
        <w:rPr>
          <w:lang w:val="es-ES" w:eastAsia="ja-JP"/>
        </w:rPr>
        <w:t>sometidos a la consideración de la AR-15</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4195"/>
        <w:gridCol w:w="4536"/>
      </w:tblGrid>
      <w:tr w:rsidR="00C00643" w:rsidRPr="00F9410F" w:rsidTr="002F1E53">
        <w:trPr>
          <w:jc w:val="center"/>
        </w:trPr>
        <w:tc>
          <w:tcPr>
            <w:tcW w:w="1158" w:type="dxa"/>
            <w:vAlign w:val="center"/>
          </w:tcPr>
          <w:p w:rsidR="00C00643" w:rsidRPr="00F9410F" w:rsidRDefault="00C00643" w:rsidP="002F1E53">
            <w:pPr>
              <w:pStyle w:val="Tablehead"/>
              <w:rPr>
                <w:lang w:val="es-ES"/>
              </w:rPr>
            </w:pPr>
            <w:r w:rsidRPr="00F9410F">
              <w:rPr>
                <w:lang w:val="es-ES"/>
              </w:rPr>
              <w:t>GT</w:t>
            </w:r>
          </w:p>
        </w:tc>
        <w:tc>
          <w:tcPr>
            <w:tcW w:w="4195" w:type="dxa"/>
            <w:vAlign w:val="center"/>
          </w:tcPr>
          <w:p w:rsidR="00C00643" w:rsidRPr="00F9410F" w:rsidRDefault="00C00643" w:rsidP="002F1E53">
            <w:pPr>
              <w:pStyle w:val="Tablehead"/>
              <w:rPr>
                <w:lang w:val="es-ES" w:eastAsia="ja-JP"/>
              </w:rPr>
            </w:pPr>
            <w:r w:rsidRPr="00F9410F">
              <w:rPr>
                <w:lang w:val="es-ES"/>
              </w:rPr>
              <w:t xml:space="preserve">Nuevas </w:t>
            </w:r>
            <w:r w:rsidRPr="00F9410F">
              <w:rPr>
                <w:lang w:val="es-ES" w:eastAsia="ja-JP"/>
              </w:rPr>
              <w:t xml:space="preserve">(Proyecto de </w:t>
            </w:r>
            <w:r w:rsidRPr="00F9410F">
              <w:rPr>
                <w:lang w:val="es-ES"/>
              </w:rPr>
              <w:t>Rec. UIT</w:t>
            </w:r>
            <w:r w:rsidRPr="00F9410F">
              <w:rPr>
                <w:lang w:val="es-ES"/>
              </w:rPr>
              <w:noBreakHyphen/>
              <w:t>R</w:t>
            </w:r>
            <w:r w:rsidRPr="00F9410F">
              <w:rPr>
                <w:lang w:val="es-ES" w:eastAsia="ja-JP"/>
              </w:rPr>
              <w:t>)</w:t>
            </w:r>
          </w:p>
        </w:tc>
        <w:tc>
          <w:tcPr>
            <w:tcW w:w="4536" w:type="dxa"/>
            <w:vAlign w:val="center"/>
          </w:tcPr>
          <w:p w:rsidR="00C00643" w:rsidRPr="00F9410F" w:rsidRDefault="00C00643" w:rsidP="002F1E53">
            <w:pPr>
              <w:pStyle w:val="Tablehead"/>
              <w:rPr>
                <w:lang w:val="es-ES"/>
              </w:rPr>
            </w:pPr>
            <w:r w:rsidRPr="00F9410F">
              <w:rPr>
                <w:lang w:val="es-ES" w:eastAsia="ja-JP"/>
              </w:rPr>
              <w:t xml:space="preserve">Revisadas (Proyecto de revisión de </w:t>
            </w:r>
            <w:r w:rsidRPr="00F9410F">
              <w:rPr>
                <w:lang w:val="es-ES"/>
              </w:rPr>
              <w:t>Rec. UIT</w:t>
            </w:r>
            <w:r w:rsidRPr="00F9410F">
              <w:rPr>
                <w:lang w:val="es-ES"/>
              </w:rPr>
              <w:noBreakHyphen/>
              <w:t>R</w:t>
            </w:r>
            <w:r w:rsidRPr="00F9410F">
              <w:rPr>
                <w:lang w:val="es-ES" w:eastAsia="ja-JP"/>
              </w:rPr>
              <w:t>)</w:t>
            </w:r>
          </w:p>
        </w:tc>
      </w:tr>
      <w:tr w:rsidR="00C00643" w:rsidRPr="00F9410F" w:rsidTr="002F1E53">
        <w:trPr>
          <w:jc w:val="center"/>
        </w:trPr>
        <w:tc>
          <w:tcPr>
            <w:tcW w:w="1158" w:type="dxa"/>
          </w:tcPr>
          <w:p w:rsidR="00C00643" w:rsidRPr="00F9410F" w:rsidRDefault="00C00643" w:rsidP="002F1E53">
            <w:pPr>
              <w:pStyle w:val="Tabletext"/>
              <w:jc w:val="center"/>
              <w:rPr>
                <w:lang w:val="es-ES"/>
              </w:rPr>
            </w:pPr>
            <w:r w:rsidRPr="00F9410F">
              <w:rPr>
                <w:lang w:val="es-ES"/>
              </w:rPr>
              <w:t>GT 5B</w:t>
            </w:r>
          </w:p>
        </w:tc>
        <w:tc>
          <w:tcPr>
            <w:tcW w:w="4195" w:type="dxa"/>
          </w:tcPr>
          <w:p w:rsidR="00C00643" w:rsidRPr="00F9410F" w:rsidRDefault="00C00643" w:rsidP="002F1E53">
            <w:pPr>
              <w:pStyle w:val="Tabletext"/>
              <w:rPr>
                <w:lang w:val="es-ES" w:eastAsia="ja-JP"/>
                <w:rPrChange w:id="12" w:author="Buonomo, Sergio" w:date="2015-08-26T16:34:00Z">
                  <w:rPr>
                    <w:lang w:eastAsia="ja-JP"/>
                  </w:rPr>
                </w:rPrChange>
              </w:rPr>
            </w:pPr>
            <w:r w:rsidRPr="00F9410F">
              <w:rPr>
                <w:lang w:val="es-ES" w:eastAsia="ja-JP"/>
                <w:rPrChange w:id="13" w:author="Buonomo, Sergio" w:date="2015-08-26T16:34:00Z">
                  <w:rPr>
                    <w:lang w:eastAsia="ja-JP"/>
                  </w:rPr>
                </w:rPrChange>
              </w:rPr>
              <w:t xml:space="preserve">M.[AMS-CHAR], </w:t>
            </w:r>
            <w:r w:rsidRPr="00F9410F">
              <w:rPr>
                <w:lang w:val="es-ES"/>
                <w:rPrChange w:id="14" w:author="Buonomo, Sergio" w:date="2015-08-26T16:34:00Z">
                  <w:rPr/>
                </w:rPrChange>
              </w:rPr>
              <w:t>(Doc.</w:t>
            </w:r>
            <w:r w:rsidRPr="00F9410F">
              <w:rPr>
                <w:lang w:val="es-ES"/>
              </w:rPr>
              <w:t xml:space="preserve"> </w:t>
            </w:r>
            <w:r w:rsidRPr="00F9410F">
              <w:rPr>
                <w:lang w:val="es-ES"/>
              </w:rPr>
              <w:fldChar w:fldCharType="begin"/>
            </w:r>
            <w:r w:rsidRPr="00F9410F">
              <w:rPr>
                <w:lang w:val="es-ES"/>
              </w:rPr>
              <w:instrText xml:space="preserve"> HYPERLINK "http://www.itu.int/md/R12-SG05-RP-1006/en" </w:instrText>
            </w:r>
            <w:r w:rsidRPr="00F9410F">
              <w:rPr>
                <w:lang w:val="es-ES"/>
              </w:rPr>
              <w:fldChar w:fldCharType="separate"/>
            </w:r>
            <w:r w:rsidRPr="00F9410F">
              <w:rPr>
                <w:rStyle w:val="Hyperlink"/>
                <w:lang w:val="es-ES"/>
                <w:rPrChange w:id="15" w:author="Buonomo, Sergio" w:date="2015-08-26T16:34:00Z">
                  <w:rPr/>
                </w:rPrChange>
              </w:rPr>
              <w:t>5/100</w:t>
            </w:r>
            <w:r w:rsidRPr="00F9410F">
              <w:rPr>
                <w:rStyle w:val="Hyperlink"/>
                <w:lang w:val="es-ES" w:eastAsia="ja-JP"/>
              </w:rPr>
              <w:t>6</w:t>
            </w:r>
            <w:r w:rsidRPr="00F9410F">
              <w:rPr>
                <w:lang w:val="es-ES"/>
              </w:rPr>
              <w:fldChar w:fldCharType="end"/>
            </w:r>
            <w:r w:rsidRPr="00F9410F">
              <w:rPr>
                <w:lang w:val="es-ES"/>
                <w:rPrChange w:id="16" w:author="Buonomo, Sergio" w:date="2015-08-26T16:34:00Z">
                  <w:rPr/>
                </w:rPrChange>
              </w:rPr>
              <w:t>)</w:t>
            </w:r>
          </w:p>
          <w:p w:rsidR="00C00643" w:rsidRPr="00F9410F" w:rsidRDefault="00C00643" w:rsidP="002F1E53">
            <w:pPr>
              <w:pStyle w:val="Tabletext"/>
              <w:rPr>
                <w:lang w:val="es-ES"/>
              </w:rPr>
            </w:pPr>
            <w:r w:rsidRPr="00F9410F">
              <w:rPr>
                <w:lang w:val="es-ES" w:eastAsia="ja-JP"/>
              </w:rPr>
              <w:t xml:space="preserve">M.[VDES], </w:t>
            </w:r>
            <w:r w:rsidRPr="00F9410F">
              <w:rPr>
                <w:lang w:val="es-ES"/>
              </w:rPr>
              <w:t xml:space="preserve">(Doc. </w:t>
            </w:r>
            <w:hyperlink r:id="rId41" w:history="1">
              <w:r w:rsidRPr="00F9410F">
                <w:rPr>
                  <w:rStyle w:val="Hyperlink"/>
                  <w:lang w:val="es-ES"/>
                </w:rPr>
                <w:t>5/100</w:t>
              </w:r>
              <w:r w:rsidRPr="00F9410F">
                <w:rPr>
                  <w:rStyle w:val="Hyperlink"/>
                  <w:lang w:val="es-ES" w:eastAsia="ja-JP"/>
                </w:rPr>
                <w:t>7</w:t>
              </w:r>
            </w:hyperlink>
            <w:r w:rsidRPr="00F9410F">
              <w:rPr>
                <w:lang w:val="es-ES"/>
              </w:rPr>
              <w:t>)</w:t>
            </w:r>
          </w:p>
        </w:tc>
        <w:tc>
          <w:tcPr>
            <w:tcW w:w="4536" w:type="dxa"/>
          </w:tcPr>
          <w:p w:rsidR="00C00643" w:rsidRPr="00F9410F" w:rsidRDefault="00C00643" w:rsidP="002F1E53">
            <w:pPr>
              <w:pStyle w:val="Tabletext"/>
              <w:rPr>
                <w:lang w:val="es-ES" w:eastAsia="ja-JP"/>
              </w:rPr>
            </w:pPr>
            <w:r w:rsidRPr="00F9410F">
              <w:rPr>
                <w:szCs w:val="22"/>
                <w:lang w:val="es-ES" w:eastAsia="ja-JP"/>
              </w:rPr>
              <w:t xml:space="preserve">M.541-9, </w:t>
            </w:r>
            <w:r w:rsidRPr="00F9410F">
              <w:rPr>
                <w:lang w:val="es-ES"/>
              </w:rPr>
              <w:t xml:space="preserve">(Doc. </w:t>
            </w:r>
            <w:hyperlink r:id="rId42" w:history="1">
              <w:r w:rsidRPr="00F9410F">
                <w:rPr>
                  <w:rStyle w:val="Hyperlink"/>
                  <w:lang w:val="es-ES"/>
                </w:rPr>
                <w:t>5/100</w:t>
              </w:r>
              <w:r w:rsidRPr="00F9410F">
                <w:rPr>
                  <w:rStyle w:val="Hyperlink"/>
                  <w:lang w:val="es-ES" w:eastAsia="ja-JP"/>
                </w:rPr>
                <w:t>5</w:t>
              </w:r>
            </w:hyperlink>
            <w:r w:rsidRPr="00F9410F">
              <w:rPr>
                <w:lang w:val="es-ES"/>
              </w:rPr>
              <w:t>)</w:t>
            </w:r>
            <w:r w:rsidRPr="00F9410F">
              <w:rPr>
                <w:lang w:val="es-ES" w:eastAsia="ja-JP"/>
              </w:rPr>
              <w:t xml:space="preserve"> </w:t>
            </w:r>
            <w:r w:rsidRPr="002A2C9F">
              <w:rPr>
                <w:vertAlign w:val="superscript"/>
                <w:lang w:val="es-ES" w:eastAsia="ja-JP"/>
              </w:rPr>
              <w:t>(*)</w:t>
            </w:r>
          </w:p>
        </w:tc>
      </w:tr>
      <w:tr w:rsidR="00C00643" w:rsidRPr="00F9410F" w:rsidTr="002F1E53">
        <w:trPr>
          <w:jc w:val="center"/>
        </w:trPr>
        <w:tc>
          <w:tcPr>
            <w:tcW w:w="1158" w:type="dxa"/>
            <w:tcBorders>
              <w:bottom w:val="single" w:sz="4" w:space="0" w:color="auto"/>
            </w:tcBorders>
          </w:tcPr>
          <w:p w:rsidR="00C00643" w:rsidRPr="00F9410F" w:rsidRDefault="00C00643" w:rsidP="002F1E53">
            <w:pPr>
              <w:pStyle w:val="Tabletext"/>
              <w:jc w:val="center"/>
              <w:rPr>
                <w:lang w:val="es-ES"/>
              </w:rPr>
            </w:pPr>
            <w:r w:rsidRPr="00F9410F">
              <w:rPr>
                <w:lang w:val="es-ES"/>
              </w:rPr>
              <w:t>GT 5D</w:t>
            </w:r>
          </w:p>
        </w:tc>
        <w:tc>
          <w:tcPr>
            <w:tcW w:w="4195" w:type="dxa"/>
            <w:tcBorders>
              <w:bottom w:val="single" w:sz="4" w:space="0" w:color="auto"/>
            </w:tcBorders>
          </w:tcPr>
          <w:p w:rsidR="00C00643" w:rsidRPr="00F9410F" w:rsidRDefault="00C00643" w:rsidP="002F1E53">
            <w:pPr>
              <w:pStyle w:val="Tabletext"/>
              <w:rPr>
                <w:lang w:val="es-ES"/>
              </w:rPr>
            </w:pPr>
            <w:r w:rsidRPr="00F9410F">
              <w:rPr>
                <w:lang w:val="es-ES"/>
              </w:rPr>
              <w:t>M.[</w:t>
            </w:r>
            <w:r w:rsidRPr="00F9410F">
              <w:rPr>
                <w:lang w:val="es-ES" w:eastAsia="ja-JP"/>
              </w:rPr>
              <w:t>BSMS700</w:t>
            </w:r>
            <w:r w:rsidRPr="00F9410F">
              <w:rPr>
                <w:lang w:val="es-ES"/>
              </w:rPr>
              <w:t>]</w:t>
            </w:r>
            <w:r w:rsidRPr="00F9410F">
              <w:rPr>
                <w:lang w:val="es-ES" w:eastAsia="ja-JP"/>
              </w:rPr>
              <w:t>,</w:t>
            </w:r>
            <w:r w:rsidRPr="00F9410F">
              <w:rPr>
                <w:lang w:val="es-ES"/>
              </w:rPr>
              <w:t xml:space="preserve"> (Doc. </w:t>
            </w:r>
            <w:hyperlink r:id="rId43" w:history="1">
              <w:r w:rsidRPr="00F9410F">
                <w:rPr>
                  <w:rStyle w:val="Hyperlink"/>
                  <w:lang w:val="es-ES"/>
                </w:rPr>
                <w:t>5/100</w:t>
              </w:r>
              <w:r w:rsidRPr="00F9410F">
                <w:rPr>
                  <w:rStyle w:val="Hyperlink"/>
                  <w:lang w:val="es-ES" w:eastAsia="ja-JP"/>
                </w:rPr>
                <w:t>9</w:t>
              </w:r>
            </w:hyperlink>
            <w:r w:rsidRPr="00F9410F">
              <w:rPr>
                <w:lang w:val="es-ES"/>
              </w:rPr>
              <w:t>)</w:t>
            </w:r>
          </w:p>
        </w:tc>
        <w:tc>
          <w:tcPr>
            <w:tcW w:w="4536" w:type="dxa"/>
            <w:tcBorders>
              <w:bottom w:val="single" w:sz="4" w:space="0" w:color="auto"/>
            </w:tcBorders>
          </w:tcPr>
          <w:p w:rsidR="00C00643" w:rsidRPr="00F9410F" w:rsidRDefault="00C00643" w:rsidP="002F1E53">
            <w:pPr>
              <w:pStyle w:val="Tabletext"/>
              <w:rPr>
                <w:lang w:val="es-ES" w:eastAsia="ja-JP"/>
              </w:rPr>
            </w:pPr>
            <w:r w:rsidRPr="00F9410F">
              <w:rPr>
                <w:lang w:val="es-ES"/>
              </w:rPr>
              <w:t>M.1036-</w:t>
            </w:r>
            <w:r w:rsidRPr="00F9410F">
              <w:rPr>
                <w:lang w:val="es-ES" w:eastAsia="ja-JP"/>
              </w:rPr>
              <w:t xml:space="preserve">4 </w:t>
            </w:r>
            <w:r w:rsidRPr="00F9410F">
              <w:rPr>
                <w:szCs w:val="22"/>
                <w:lang w:val="es-ES" w:eastAsia="ja-JP"/>
              </w:rPr>
              <w:t xml:space="preserve"> </w:t>
            </w:r>
            <w:r w:rsidRPr="00F9410F">
              <w:rPr>
                <w:lang w:val="es-ES"/>
              </w:rPr>
              <w:t xml:space="preserve">(Doc. </w:t>
            </w:r>
            <w:hyperlink r:id="rId44" w:history="1">
              <w:r w:rsidRPr="00F9410F">
                <w:rPr>
                  <w:rStyle w:val="Hyperlink"/>
                  <w:lang w:val="es-ES"/>
                </w:rPr>
                <w:t>5/100</w:t>
              </w:r>
              <w:r w:rsidRPr="00F9410F">
                <w:rPr>
                  <w:rStyle w:val="Hyperlink"/>
                  <w:lang w:val="es-ES" w:eastAsia="ja-JP"/>
                </w:rPr>
                <w:t>8</w:t>
              </w:r>
            </w:hyperlink>
            <w:r w:rsidRPr="00F9410F">
              <w:rPr>
                <w:lang w:val="es-ES"/>
              </w:rPr>
              <w:t>)</w:t>
            </w:r>
          </w:p>
        </w:tc>
      </w:tr>
      <w:tr w:rsidR="00C00643" w:rsidRPr="00F9410F" w:rsidTr="002F1E53">
        <w:trPr>
          <w:jc w:val="center"/>
        </w:trPr>
        <w:tc>
          <w:tcPr>
            <w:tcW w:w="9889" w:type="dxa"/>
            <w:gridSpan w:val="3"/>
            <w:tcBorders>
              <w:top w:val="single" w:sz="4" w:space="0" w:color="auto"/>
              <w:left w:val="nil"/>
              <w:bottom w:val="nil"/>
              <w:right w:val="nil"/>
            </w:tcBorders>
          </w:tcPr>
          <w:p w:rsidR="00C00643" w:rsidRPr="00F9410F" w:rsidRDefault="00C00643" w:rsidP="007C7FB8">
            <w:pPr>
              <w:pStyle w:val="Tablelegend"/>
              <w:rPr>
                <w:lang w:val="es-ES"/>
              </w:rPr>
            </w:pPr>
            <w:r w:rsidRPr="007C7FB8">
              <w:rPr>
                <w:vertAlign w:val="superscript"/>
              </w:rPr>
              <w:t>(*)</w:t>
            </w:r>
            <w:r w:rsidR="007C7FB8" w:rsidRPr="007C7FB8">
              <w:rPr>
                <w:vertAlign w:val="superscript"/>
              </w:rPr>
              <w:tab/>
            </w:r>
            <w:r w:rsidRPr="00F9410F">
              <w:rPr>
                <w:lang w:val="es-ES" w:eastAsia="ja-JP"/>
              </w:rPr>
              <w:t>Este proyecto de Recomendación se ha adoptado por correspondencia y se ha enviado a la AR-15 para su aprobación.</w:t>
            </w:r>
          </w:p>
        </w:tc>
      </w:tr>
    </w:tbl>
    <w:p w:rsidR="00C00643" w:rsidRPr="00F9410F" w:rsidRDefault="00C00643" w:rsidP="00C00643">
      <w:pPr>
        <w:pStyle w:val="TableNo"/>
        <w:rPr>
          <w:lang w:val="es-ES"/>
        </w:rPr>
      </w:pPr>
      <w:r w:rsidRPr="00F9410F">
        <w:rPr>
          <w:lang w:val="es-ES"/>
        </w:rPr>
        <w:t>cuadro A2-3</w:t>
      </w:r>
    </w:p>
    <w:p w:rsidR="00C00643" w:rsidRPr="00F9410F" w:rsidRDefault="00C00643" w:rsidP="00C00643">
      <w:pPr>
        <w:pStyle w:val="Tabletitle"/>
        <w:rPr>
          <w:lang w:val="es-ES"/>
        </w:rPr>
      </w:pPr>
      <w:r w:rsidRPr="00F9410F">
        <w:rPr>
          <w:lang w:val="es-ES" w:eastAsia="ja-JP"/>
        </w:rPr>
        <w:t>Recomendaciones suprimidas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8731"/>
      </w:tblGrid>
      <w:tr w:rsidR="00C00643" w:rsidRPr="00F9410F" w:rsidTr="002F1E53">
        <w:trPr>
          <w:jc w:val="center"/>
        </w:trPr>
        <w:tc>
          <w:tcPr>
            <w:tcW w:w="1158" w:type="dxa"/>
          </w:tcPr>
          <w:p w:rsidR="00C00643" w:rsidRPr="00F9410F" w:rsidRDefault="00C00643" w:rsidP="002F1E53">
            <w:pPr>
              <w:pStyle w:val="Tablehead"/>
              <w:rPr>
                <w:lang w:val="es-ES"/>
              </w:rPr>
            </w:pPr>
            <w:r w:rsidRPr="00F9410F">
              <w:rPr>
                <w:lang w:val="es-ES"/>
              </w:rPr>
              <w:t>GT</w:t>
            </w:r>
          </w:p>
        </w:tc>
        <w:tc>
          <w:tcPr>
            <w:tcW w:w="8731" w:type="dxa"/>
          </w:tcPr>
          <w:p w:rsidR="00C00643" w:rsidRPr="00F9410F" w:rsidRDefault="00C00643" w:rsidP="002F1E53">
            <w:pPr>
              <w:pStyle w:val="Tablehead"/>
              <w:rPr>
                <w:lang w:val="es-ES"/>
              </w:rPr>
            </w:pPr>
            <w:r w:rsidRPr="00F9410F">
              <w:rPr>
                <w:lang w:val="es-ES" w:eastAsia="ja-JP"/>
              </w:rPr>
              <w:t>(</w:t>
            </w:r>
            <w:r w:rsidRPr="00F9410F">
              <w:rPr>
                <w:lang w:val="es-ES"/>
              </w:rPr>
              <w:t>Rec. UIT-R</w:t>
            </w:r>
            <w:r w:rsidRPr="00F9410F">
              <w:rPr>
                <w:lang w:val="es-ES" w:eastAsia="ja-JP"/>
              </w:rPr>
              <w:t>)</w:t>
            </w:r>
          </w:p>
        </w:tc>
      </w:tr>
      <w:tr w:rsidR="00C00643" w:rsidRPr="00F9410F" w:rsidTr="002F1E53">
        <w:trPr>
          <w:jc w:val="center"/>
        </w:trPr>
        <w:tc>
          <w:tcPr>
            <w:tcW w:w="1158" w:type="dxa"/>
          </w:tcPr>
          <w:p w:rsidR="00C00643" w:rsidRPr="00F9410F" w:rsidRDefault="00C00643" w:rsidP="002F1E53">
            <w:pPr>
              <w:pStyle w:val="Tabletext"/>
              <w:jc w:val="center"/>
              <w:rPr>
                <w:lang w:val="es-ES"/>
              </w:rPr>
            </w:pPr>
            <w:r w:rsidRPr="00F9410F">
              <w:rPr>
                <w:lang w:val="es-ES"/>
              </w:rPr>
              <w:t>GT 5A</w:t>
            </w:r>
          </w:p>
        </w:tc>
        <w:tc>
          <w:tcPr>
            <w:tcW w:w="8731" w:type="dxa"/>
          </w:tcPr>
          <w:p w:rsidR="00C00643" w:rsidRPr="00F9410F" w:rsidRDefault="00C00643" w:rsidP="002F1E53">
            <w:pPr>
              <w:pStyle w:val="Tabletext"/>
              <w:rPr>
                <w:lang w:val="es-ES" w:eastAsia="ja-JP"/>
              </w:rPr>
            </w:pPr>
            <w:r w:rsidRPr="00F9410F">
              <w:rPr>
                <w:lang w:val="es-ES" w:eastAsia="ja-JP"/>
              </w:rPr>
              <w:t>M.1222, M.1740</w:t>
            </w:r>
          </w:p>
        </w:tc>
      </w:tr>
      <w:tr w:rsidR="00C00643" w:rsidRPr="00F9410F" w:rsidTr="002F1E53">
        <w:trPr>
          <w:jc w:val="center"/>
        </w:trPr>
        <w:tc>
          <w:tcPr>
            <w:tcW w:w="1158" w:type="dxa"/>
          </w:tcPr>
          <w:p w:rsidR="00C00643" w:rsidRPr="00F9410F" w:rsidRDefault="00C00643" w:rsidP="002F1E53">
            <w:pPr>
              <w:pStyle w:val="Tabletext"/>
              <w:jc w:val="center"/>
              <w:rPr>
                <w:lang w:val="es-ES"/>
              </w:rPr>
            </w:pPr>
            <w:r w:rsidRPr="00F9410F">
              <w:rPr>
                <w:lang w:val="es-ES"/>
              </w:rPr>
              <w:t>GT 5B</w:t>
            </w:r>
          </w:p>
        </w:tc>
        <w:tc>
          <w:tcPr>
            <w:tcW w:w="8731" w:type="dxa"/>
          </w:tcPr>
          <w:p w:rsidR="00C00643" w:rsidRPr="00F9410F" w:rsidRDefault="00C00643" w:rsidP="002F1E53">
            <w:pPr>
              <w:pStyle w:val="Tabletext"/>
              <w:rPr>
                <w:lang w:val="es-ES"/>
              </w:rPr>
            </w:pPr>
          </w:p>
        </w:tc>
      </w:tr>
      <w:tr w:rsidR="00C00643" w:rsidRPr="00F9410F" w:rsidTr="002F1E53">
        <w:trPr>
          <w:jc w:val="center"/>
        </w:trPr>
        <w:tc>
          <w:tcPr>
            <w:tcW w:w="1158" w:type="dxa"/>
          </w:tcPr>
          <w:p w:rsidR="00C00643" w:rsidRPr="00F9410F" w:rsidRDefault="00C00643" w:rsidP="002F1E53">
            <w:pPr>
              <w:pStyle w:val="Tabletext"/>
              <w:jc w:val="center"/>
              <w:rPr>
                <w:lang w:val="es-ES"/>
              </w:rPr>
            </w:pPr>
            <w:r w:rsidRPr="00F9410F">
              <w:rPr>
                <w:lang w:val="es-ES"/>
              </w:rPr>
              <w:t>GT 5C</w:t>
            </w:r>
          </w:p>
        </w:tc>
        <w:tc>
          <w:tcPr>
            <w:tcW w:w="8731" w:type="dxa"/>
          </w:tcPr>
          <w:p w:rsidR="00C00643" w:rsidRPr="00F9410F" w:rsidRDefault="00C00643" w:rsidP="002F1E53">
            <w:pPr>
              <w:pStyle w:val="Tabletext"/>
              <w:rPr>
                <w:lang w:val="es-ES" w:eastAsia="ja-JP"/>
              </w:rPr>
            </w:pPr>
            <w:r w:rsidRPr="00F9410F">
              <w:rPr>
                <w:lang w:val="es-ES" w:eastAsia="ja-JP"/>
              </w:rPr>
              <w:t>F.760-1, SF.356-4, SF.357-4</w:t>
            </w:r>
          </w:p>
        </w:tc>
      </w:tr>
      <w:tr w:rsidR="00C00643" w:rsidRPr="00F9410F" w:rsidTr="002F1E53">
        <w:trPr>
          <w:jc w:val="center"/>
        </w:trPr>
        <w:tc>
          <w:tcPr>
            <w:tcW w:w="1158" w:type="dxa"/>
          </w:tcPr>
          <w:p w:rsidR="00C00643" w:rsidRPr="00F9410F" w:rsidRDefault="00C00643" w:rsidP="002F1E53">
            <w:pPr>
              <w:pStyle w:val="Tabletext"/>
              <w:jc w:val="center"/>
              <w:rPr>
                <w:lang w:val="es-ES" w:eastAsia="ja-JP"/>
              </w:rPr>
            </w:pPr>
            <w:r w:rsidRPr="00F9410F">
              <w:rPr>
                <w:lang w:val="es-ES" w:eastAsia="ja-JP"/>
              </w:rPr>
              <w:t>GT 5D</w:t>
            </w:r>
          </w:p>
        </w:tc>
        <w:tc>
          <w:tcPr>
            <w:tcW w:w="8731" w:type="dxa"/>
          </w:tcPr>
          <w:p w:rsidR="00C00643" w:rsidRPr="00F9410F" w:rsidRDefault="00C00643" w:rsidP="002F1E53">
            <w:pPr>
              <w:pStyle w:val="Tabletext"/>
              <w:rPr>
                <w:lang w:val="es-ES" w:eastAsia="ja-JP"/>
              </w:rPr>
            </w:pPr>
          </w:p>
        </w:tc>
      </w:tr>
    </w:tbl>
    <w:p w:rsidR="00C00643" w:rsidRPr="00F9410F" w:rsidRDefault="00C00643" w:rsidP="00C00643">
      <w:pPr>
        <w:tabs>
          <w:tab w:val="clear" w:pos="1134"/>
          <w:tab w:val="clear" w:pos="1871"/>
          <w:tab w:val="clear" w:pos="2268"/>
        </w:tabs>
        <w:overflowPunct/>
        <w:autoSpaceDE/>
        <w:autoSpaceDN/>
        <w:adjustRightInd/>
        <w:spacing w:before="0"/>
        <w:textAlignment w:val="auto"/>
        <w:rPr>
          <w:caps/>
          <w:sz w:val="20"/>
          <w:lang w:val="es-ES"/>
        </w:rPr>
      </w:pPr>
      <w:r w:rsidRPr="00F9410F">
        <w:rPr>
          <w:lang w:val="es-ES"/>
        </w:rPr>
        <w:br w:type="page"/>
      </w:r>
    </w:p>
    <w:p w:rsidR="00C00643" w:rsidRPr="00F9410F" w:rsidRDefault="00C00643" w:rsidP="00C00643">
      <w:pPr>
        <w:pStyle w:val="TableNo"/>
        <w:rPr>
          <w:lang w:val="es-ES" w:eastAsia="ja-JP"/>
        </w:rPr>
      </w:pPr>
      <w:r w:rsidRPr="00F9410F">
        <w:rPr>
          <w:lang w:val="es-ES"/>
        </w:rPr>
        <w:lastRenderedPageBreak/>
        <w:t>cuadro A2-4</w:t>
      </w:r>
    </w:p>
    <w:p w:rsidR="00C00643" w:rsidRPr="00F9410F" w:rsidRDefault="00C00643" w:rsidP="00C00643">
      <w:pPr>
        <w:pStyle w:val="Tabletitle"/>
        <w:rPr>
          <w:lang w:val="es-ES"/>
        </w:rPr>
      </w:pPr>
      <w:r w:rsidRPr="00F9410F">
        <w:rPr>
          <w:lang w:val="es-ES"/>
        </w:rPr>
        <w:t>Informes nuevos y revisados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969"/>
        <w:gridCol w:w="4661"/>
      </w:tblGrid>
      <w:tr w:rsidR="00C00643" w:rsidRPr="00F9410F" w:rsidTr="002F1E53">
        <w:trPr>
          <w:jc w:val="center"/>
        </w:trPr>
        <w:tc>
          <w:tcPr>
            <w:tcW w:w="1259" w:type="dxa"/>
            <w:vAlign w:val="center"/>
          </w:tcPr>
          <w:p w:rsidR="00C00643" w:rsidRPr="00F9410F" w:rsidRDefault="00C00643" w:rsidP="002F1E53">
            <w:pPr>
              <w:pStyle w:val="Tablehead"/>
              <w:rPr>
                <w:lang w:val="es-ES"/>
              </w:rPr>
            </w:pPr>
            <w:r w:rsidRPr="00F9410F">
              <w:rPr>
                <w:lang w:val="es-ES"/>
              </w:rPr>
              <w:t>GT</w:t>
            </w:r>
          </w:p>
        </w:tc>
        <w:tc>
          <w:tcPr>
            <w:tcW w:w="3969" w:type="dxa"/>
          </w:tcPr>
          <w:p w:rsidR="00C00643" w:rsidRPr="00F9410F" w:rsidRDefault="00C00643" w:rsidP="002F1E53">
            <w:pPr>
              <w:pStyle w:val="Tablehead"/>
              <w:rPr>
                <w:lang w:val="es-ES" w:eastAsia="ja-JP"/>
              </w:rPr>
            </w:pPr>
            <w:r w:rsidRPr="00F9410F">
              <w:rPr>
                <w:lang w:val="es-ES"/>
              </w:rPr>
              <w:t>Nuevos</w:t>
            </w:r>
            <w:r w:rsidRPr="00F9410F">
              <w:rPr>
                <w:lang w:val="es-ES"/>
              </w:rPr>
              <w:br/>
            </w:r>
            <w:r w:rsidRPr="00F9410F">
              <w:rPr>
                <w:lang w:val="es-ES" w:eastAsia="ja-JP"/>
              </w:rPr>
              <w:t>(</w:t>
            </w:r>
            <w:r w:rsidRPr="00F9410F">
              <w:rPr>
                <w:lang w:val="es-ES"/>
              </w:rPr>
              <w:t>Informes UIT-R</w:t>
            </w:r>
            <w:r w:rsidRPr="00F9410F">
              <w:rPr>
                <w:lang w:val="es-ES" w:eastAsia="ja-JP"/>
              </w:rPr>
              <w:t>)</w:t>
            </w:r>
          </w:p>
        </w:tc>
        <w:tc>
          <w:tcPr>
            <w:tcW w:w="4661" w:type="dxa"/>
          </w:tcPr>
          <w:p w:rsidR="00C00643" w:rsidRPr="00F9410F" w:rsidRDefault="00C00643" w:rsidP="002F1E53">
            <w:pPr>
              <w:pStyle w:val="Tablehead"/>
              <w:rPr>
                <w:lang w:val="es-ES"/>
              </w:rPr>
            </w:pPr>
            <w:r w:rsidRPr="00F9410F">
              <w:rPr>
                <w:lang w:val="es-ES" w:eastAsia="ja-JP"/>
              </w:rPr>
              <w:t>R</w:t>
            </w:r>
            <w:r w:rsidRPr="00F9410F">
              <w:rPr>
                <w:lang w:val="es-ES"/>
              </w:rPr>
              <w:t>evisados</w:t>
            </w:r>
            <w:r w:rsidRPr="00F9410F">
              <w:rPr>
                <w:lang w:val="es-ES" w:eastAsia="ja-JP"/>
              </w:rPr>
              <w:br/>
              <w:t>(</w:t>
            </w:r>
            <w:r w:rsidRPr="00F9410F">
              <w:rPr>
                <w:lang w:val="es-ES"/>
              </w:rPr>
              <w:t>Informes UIT-R</w:t>
            </w:r>
            <w:r w:rsidRPr="00F9410F">
              <w:rPr>
                <w:lang w:val="es-ES" w:eastAsia="ja-JP"/>
              </w:rPr>
              <w:t>)</w:t>
            </w:r>
          </w:p>
        </w:tc>
      </w:tr>
      <w:tr w:rsidR="00C00643" w:rsidRPr="00F9410F" w:rsidTr="002F1E53">
        <w:trPr>
          <w:jc w:val="center"/>
        </w:trPr>
        <w:tc>
          <w:tcPr>
            <w:tcW w:w="1259" w:type="dxa"/>
          </w:tcPr>
          <w:p w:rsidR="00C00643" w:rsidRPr="00F9410F" w:rsidRDefault="00C00643" w:rsidP="002F1E53">
            <w:pPr>
              <w:pStyle w:val="Tabletext"/>
              <w:jc w:val="center"/>
              <w:rPr>
                <w:lang w:val="es-ES"/>
              </w:rPr>
            </w:pPr>
            <w:r w:rsidRPr="00F9410F">
              <w:rPr>
                <w:lang w:val="es-ES"/>
              </w:rPr>
              <w:t>GT 5A</w:t>
            </w:r>
          </w:p>
        </w:tc>
        <w:tc>
          <w:tcPr>
            <w:tcW w:w="3969" w:type="dxa"/>
          </w:tcPr>
          <w:p w:rsidR="00C00643" w:rsidRPr="00F9410F" w:rsidRDefault="00C00643" w:rsidP="002F1E53">
            <w:pPr>
              <w:pStyle w:val="Tabletext"/>
              <w:rPr>
                <w:lang w:val="es-ES" w:eastAsia="ja-JP"/>
              </w:rPr>
            </w:pPr>
            <w:r w:rsidRPr="00F9410F">
              <w:rPr>
                <w:lang w:val="es-ES"/>
              </w:rPr>
              <w:t>M.2</w:t>
            </w:r>
            <w:r w:rsidRPr="00F9410F">
              <w:rPr>
                <w:lang w:val="es-ES" w:eastAsia="ja-JP"/>
              </w:rPr>
              <w:t>264-0</w:t>
            </w:r>
            <w:r w:rsidRPr="00F9410F">
              <w:rPr>
                <w:lang w:val="es-ES"/>
              </w:rPr>
              <w:t xml:space="preserve">, </w:t>
            </w:r>
            <w:r w:rsidRPr="00F9410F">
              <w:rPr>
                <w:lang w:val="es-ES" w:eastAsia="ja-JP"/>
              </w:rPr>
              <w:t>M.2281-0, M.2282-0, M.2330-0, M.2335-0, M.2377, M.2378</w:t>
            </w:r>
          </w:p>
        </w:tc>
        <w:tc>
          <w:tcPr>
            <w:tcW w:w="4661" w:type="dxa"/>
          </w:tcPr>
          <w:p w:rsidR="00C00643" w:rsidRPr="00F9410F" w:rsidRDefault="00C00643" w:rsidP="002F1E53">
            <w:pPr>
              <w:pStyle w:val="Tabletext"/>
              <w:rPr>
                <w:lang w:val="es-ES"/>
              </w:rPr>
            </w:pPr>
            <w:r w:rsidRPr="00F9410F">
              <w:rPr>
                <w:szCs w:val="22"/>
                <w:lang w:val="es-ES" w:eastAsia="ja-JP"/>
              </w:rPr>
              <w:t>M.2014-2, M.2116-2, M.2117-1, M.2227-1, M.2228-1</w:t>
            </w:r>
          </w:p>
        </w:tc>
      </w:tr>
      <w:tr w:rsidR="00C00643" w:rsidRPr="00F9410F" w:rsidTr="002F1E53">
        <w:trPr>
          <w:jc w:val="center"/>
        </w:trPr>
        <w:tc>
          <w:tcPr>
            <w:tcW w:w="1259" w:type="dxa"/>
          </w:tcPr>
          <w:p w:rsidR="00C00643" w:rsidRPr="00F9410F" w:rsidRDefault="00C00643" w:rsidP="002F1E53">
            <w:pPr>
              <w:pStyle w:val="Tabletext"/>
              <w:jc w:val="center"/>
              <w:rPr>
                <w:lang w:val="es-ES"/>
              </w:rPr>
            </w:pPr>
            <w:r w:rsidRPr="00F9410F">
              <w:rPr>
                <w:lang w:val="es-ES"/>
              </w:rPr>
              <w:t>GT 5B</w:t>
            </w:r>
          </w:p>
        </w:tc>
        <w:tc>
          <w:tcPr>
            <w:tcW w:w="3969" w:type="dxa"/>
          </w:tcPr>
          <w:p w:rsidR="00C00643" w:rsidRPr="00F9410F" w:rsidRDefault="00C00643" w:rsidP="002F1E53">
            <w:pPr>
              <w:pStyle w:val="Tabletext"/>
              <w:rPr>
                <w:lang w:val="es-ES" w:eastAsia="ja-JP"/>
              </w:rPr>
            </w:pPr>
            <w:r w:rsidRPr="00F9410F">
              <w:rPr>
                <w:lang w:val="es-ES"/>
              </w:rPr>
              <w:t>M.2</w:t>
            </w:r>
            <w:r w:rsidRPr="00F9410F">
              <w:rPr>
                <w:lang w:val="es-ES" w:eastAsia="ja-JP"/>
              </w:rPr>
              <w:t>283-0</w:t>
            </w:r>
            <w:r w:rsidRPr="00F9410F">
              <w:rPr>
                <w:lang w:val="es-ES"/>
              </w:rPr>
              <w:t xml:space="preserve">, </w:t>
            </w:r>
            <w:r w:rsidRPr="00F9410F">
              <w:rPr>
                <w:lang w:val="es-ES" w:eastAsia="ja-JP"/>
              </w:rPr>
              <w:t xml:space="preserve">M.2284-0, </w:t>
            </w:r>
            <w:r w:rsidRPr="00F9410F">
              <w:rPr>
                <w:lang w:val="es-ES"/>
              </w:rPr>
              <w:t>M.2</w:t>
            </w:r>
            <w:r w:rsidRPr="00F9410F">
              <w:rPr>
                <w:lang w:val="es-ES" w:eastAsia="ja-JP"/>
              </w:rPr>
              <w:t>285-0</w:t>
            </w:r>
            <w:r w:rsidRPr="00F9410F">
              <w:rPr>
                <w:lang w:val="es-ES"/>
              </w:rPr>
              <w:t xml:space="preserve">, </w:t>
            </w:r>
            <w:r w:rsidRPr="00F9410F">
              <w:rPr>
                <w:lang w:val="es-ES" w:eastAsia="ja-JP"/>
              </w:rPr>
              <w:t xml:space="preserve">M.2286-0, </w:t>
            </w:r>
            <w:r w:rsidRPr="00F9410F">
              <w:rPr>
                <w:lang w:val="es-ES"/>
              </w:rPr>
              <w:t>M.2</w:t>
            </w:r>
            <w:r w:rsidRPr="00F9410F">
              <w:rPr>
                <w:lang w:val="es-ES" w:eastAsia="ja-JP"/>
              </w:rPr>
              <w:t>287-0</w:t>
            </w:r>
            <w:r w:rsidRPr="00F9410F">
              <w:rPr>
                <w:lang w:val="es-ES"/>
              </w:rPr>
              <w:t xml:space="preserve">, </w:t>
            </w:r>
            <w:r w:rsidRPr="00F9410F">
              <w:rPr>
                <w:lang w:val="es-ES" w:eastAsia="ja-JP"/>
              </w:rPr>
              <w:t>M.2288-0, M.2316-0, M.2317-0, M.2318-0, M.2319-0, M.2321-0, M.2322-0, M.2369, M.2371, M.2372</w:t>
            </w:r>
          </w:p>
        </w:tc>
        <w:tc>
          <w:tcPr>
            <w:tcW w:w="4661" w:type="dxa"/>
          </w:tcPr>
          <w:p w:rsidR="00C00643" w:rsidRPr="00F9410F" w:rsidRDefault="00C00643" w:rsidP="002F1E53">
            <w:pPr>
              <w:pStyle w:val="Tabletext"/>
              <w:rPr>
                <w:lang w:val="es-ES" w:eastAsia="ja-JP"/>
              </w:rPr>
            </w:pPr>
            <w:r w:rsidRPr="00F9410F">
              <w:rPr>
                <w:lang w:val="es-ES" w:eastAsia="ja-JP"/>
              </w:rPr>
              <w:t>M.2231-1</w:t>
            </w:r>
          </w:p>
        </w:tc>
      </w:tr>
      <w:tr w:rsidR="00C00643" w:rsidRPr="00F9410F" w:rsidTr="002F1E53">
        <w:trPr>
          <w:jc w:val="center"/>
        </w:trPr>
        <w:tc>
          <w:tcPr>
            <w:tcW w:w="1259" w:type="dxa"/>
          </w:tcPr>
          <w:p w:rsidR="00C00643" w:rsidRPr="00F9410F" w:rsidRDefault="00C00643" w:rsidP="002F1E53">
            <w:pPr>
              <w:pStyle w:val="Tabletext"/>
              <w:jc w:val="center"/>
              <w:rPr>
                <w:lang w:val="es-ES"/>
              </w:rPr>
            </w:pPr>
            <w:r w:rsidRPr="00F9410F">
              <w:rPr>
                <w:lang w:val="es-ES"/>
              </w:rPr>
              <w:t>GT 5C</w:t>
            </w:r>
          </w:p>
        </w:tc>
        <w:tc>
          <w:tcPr>
            <w:tcW w:w="3969" w:type="dxa"/>
          </w:tcPr>
          <w:p w:rsidR="00C00643" w:rsidRPr="00F9410F" w:rsidRDefault="00C00643" w:rsidP="002F1E53">
            <w:pPr>
              <w:pStyle w:val="Tabletext"/>
              <w:rPr>
                <w:lang w:val="es-ES" w:eastAsia="ja-JP"/>
              </w:rPr>
            </w:pPr>
            <w:r w:rsidRPr="00F9410F">
              <w:rPr>
                <w:lang w:val="es-ES" w:eastAsia="ja-JP"/>
              </w:rPr>
              <w:t>F.2263-0, F.2323-0, F.2379</w:t>
            </w:r>
          </w:p>
        </w:tc>
        <w:tc>
          <w:tcPr>
            <w:tcW w:w="4661" w:type="dxa"/>
          </w:tcPr>
          <w:p w:rsidR="00C00643" w:rsidRPr="00F9410F" w:rsidRDefault="00C00643" w:rsidP="002F1E53">
            <w:pPr>
              <w:pStyle w:val="Tabletext"/>
              <w:rPr>
                <w:lang w:val="es-ES"/>
              </w:rPr>
            </w:pPr>
          </w:p>
        </w:tc>
      </w:tr>
      <w:tr w:rsidR="00C00643" w:rsidRPr="00F9410F" w:rsidTr="002F1E53">
        <w:trPr>
          <w:jc w:val="center"/>
        </w:trPr>
        <w:tc>
          <w:tcPr>
            <w:tcW w:w="1259" w:type="dxa"/>
          </w:tcPr>
          <w:p w:rsidR="00C00643" w:rsidRPr="00F9410F" w:rsidRDefault="00C00643" w:rsidP="002F1E53">
            <w:pPr>
              <w:pStyle w:val="Tabletext"/>
              <w:jc w:val="center"/>
              <w:rPr>
                <w:lang w:val="es-ES"/>
              </w:rPr>
            </w:pPr>
            <w:r w:rsidRPr="00F9410F">
              <w:rPr>
                <w:lang w:val="es-ES"/>
              </w:rPr>
              <w:t>GT 5D</w:t>
            </w:r>
          </w:p>
        </w:tc>
        <w:tc>
          <w:tcPr>
            <w:tcW w:w="3969" w:type="dxa"/>
          </w:tcPr>
          <w:p w:rsidR="00C00643" w:rsidRPr="00F9410F" w:rsidRDefault="00C00643" w:rsidP="002F1E53">
            <w:pPr>
              <w:pStyle w:val="Tabletext"/>
              <w:rPr>
                <w:lang w:val="es-ES" w:eastAsia="ja-JP"/>
              </w:rPr>
            </w:pPr>
            <w:r w:rsidRPr="00F9410F">
              <w:rPr>
                <w:lang w:val="es-ES" w:eastAsia="ja-JP"/>
              </w:rPr>
              <w:t>M.2289-0, M.2290-0, M.2291-0, M.2292-0, M.2320-0, M.2334-0, M.2370, M.2373, M.2374, M.2375, M.2376</w:t>
            </w:r>
          </w:p>
        </w:tc>
        <w:tc>
          <w:tcPr>
            <w:tcW w:w="4661" w:type="dxa"/>
          </w:tcPr>
          <w:p w:rsidR="00C00643" w:rsidRPr="00F9410F" w:rsidRDefault="00C00643" w:rsidP="002F1E53">
            <w:pPr>
              <w:pStyle w:val="Tabletext"/>
              <w:rPr>
                <w:lang w:val="es-ES" w:eastAsia="ja-JP"/>
              </w:rPr>
            </w:pPr>
            <w:r w:rsidRPr="00F9410F">
              <w:rPr>
                <w:lang w:val="es-ES" w:eastAsia="ja-JP"/>
              </w:rPr>
              <w:t>M.2039-3</w:t>
            </w:r>
          </w:p>
        </w:tc>
      </w:tr>
      <w:tr w:rsidR="00C00643" w:rsidRPr="00740256" w:rsidTr="002F1E53">
        <w:trPr>
          <w:jc w:val="center"/>
        </w:trPr>
        <w:tc>
          <w:tcPr>
            <w:tcW w:w="1259" w:type="dxa"/>
          </w:tcPr>
          <w:p w:rsidR="00C00643" w:rsidRPr="00F9410F" w:rsidRDefault="00C00643" w:rsidP="002F1E53">
            <w:pPr>
              <w:pStyle w:val="Tabletext"/>
              <w:jc w:val="center"/>
              <w:rPr>
                <w:lang w:val="es-ES" w:eastAsia="ja-JP"/>
              </w:rPr>
            </w:pPr>
            <w:r w:rsidRPr="00F9410F">
              <w:rPr>
                <w:lang w:val="es-ES" w:eastAsia="ja-JP"/>
              </w:rPr>
              <w:t>GMTE 4-5-6-7</w:t>
            </w:r>
          </w:p>
        </w:tc>
        <w:tc>
          <w:tcPr>
            <w:tcW w:w="3969" w:type="dxa"/>
          </w:tcPr>
          <w:p w:rsidR="00C00643" w:rsidRPr="000E5BB6" w:rsidRDefault="00C00643" w:rsidP="001C7013">
            <w:pPr>
              <w:pStyle w:val="Tabletext"/>
              <w:rPr>
                <w:lang w:val="fr-CH"/>
              </w:rPr>
            </w:pPr>
            <w:r w:rsidRPr="000E5BB6">
              <w:rPr>
                <w:lang w:val="fr-CH" w:eastAsia="ja-JP"/>
              </w:rPr>
              <w:t>BS.2340-0, BT.2337-0, BT.2338-0, BT.2339</w:t>
            </w:r>
            <w:r w:rsidRPr="000E5BB6">
              <w:rPr>
                <w:lang w:val="fr-CH" w:eastAsia="ja-JP"/>
              </w:rPr>
              <w:noBreakHyphen/>
              <w:t>0, F.2326-0, F.2327-0, F.2328-0, F.2331-0, F.2333-0, M.2324-0, RA.2332-0, RS.2336-0, S.2367, S.2368, SA.2325-0, SA.2329-0</w:t>
            </w:r>
          </w:p>
        </w:tc>
        <w:tc>
          <w:tcPr>
            <w:tcW w:w="4661" w:type="dxa"/>
          </w:tcPr>
          <w:p w:rsidR="00C00643" w:rsidRPr="000E5BB6" w:rsidRDefault="00C00643" w:rsidP="002F1E53">
            <w:pPr>
              <w:pStyle w:val="Tabletext"/>
              <w:rPr>
                <w:lang w:val="fr-CH"/>
              </w:rPr>
            </w:pPr>
          </w:p>
        </w:tc>
      </w:tr>
    </w:tbl>
    <w:p w:rsidR="00C00643" w:rsidRPr="00F9410F" w:rsidRDefault="00C00643" w:rsidP="00C00643">
      <w:pPr>
        <w:pStyle w:val="TableNo"/>
        <w:rPr>
          <w:lang w:val="es-ES" w:eastAsia="ja-JP"/>
        </w:rPr>
      </w:pPr>
      <w:r w:rsidRPr="00F9410F">
        <w:rPr>
          <w:lang w:val="es-ES"/>
        </w:rPr>
        <w:t>cuadro A2-5</w:t>
      </w:r>
    </w:p>
    <w:p w:rsidR="00C00643" w:rsidRPr="00F9410F" w:rsidRDefault="00C00643" w:rsidP="00C00643">
      <w:pPr>
        <w:pStyle w:val="Tabletitle"/>
        <w:rPr>
          <w:lang w:val="es-ES"/>
        </w:rPr>
      </w:pPr>
      <w:r w:rsidRPr="00F9410F">
        <w:rPr>
          <w:lang w:val="es-ES"/>
        </w:rPr>
        <w:t>Informes suprimidos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88"/>
      </w:tblGrid>
      <w:tr w:rsidR="00C00643" w:rsidRPr="00F9410F" w:rsidTr="002F1E53">
        <w:trPr>
          <w:jc w:val="center"/>
        </w:trPr>
        <w:tc>
          <w:tcPr>
            <w:tcW w:w="1101" w:type="dxa"/>
          </w:tcPr>
          <w:p w:rsidR="00C00643" w:rsidRPr="00F9410F" w:rsidRDefault="00C00643" w:rsidP="002F1E53">
            <w:pPr>
              <w:pStyle w:val="Tablehead"/>
              <w:rPr>
                <w:lang w:val="es-ES"/>
              </w:rPr>
            </w:pPr>
            <w:r w:rsidRPr="00F9410F">
              <w:rPr>
                <w:lang w:val="es-ES"/>
              </w:rPr>
              <w:t>GT</w:t>
            </w:r>
          </w:p>
        </w:tc>
        <w:tc>
          <w:tcPr>
            <w:tcW w:w="8788" w:type="dxa"/>
          </w:tcPr>
          <w:p w:rsidR="00C00643" w:rsidRPr="00F9410F" w:rsidRDefault="00C00643" w:rsidP="002F1E53">
            <w:pPr>
              <w:pStyle w:val="Tablehead"/>
              <w:rPr>
                <w:lang w:val="es-ES"/>
              </w:rPr>
            </w:pPr>
            <w:r w:rsidRPr="00F9410F">
              <w:rPr>
                <w:lang w:val="es-ES"/>
              </w:rPr>
              <w:t xml:space="preserve">Informes UIT-R </w:t>
            </w:r>
          </w:p>
        </w:tc>
      </w:tr>
      <w:tr w:rsidR="00C00643" w:rsidRPr="00F9410F" w:rsidTr="002F1E53">
        <w:trPr>
          <w:jc w:val="center"/>
        </w:trPr>
        <w:tc>
          <w:tcPr>
            <w:tcW w:w="1101" w:type="dxa"/>
          </w:tcPr>
          <w:p w:rsidR="00C00643" w:rsidRPr="00F9410F" w:rsidRDefault="00C00643" w:rsidP="002F1E53">
            <w:pPr>
              <w:pStyle w:val="Tabletext"/>
              <w:jc w:val="center"/>
              <w:rPr>
                <w:lang w:val="es-ES"/>
              </w:rPr>
            </w:pPr>
            <w:r w:rsidRPr="00F9410F">
              <w:rPr>
                <w:lang w:val="es-ES"/>
              </w:rPr>
              <w:t>GT 5A</w:t>
            </w:r>
          </w:p>
        </w:tc>
        <w:tc>
          <w:tcPr>
            <w:tcW w:w="8788" w:type="dxa"/>
          </w:tcPr>
          <w:p w:rsidR="00C00643" w:rsidRPr="00F9410F" w:rsidRDefault="00C00643" w:rsidP="002F1E53">
            <w:pPr>
              <w:pStyle w:val="Tabletext"/>
              <w:rPr>
                <w:lang w:val="es-ES" w:eastAsia="ja-JP"/>
              </w:rPr>
            </w:pPr>
            <w:r w:rsidRPr="00F9410F">
              <w:rPr>
                <w:lang w:val="es-ES" w:eastAsia="ja-JP"/>
              </w:rPr>
              <w:t>M.741-3, M.901-2, M.1051-1, M.2033</w:t>
            </w:r>
          </w:p>
        </w:tc>
      </w:tr>
      <w:tr w:rsidR="00C00643" w:rsidRPr="00F9410F" w:rsidTr="002F1E53">
        <w:trPr>
          <w:jc w:val="center"/>
        </w:trPr>
        <w:tc>
          <w:tcPr>
            <w:tcW w:w="1101" w:type="dxa"/>
          </w:tcPr>
          <w:p w:rsidR="00C00643" w:rsidRPr="00F9410F" w:rsidRDefault="00C00643" w:rsidP="002F1E53">
            <w:pPr>
              <w:pStyle w:val="Tabletext"/>
              <w:jc w:val="center"/>
              <w:rPr>
                <w:lang w:val="es-ES"/>
              </w:rPr>
            </w:pPr>
            <w:r w:rsidRPr="00F9410F">
              <w:rPr>
                <w:lang w:val="es-ES"/>
              </w:rPr>
              <w:t>GT 5B</w:t>
            </w:r>
          </w:p>
        </w:tc>
        <w:tc>
          <w:tcPr>
            <w:tcW w:w="8788" w:type="dxa"/>
          </w:tcPr>
          <w:p w:rsidR="00C00643" w:rsidRPr="00F9410F" w:rsidRDefault="00C00643" w:rsidP="002F1E53">
            <w:pPr>
              <w:pStyle w:val="Tabletext"/>
              <w:rPr>
                <w:lang w:val="es-ES"/>
              </w:rPr>
            </w:pPr>
          </w:p>
        </w:tc>
      </w:tr>
      <w:tr w:rsidR="00C00643" w:rsidRPr="00F9410F" w:rsidTr="002F1E53">
        <w:trPr>
          <w:jc w:val="center"/>
        </w:trPr>
        <w:tc>
          <w:tcPr>
            <w:tcW w:w="1101" w:type="dxa"/>
          </w:tcPr>
          <w:p w:rsidR="00C00643" w:rsidRPr="00F9410F" w:rsidRDefault="00C00643" w:rsidP="002F1E53">
            <w:pPr>
              <w:pStyle w:val="Tabletext"/>
              <w:jc w:val="center"/>
              <w:rPr>
                <w:lang w:val="es-ES"/>
              </w:rPr>
            </w:pPr>
            <w:r w:rsidRPr="00F9410F">
              <w:rPr>
                <w:lang w:val="es-ES"/>
              </w:rPr>
              <w:t>GT 5C</w:t>
            </w:r>
          </w:p>
        </w:tc>
        <w:tc>
          <w:tcPr>
            <w:tcW w:w="8788" w:type="dxa"/>
          </w:tcPr>
          <w:p w:rsidR="00C00643" w:rsidRPr="00F9410F" w:rsidRDefault="00C00643" w:rsidP="002F1E53">
            <w:pPr>
              <w:pStyle w:val="Tabletext"/>
              <w:rPr>
                <w:lang w:val="es-ES" w:eastAsia="ja-JP"/>
              </w:rPr>
            </w:pPr>
            <w:r w:rsidRPr="00F9410F">
              <w:rPr>
                <w:lang w:val="es-ES" w:eastAsia="ja-JP"/>
              </w:rPr>
              <w:t>F.2047</w:t>
            </w:r>
          </w:p>
        </w:tc>
      </w:tr>
      <w:tr w:rsidR="00C00643" w:rsidRPr="00F9410F" w:rsidTr="002F1E53">
        <w:trPr>
          <w:jc w:val="center"/>
        </w:trPr>
        <w:tc>
          <w:tcPr>
            <w:tcW w:w="1101" w:type="dxa"/>
          </w:tcPr>
          <w:p w:rsidR="00C00643" w:rsidRPr="00F9410F" w:rsidRDefault="00C00643" w:rsidP="002F1E53">
            <w:pPr>
              <w:pStyle w:val="Tabletext"/>
              <w:jc w:val="center"/>
              <w:rPr>
                <w:lang w:val="es-ES" w:eastAsia="ja-JP"/>
              </w:rPr>
            </w:pPr>
            <w:r w:rsidRPr="00F9410F">
              <w:rPr>
                <w:lang w:val="es-ES"/>
              </w:rPr>
              <w:t xml:space="preserve">GT </w:t>
            </w:r>
            <w:r w:rsidRPr="00F9410F">
              <w:rPr>
                <w:lang w:val="es-ES" w:eastAsia="ja-JP"/>
              </w:rPr>
              <w:t>5D</w:t>
            </w:r>
          </w:p>
        </w:tc>
        <w:tc>
          <w:tcPr>
            <w:tcW w:w="8788" w:type="dxa"/>
          </w:tcPr>
          <w:p w:rsidR="00C00643" w:rsidRPr="00F9410F" w:rsidRDefault="00C00643" w:rsidP="002F1E53">
            <w:pPr>
              <w:pStyle w:val="Tabletext"/>
              <w:rPr>
                <w:lang w:val="es-ES"/>
              </w:rPr>
            </w:pPr>
          </w:p>
        </w:tc>
      </w:tr>
    </w:tbl>
    <w:p w:rsidR="00C00643" w:rsidRPr="00F9410F" w:rsidRDefault="00C00643" w:rsidP="00C00643">
      <w:pPr>
        <w:pStyle w:val="TableNo"/>
        <w:rPr>
          <w:lang w:val="es-ES" w:eastAsia="ja-JP"/>
        </w:rPr>
      </w:pPr>
      <w:r w:rsidRPr="00F9410F">
        <w:rPr>
          <w:lang w:val="es-ES"/>
        </w:rPr>
        <w:t xml:space="preserve">cuadro </w:t>
      </w:r>
      <w:r w:rsidRPr="00F9410F">
        <w:rPr>
          <w:lang w:val="es-ES" w:eastAsia="ja-JP"/>
        </w:rPr>
        <w:t>A2-6</w:t>
      </w:r>
    </w:p>
    <w:p w:rsidR="00C00643" w:rsidRPr="00F9410F" w:rsidRDefault="00C00643" w:rsidP="00C00643">
      <w:pPr>
        <w:pStyle w:val="Tabletitle"/>
        <w:rPr>
          <w:lang w:val="es-ES"/>
        </w:rPr>
      </w:pPr>
      <w:r w:rsidRPr="00F9410F">
        <w:rPr>
          <w:lang w:val="es-ES"/>
        </w:rPr>
        <w:t xml:space="preserve">Cuestiones nuevas, revisadas y mantenidas </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404"/>
        <w:gridCol w:w="2835"/>
        <w:gridCol w:w="3472"/>
      </w:tblGrid>
      <w:tr w:rsidR="00C00643" w:rsidRPr="00F9410F" w:rsidTr="007C7FB8">
        <w:trPr>
          <w:jc w:val="center"/>
        </w:trPr>
        <w:tc>
          <w:tcPr>
            <w:tcW w:w="1135" w:type="dxa"/>
            <w:vAlign w:val="center"/>
          </w:tcPr>
          <w:p w:rsidR="00C00643" w:rsidRPr="00F9410F" w:rsidRDefault="00C00643" w:rsidP="002F1E53">
            <w:pPr>
              <w:pStyle w:val="Tablehead"/>
              <w:rPr>
                <w:lang w:val="es-ES"/>
              </w:rPr>
            </w:pPr>
            <w:r w:rsidRPr="00F9410F">
              <w:rPr>
                <w:lang w:val="es-ES"/>
              </w:rPr>
              <w:t>GT</w:t>
            </w:r>
          </w:p>
        </w:tc>
        <w:tc>
          <w:tcPr>
            <w:tcW w:w="2404" w:type="dxa"/>
          </w:tcPr>
          <w:p w:rsidR="00C00643" w:rsidRPr="00F9410F" w:rsidRDefault="00C00643" w:rsidP="002F1E53">
            <w:pPr>
              <w:pStyle w:val="Tablehead"/>
              <w:rPr>
                <w:lang w:val="es-ES" w:eastAsia="ja-JP"/>
              </w:rPr>
            </w:pPr>
            <w:r w:rsidRPr="00F9410F">
              <w:rPr>
                <w:lang w:val="es-ES"/>
              </w:rPr>
              <w:t>Nuevas</w:t>
            </w:r>
            <w:r w:rsidRPr="00F9410F">
              <w:rPr>
                <w:lang w:val="es-ES"/>
              </w:rPr>
              <w:br/>
            </w:r>
            <w:r w:rsidRPr="00F9410F">
              <w:rPr>
                <w:lang w:val="es-ES" w:eastAsia="ja-JP"/>
              </w:rPr>
              <w:t>(Cuestiones UIT</w:t>
            </w:r>
            <w:r w:rsidRPr="00F9410F">
              <w:rPr>
                <w:lang w:val="es-ES"/>
              </w:rPr>
              <w:t>-R</w:t>
            </w:r>
            <w:r w:rsidRPr="00F9410F">
              <w:rPr>
                <w:lang w:val="es-ES" w:eastAsia="ja-JP"/>
              </w:rPr>
              <w:t>)</w:t>
            </w:r>
          </w:p>
        </w:tc>
        <w:tc>
          <w:tcPr>
            <w:tcW w:w="2835" w:type="dxa"/>
          </w:tcPr>
          <w:p w:rsidR="00C00643" w:rsidRPr="00F9410F" w:rsidRDefault="00C00643" w:rsidP="002F1E53">
            <w:pPr>
              <w:pStyle w:val="Tablehead"/>
              <w:rPr>
                <w:lang w:val="es-ES"/>
              </w:rPr>
            </w:pPr>
            <w:r w:rsidRPr="00F9410F">
              <w:rPr>
                <w:lang w:val="es-ES" w:eastAsia="ja-JP"/>
              </w:rPr>
              <w:t>Revisadas</w:t>
            </w:r>
            <w:r w:rsidRPr="00F9410F">
              <w:rPr>
                <w:lang w:val="es-ES" w:eastAsia="ja-JP"/>
              </w:rPr>
              <w:br/>
              <w:t>(Cuestiones UIT</w:t>
            </w:r>
            <w:r w:rsidRPr="00F9410F">
              <w:rPr>
                <w:lang w:val="es-ES"/>
              </w:rPr>
              <w:t>-R</w:t>
            </w:r>
            <w:r w:rsidRPr="00F9410F">
              <w:rPr>
                <w:lang w:val="es-ES" w:eastAsia="ja-JP"/>
              </w:rPr>
              <w:t>)</w:t>
            </w:r>
          </w:p>
        </w:tc>
        <w:tc>
          <w:tcPr>
            <w:tcW w:w="3472" w:type="dxa"/>
          </w:tcPr>
          <w:p w:rsidR="00C00643" w:rsidRPr="00F9410F" w:rsidRDefault="00C00643" w:rsidP="002F1E53">
            <w:pPr>
              <w:pStyle w:val="Tablehead"/>
              <w:rPr>
                <w:lang w:val="es-ES" w:eastAsia="ja-JP"/>
              </w:rPr>
            </w:pPr>
            <w:r w:rsidRPr="00F9410F">
              <w:rPr>
                <w:lang w:val="es-ES" w:eastAsia="ja-JP"/>
              </w:rPr>
              <w:t>Mantenidas (</w:t>
            </w:r>
            <w:r w:rsidRPr="00F9410F">
              <w:rPr>
                <w:lang w:val="es-ES"/>
              </w:rPr>
              <w:t>Cuestiones UIT</w:t>
            </w:r>
            <w:r w:rsidRPr="00F9410F">
              <w:rPr>
                <w:lang w:val="es-ES"/>
              </w:rPr>
              <w:noBreakHyphen/>
              <w:t>R)</w:t>
            </w:r>
            <w:r w:rsidRPr="00F9410F">
              <w:rPr>
                <w:lang w:val="es-ES" w:eastAsia="ja-JP"/>
              </w:rPr>
              <w:t xml:space="preserve"> </w:t>
            </w:r>
            <w:r w:rsidRPr="007C7FB8">
              <w:rPr>
                <w:vertAlign w:val="superscript"/>
              </w:rPr>
              <w:t>(*)</w:t>
            </w:r>
          </w:p>
        </w:tc>
      </w:tr>
      <w:tr w:rsidR="00C00643" w:rsidRPr="00F9410F" w:rsidTr="007C7FB8">
        <w:trPr>
          <w:jc w:val="center"/>
        </w:trPr>
        <w:tc>
          <w:tcPr>
            <w:tcW w:w="1135" w:type="dxa"/>
          </w:tcPr>
          <w:p w:rsidR="00C00643" w:rsidRPr="00F9410F" w:rsidRDefault="00C00643" w:rsidP="002F1E53">
            <w:pPr>
              <w:pStyle w:val="Tabletext"/>
              <w:jc w:val="center"/>
              <w:rPr>
                <w:lang w:val="es-ES"/>
              </w:rPr>
            </w:pPr>
            <w:r w:rsidRPr="00F9410F">
              <w:rPr>
                <w:lang w:val="es-ES"/>
              </w:rPr>
              <w:t>GT 5A</w:t>
            </w:r>
          </w:p>
        </w:tc>
        <w:tc>
          <w:tcPr>
            <w:tcW w:w="2404" w:type="dxa"/>
          </w:tcPr>
          <w:p w:rsidR="00C00643" w:rsidRPr="00F9410F" w:rsidRDefault="00C00643" w:rsidP="002F1E53">
            <w:pPr>
              <w:pStyle w:val="Tabletext"/>
              <w:rPr>
                <w:lang w:val="es-ES" w:eastAsia="ja-JP"/>
              </w:rPr>
            </w:pPr>
            <w:r w:rsidRPr="00F9410F">
              <w:rPr>
                <w:lang w:val="es-ES" w:eastAsia="ja-JP"/>
              </w:rPr>
              <w:t xml:space="preserve">254-0/5, 256-0/5, </w:t>
            </w:r>
          </w:p>
        </w:tc>
        <w:tc>
          <w:tcPr>
            <w:tcW w:w="2835" w:type="dxa"/>
          </w:tcPr>
          <w:p w:rsidR="00C00643" w:rsidRPr="00F9410F" w:rsidRDefault="00C00643" w:rsidP="002F1E53">
            <w:pPr>
              <w:pStyle w:val="Tabletext"/>
              <w:rPr>
                <w:lang w:val="es-ES"/>
              </w:rPr>
            </w:pPr>
            <w:r w:rsidRPr="00F9410F">
              <w:rPr>
                <w:lang w:val="es-ES" w:eastAsia="ja-JP"/>
              </w:rPr>
              <w:t>1-6/5, 48-7/5, 209-5/5, 241-3/5</w:t>
            </w:r>
          </w:p>
        </w:tc>
        <w:tc>
          <w:tcPr>
            <w:tcW w:w="3472" w:type="dxa"/>
          </w:tcPr>
          <w:p w:rsidR="00C00643" w:rsidRPr="00F9410F" w:rsidRDefault="00C00643" w:rsidP="002F1E53">
            <w:pPr>
              <w:pStyle w:val="Tabletext"/>
              <w:rPr>
                <w:lang w:val="es-ES"/>
              </w:rPr>
            </w:pPr>
            <w:r w:rsidRPr="00F9410F">
              <w:rPr>
                <w:lang w:val="es-ES" w:eastAsia="ja-JP"/>
              </w:rPr>
              <w:t>7-7/5, 37-6/5, 101-4/5, 205-5/5, 212-4/5, 215-4/5, 238-2/5, 250-1/5, 254-0/5</w:t>
            </w:r>
          </w:p>
        </w:tc>
      </w:tr>
      <w:tr w:rsidR="00C00643" w:rsidRPr="00F9410F" w:rsidTr="007C7FB8">
        <w:trPr>
          <w:jc w:val="center"/>
        </w:trPr>
        <w:tc>
          <w:tcPr>
            <w:tcW w:w="1135" w:type="dxa"/>
          </w:tcPr>
          <w:p w:rsidR="00C00643" w:rsidRPr="00F9410F" w:rsidRDefault="00C00643" w:rsidP="002F1E53">
            <w:pPr>
              <w:pStyle w:val="Tabletext"/>
              <w:jc w:val="center"/>
              <w:rPr>
                <w:lang w:val="es-ES"/>
              </w:rPr>
            </w:pPr>
            <w:r w:rsidRPr="00F9410F">
              <w:rPr>
                <w:lang w:val="es-ES"/>
              </w:rPr>
              <w:t>GT 5B</w:t>
            </w:r>
          </w:p>
        </w:tc>
        <w:tc>
          <w:tcPr>
            <w:tcW w:w="2404" w:type="dxa"/>
          </w:tcPr>
          <w:p w:rsidR="00C00643" w:rsidRPr="00F9410F" w:rsidRDefault="00C00643" w:rsidP="002F1E53">
            <w:pPr>
              <w:pStyle w:val="Tabletext"/>
              <w:rPr>
                <w:lang w:val="es-ES" w:eastAsia="ja-JP"/>
              </w:rPr>
            </w:pPr>
            <w:r w:rsidRPr="00F9410F">
              <w:rPr>
                <w:lang w:val="es-ES" w:eastAsia="ja-JP"/>
              </w:rPr>
              <w:t>259-0/5</w:t>
            </w:r>
          </w:p>
        </w:tc>
        <w:tc>
          <w:tcPr>
            <w:tcW w:w="2835" w:type="dxa"/>
          </w:tcPr>
          <w:p w:rsidR="00C00643" w:rsidRPr="00F9410F" w:rsidRDefault="00C00643" w:rsidP="002F1E53">
            <w:pPr>
              <w:pStyle w:val="Tabletext"/>
              <w:rPr>
                <w:lang w:val="es-ES"/>
              </w:rPr>
            </w:pPr>
          </w:p>
        </w:tc>
        <w:tc>
          <w:tcPr>
            <w:tcW w:w="3472" w:type="dxa"/>
          </w:tcPr>
          <w:p w:rsidR="00C00643" w:rsidRPr="00F9410F" w:rsidRDefault="00C00643" w:rsidP="002F1E53">
            <w:pPr>
              <w:pStyle w:val="Tabletext"/>
              <w:rPr>
                <w:lang w:val="es-ES"/>
              </w:rPr>
            </w:pPr>
            <w:r w:rsidRPr="00F9410F">
              <w:rPr>
                <w:lang w:val="es-ES" w:eastAsia="ja-JP"/>
              </w:rPr>
              <w:t>62-2/5, 235-0/5</w:t>
            </w:r>
          </w:p>
        </w:tc>
      </w:tr>
      <w:tr w:rsidR="00C00643" w:rsidRPr="00F9410F" w:rsidTr="007C7FB8">
        <w:trPr>
          <w:jc w:val="center"/>
        </w:trPr>
        <w:tc>
          <w:tcPr>
            <w:tcW w:w="1135" w:type="dxa"/>
            <w:tcBorders>
              <w:bottom w:val="single" w:sz="4" w:space="0" w:color="auto"/>
            </w:tcBorders>
          </w:tcPr>
          <w:p w:rsidR="00C00643" w:rsidRPr="00F9410F" w:rsidRDefault="00C00643" w:rsidP="002F1E53">
            <w:pPr>
              <w:pStyle w:val="Tabletext"/>
              <w:jc w:val="center"/>
              <w:rPr>
                <w:lang w:val="es-ES"/>
              </w:rPr>
            </w:pPr>
            <w:r w:rsidRPr="00F9410F">
              <w:rPr>
                <w:lang w:val="es-ES"/>
              </w:rPr>
              <w:t>GT 5C</w:t>
            </w:r>
          </w:p>
        </w:tc>
        <w:tc>
          <w:tcPr>
            <w:tcW w:w="2404" w:type="dxa"/>
            <w:tcBorders>
              <w:bottom w:val="single" w:sz="4" w:space="0" w:color="auto"/>
            </w:tcBorders>
          </w:tcPr>
          <w:p w:rsidR="00C00643" w:rsidRPr="00F9410F" w:rsidRDefault="00C00643" w:rsidP="002F1E53">
            <w:pPr>
              <w:pStyle w:val="Tabletext"/>
              <w:rPr>
                <w:lang w:val="es-ES" w:eastAsia="ja-JP"/>
              </w:rPr>
            </w:pPr>
            <w:r w:rsidRPr="00F9410F">
              <w:rPr>
                <w:lang w:val="es-ES" w:eastAsia="ja-JP"/>
              </w:rPr>
              <w:t>255-0/5, 257-0/5, 258-0/5</w:t>
            </w:r>
          </w:p>
        </w:tc>
        <w:tc>
          <w:tcPr>
            <w:tcW w:w="2835" w:type="dxa"/>
            <w:tcBorders>
              <w:bottom w:val="single" w:sz="4" w:space="0" w:color="auto"/>
            </w:tcBorders>
          </w:tcPr>
          <w:p w:rsidR="00C00643" w:rsidRPr="00F9410F" w:rsidRDefault="00C00643" w:rsidP="002F1E53">
            <w:pPr>
              <w:pStyle w:val="Tabletext"/>
              <w:rPr>
                <w:lang w:val="es-ES"/>
              </w:rPr>
            </w:pPr>
            <w:r w:rsidRPr="00F9410F">
              <w:rPr>
                <w:lang w:val="es-ES" w:eastAsia="ja-JP"/>
              </w:rPr>
              <w:t>242-2/5</w:t>
            </w:r>
          </w:p>
        </w:tc>
        <w:tc>
          <w:tcPr>
            <w:tcW w:w="3472" w:type="dxa"/>
            <w:tcBorders>
              <w:bottom w:val="single" w:sz="4" w:space="0" w:color="auto"/>
            </w:tcBorders>
          </w:tcPr>
          <w:p w:rsidR="00C00643" w:rsidRPr="00F9410F" w:rsidRDefault="00C00643" w:rsidP="002F1E53">
            <w:pPr>
              <w:pStyle w:val="Tabletext"/>
              <w:rPr>
                <w:lang w:val="es-ES"/>
              </w:rPr>
            </w:pPr>
            <w:r w:rsidRPr="00F9410F">
              <w:rPr>
                <w:lang w:val="es-ES" w:eastAsia="ja-JP"/>
              </w:rPr>
              <w:t>110-3/5, 246-0/5, 247-1/5, 248-0/5, 252-0/5, 253-0/5, 255-0/5</w:t>
            </w:r>
          </w:p>
        </w:tc>
      </w:tr>
      <w:tr w:rsidR="00C00643" w:rsidRPr="00F9410F" w:rsidTr="007C7FB8">
        <w:trPr>
          <w:jc w:val="center"/>
        </w:trPr>
        <w:tc>
          <w:tcPr>
            <w:tcW w:w="1135" w:type="dxa"/>
            <w:tcBorders>
              <w:bottom w:val="single" w:sz="4" w:space="0" w:color="auto"/>
            </w:tcBorders>
          </w:tcPr>
          <w:p w:rsidR="00C00643" w:rsidRPr="00F9410F" w:rsidRDefault="00C00643" w:rsidP="002F1E53">
            <w:pPr>
              <w:pStyle w:val="Tabletext"/>
              <w:jc w:val="center"/>
              <w:rPr>
                <w:lang w:val="es-ES"/>
              </w:rPr>
            </w:pPr>
            <w:r w:rsidRPr="00F9410F">
              <w:rPr>
                <w:lang w:val="es-ES"/>
              </w:rPr>
              <w:t>GT 5D</w:t>
            </w:r>
          </w:p>
        </w:tc>
        <w:tc>
          <w:tcPr>
            <w:tcW w:w="2404" w:type="dxa"/>
            <w:tcBorders>
              <w:bottom w:val="single" w:sz="4" w:space="0" w:color="auto"/>
            </w:tcBorders>
          </w:tcPr>
          <w:p w:rsidR="00C00643" w:rsidRPr="00F9410F" w:rsidRDefault="00C00643" w:rsidP="002F1E53">
            <w:pPr>
              <w:pStyle w:val="Tabletext"/>
              <w:rPr>
                <w:lang w:val="es-ES"/>
              </w:rPr>
            </w:pPr>
          </w:p>
        </w:tc>
        <w:tc>
          <w:tcPr>
            <w:tcW w:w="2835" w:type="dxa"/>
            <w:tcBorders>
              <w:bottom w:val="single" w:sz="4" w:space="0" w:color="auto"/>
            </w:tcBorders>
          </w:tcPr>
          <w:p w:rsidR="00C00643" w:rsidRPr="00F9410F" w:rsidRDefault="00C00643" w:rsidP="002F1E53">
            <w:pPr>
              <w:pStyle w:val="Tabletext"/>
              <w:rPr>
                <w:lang w:val="es-ES"/>
              </w:rPr>
            </w:pPr>
            <w:r w:rsidRPr="00F9410F">
              <w:rPr>
                <w:lang w:val="es-ES" w:eastAsia="ja-JP"/>
              </w:rPr>
              <w:t>229-4/5</w:t>
            </w:r>
          </w:p>
        </w:tc>
        <w:tc>
          <w:tcPr>
            <w:tcW w:w="3472" w:type="dxa"/>
            <w:tcBorders>
              <w:bottom w:val="single" w:sz="4" w:space="0" w:color="auto"/>
            </w:tcBorders>
          </w:tcPr>
          <w:p w:rsidR="00C00643" w:rsidRPr="00F9410F" w:rsidRDefault="00C00643" w:rsidP="002F1E53">
            <w:pPr>
              <w:pStyle w:val="Tabletext"/>
              <w:rPr>
                <w:lang w:val="es-ES" w:eastAsia="ja-JP"/>
              </w:rPr>
            </w:pPr>
            <w:r w:rsidRPr="00F9410F">
              <w:rPr>
                <w:lang w:val="es-ES" w:eastAsia="ja-JP"/>
              </w:rPr>
              <w:t>77-7/5</w:t>
            </w:r>
          </w:p>
        </w:tc>
      </w:tr>
      <w:tr w:rsidR="00C00643" w:rsidRPr="00F9410F" w:rsidTr="002F1E53">
        <w:trPr>
          <w:jc w:val="center"/>
        </w:trPr>
        <w:tc>
          <w:tcPr>
            <w:tcW w:w="9846" w:type="dxa"/>
            <w:gridSpan w:val="4"/>
            <w:tcBorders>
              <w:top w:val="single" w:sz="4" w:space="0" w:color="auto"/>
              <w:left w:val="nil"/>
              <w:bottom w:val="nil"/>
              <w:right w:val="nil"/>
            </w:tcBorders>
          </w:tcPr>
          <w:p w:rsidR="00C00643" w:rsidRPr="00F9410F" w:rsidRDefault="00C00643" w:rsidP="00881D07">
            <w:pPr>
              <w:pStyle w:val="Tablelegend"/>
              <w:rPr>
                <w:lang w:val="es-ES" w:eastAsia="ja-JP"/>
              </w:rPr>
            </w:pPr>
            <w:r w:rsidRPr="007C7FB8">
              <w:rPr>
                <w:vertAlign w:val="superscript"/>
              </w:rPr>
              <w:t>(*)</w:t>
            </w:r>
            <w:r w:rsidR="007C7FB8">
              <w:rPr>
                <w:lang w:val="es-ES" w:eastAsia="ja-JP"/>
              </w:rPr>
              <w:tab/>
            </w:r>
            <w:r w:rsidRPr="00F9410F">
              <w:rPr>
                <w:lang w:val="es-ES" w:eastAsia="ja-JP"/>
              </w:rPr>
              <w:t xml:space="preserve">Algunas de las Cuestiones mantenidas se han actualizado desde el punto de vista de la redacción, de acuerdo con el </w:t>
            </w:r>
            <w:r w:rsidRPr="00F9410F">
              <w:rPr>
                <w:lang w:val="es-ES"/>
              </w:rPr>
              <w:t>§ </w:t>
            </w:r>
            <w:r w:rsidRPr="00F9410F">
              <w:rPr>
                <w:lang w:val="es-ES" w:eastAsia="ja-JP"/>
              </w:rPr>
              <w:t>11 de la Resolución UIT-R 1-6.</w:t>
            </w:r>
          </w:p>
        </w:tc>
      </w:tr>
    </w:tbl>
    <w:p w:rsidR="00C00643" w:rsidRPr="00F9410F" w:rsidRDefault="00C00643" w:rsidP="00C00643">
      <w:pPr>
        <w:tabs>
          <w:tab w:val="clear" w:pos="1134"/>
          <w:tab w:val="clear" w:pos="1871"/>
          <w:tab w:val="clear" w:pos="2268"/>
        </w:tabs>
        <w:overflowPunct/>
        <w:autoSpaceDE/>
        <w:autoSpaceDN/>
        <w:adjustRightInd/>
        <w:spacing w:before="0"/>
        <w:textAlignment w:val="auto"/>
        <w:rPr>
          <w:caps/>
          <w:sz w:val="20"/>
          <w:lang w:val="es-ES"/>
        </w:rPr>
      </w:pPr>
    </w:p>
    <w:p w:rsidR="00C00643" w:rsidRPr="00F9410F" w:rsidRDefault="00C00643" w:rsidP="00C00643">
      <w:pPr>
        <w:pStyle w:val="TableNo"/>
        <w:rPr>
          <w:lang w:val="es-ES" w:eastAsia="ja-JP"/>
        </w:rPr>
      </w:pPr>
      <w:r w:rsidRPr="00F9410F">
        <w:rPr>
          <w:lang w:val="es-ES"/>
        </w:rPr>
        <w:lastRenderedPageBreak/>
        <w:t xml:space="preserve">cuadro </w:t>
      </w:r>
      <w:r w:rsidRPr="00F9410F">
        <w:rPr>
          <w:lang w:val="es-ES" w:eastAsia="ja-JP"/>
        </w:rPr>
        <w:t>A2-7</w:t>
      </w:r>
    </w:p>
    <w:p w:rsidR="00C00643" w:rsidRPr="00F9410F" w:rsidRDefault="00C00643" w:rsidP="00C00643">
      <w:pPr>
        <w:pStyle w:val="Tabletitle"/>
        <w:rPr>
          <w:lang w:val="es-ES" w:eastAsia="ja-JP"/>
        </w:rPr>
      </w:pPr>
      <w:r w:rsidRPr="00F9410F">
        <w:rPr>
          <w:lang w:val="es-ES"/>
        </w:rPr>
        <w:t>Cuestiones suprimidas</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8788"/>
      </w:tblGrid>
      <w:tr w:rsidR="00C00643" w:rsidRPr="00F9410F" w:rsidTr="002F1E53">
        <w:trPr>
          <w:jc w:val="center"/>
        </w:trPr>
        <w:tc>
          <w:tcPr>
            <w:tcW w:w="959" w:type="dxa"/>
          </w:tcPr>
          <w:p w:rsidR="00C00643" w:rsidRPr="00F9410F" w:rsidRDefault="00C00643" w:rsidP="002F1E53">
            <w:pPr>
              <w:pStyle w:val="Tablehead"/>
              <w:rPr>
                <w:lang w:val="es-ES"/>
              </w:rPr>
            </w:pPr>
            <w:r w:rsidRPr="00F9410F">
              <w:rPr>
                <w:lang w:val="es-ES"/>
              </w:rPr>
              <w:t>GT</w:t>
            </w:r>
          </w:p>
        </w:tc>
        <w:tc>
          <w:tcPr>
            <w:tcW w:w="8788" w:type="dxa"/>
          </w:tcPr>
          <w:p w:rsidR="00C00643" w:rsidRPr="00F9410F" w:rsidRDefault="00C00643" w:rsidP="002F1E53">
            <w:pPr>
              <w:pStyle w:val="Tablehead"/>
              <w:rPr>
                <w:lang w:val="es-ES"/>
              </w:rPr>
            </w:pPr>
            <w:r w:rsidRPr="00F9410F">
              <w:rPr>
                <w:lang w:val="es-ES"/>
              </w:rPr>
              <w:t>Cuestiones UIT-R</w:t>
            </w:r>
          </w:p>
        </w:tc>
      </w:tr>
      <w:tr w:rsidR="00C00643" w:rsidRPr="00F9410F" w:rsidTr="002F1E53">
        <w:trPr>
          <w:jc w:val="center"/>
        </w:trPr>
        <w:tc>
          <w:tcPr>
            <w:tcW w:w="959" w:type="dxa"/>
          </w:tcPr>
          <w:p w:rsidR="00C00643" w:rsidRPr="00F9410F" w:rsidRDefault="00C00643" w:rsidP="002F1E53">
            <w:pPr>
              <w:pStyle w:val="Tabletext"/>
              <w:jc w:val="center"/>
              <w:rPr>
                <w:lang w:val="es-ES"/>
              </w:rPr>
            </w:pPr>
            <w:r w:rsidRPr="00F9410F">
              <w:rPr>
                <w:lang w:val="es-ES"/>
              </w:rPr>
              <w:t>GT 5A</w:t>
            </w:r>
          </w:p>
        </w:tc>
        <w:tc>
          <w:tcPr>
            <w:tcW w:w="8788" w:type="dxa"/>
          </w:tcPr>
          <w:p w:rsidR="00C00643" w:rsidRPr="00F9410F" w:rsidRDefault="00C00643" w:rsidP="002F1E53">
            <w:pPr>
              <w:pStyle w:val="Tabletext"/>
              <w:rPr>
                <w:lang w:val="es-ES" w:eastAsia="ja-JP"/>
              </w:rPr>
            </w:pPr>
            <w:r w:rsidRPr="00F9410F">
              <w:rPr>
                <w:lang w:val="es-ES" w:eastAsia="ja-JP"/>
              </w:rPr>
              <w:t>230-3/5</w:t>
            </w:r>
          </w:p>
        </w:tc>
      </w:tr>
      <w:tr w:rsidR="00C00643" w:rsidRPr="00F9410F" w:rsidTr="002F1E53">
        <w:trPr>
          <w:jc w:val="center"/>
        </w:trPr>
        <w:tc>
          <w:tcPr>
            <w:tcW w:w="959" w:type="dxa"/>
          </w:tcPr>
          <w:p w:rsidR="00C00643" w:rsidRPr="00F9410F" w:rsidRDefault="00C00643" w:rsidP="002F1E53">
            <w:pPr>
              <w:pStyle w:val="Tabletext"/>
              <w:jc w:val="center"/>
              <w:rPr>
                <w:lang w:val="es-ES"/>
              </w:rPr>
            </w:pPr>
            <w:r w:rsidRPr="00F9410F">
              <w:rPr>
                <w:lang w:val="es-ES"/>
              </w:rPr>
              <w:t>GT 5B</w:t>
            </w:r>
          </w:p>
        </w:tc>
        <w:tc>
          <w:tcPr>
            <w:tcW w:w="8788" w:type="dxa"/>
          </w:tcPr>
          <w:p w:rsidR="00C00643" w:rsidRPr="00F9410F" w:rsidRDefault="00C00643" w:rsidP="002F1E53">
            <w:pPr>
              <w:pStyle w:val="Tabletext"/>
              <w:rPr>
                <w:lang w:val="es-ES" w:eastAsia="ja-JP"/>
              </w:rPr>
            </w:pPr>
            <w:r w:rsidRPr="00F9410F">
              <w:rPr>
                <w:lang w:val="es-ES" w:eastAsia="ja-JP"/>
              </w:rPr>
              <w:t>202-3/5, 225/5, 231/5, 240/5, 249/5</w:t>
            </w:r>
          </w:p>
        </w:tc>
      </w:tr>
      <w:tr w:rsidR="00C00643" w:rsidRPr="00F9410F" w:rsidTr="002F1E53">
        <w:trPr>
          <w:jc w:val="center"/>
        </w:trPr>
        <w:tc>
          <w:tcPr>
            <w:tcW w:w="959" w:type="dxa"/>
          </w:tcPr>
          <w:p w:rsidR="00C00643" w:rsidRPr="00F9410F" w:rsidRDefault="00C00643" w:rsidP="002F1E53">
            <w:pPr>
              <w:pStyle w:val="Tabletext"/>
              <w:jc w:val="center"/>
              <w:rPr>
                <w:lang w:val="es-ES"/>
              </w:rPr>
            </w:pPr>
            <w:r w:rsidRPr="00F9410F">
              <w:rPr>
                <w:lang w:val="es-ES"/>
              </w:rPr>
              <w:t>GT 5C</w:t>
            </w:r>
          </w:p>
        </w:tc>
        <w:tc>
          <w:tcPr>
            <w:tcW w:w="8788" w:type="dxa"/>
          </w:tcPr>
          <w:p w:rsidR="00C00643" w:rsidRPr="00F9410F" w:rsidRDefault="00C00643" w:rsidP="002F1E53">
            <w:pPr>
              <w:pStyle w:val="Tabletext"/>
              <w:rPr>
                <w:lang w:val="es-ES" w:eastAsia="ja-JP"/>
              </w:rPr>
            </w:pPr>
            <w:r w:rsidRPr="00F9410F">
              <w:rPr>
                <w:lang w:val="es-ES" w:eastAsia="ja-JP"/>
              </w:rPr>
              <w:t>245/5</w:t>
            </w:r>
          </w:p>
        </w:tc>
      </w:tr>
      <w:tr w:rsidR="00C00643" w:rsidRPr="00F9410F" w:rsidTr="002F1E53">
        <w:trPr>
          <w:jc w:val="center"/>
        </w:trPr>
        <w:tc>
          <w:tcPr>
            <w:tcW w:w="959" w:type="dxa"/>
            <w:tcBorders>
              <w:bottom w:val="single" w:sz="4" w:space="0" w:color="auto"/>
            </w:tcBorders>
          </w:tcPr>
          <w:p w:rsidR="00C00643" w:rsidRPr="00F9410F" w:rsidRDefault="00C00643" w:rsidP="002F1E53">
            <w:pPr>
              <w:pStyle w:val="Tabletext"/>
              <w:jc w:val="center"/>
              <w:rPr>
                <w:lang w:val="es-ES"/>
              </w:rPr>
            </w:pPr>
            <w:r w:rsidRPr="00F9410F">
              <w:rPr>
                <w:lang w:val="es-ES"/>
              </w:rPr>
              <w:t>GT 5D</w:t>
            </w:r>
          </w:p>
        </w:tc>
        <w:tc>
          <w:tcPr>
            <w:tcW w:w="8788" w:type="dxa"/>
            <w:tcBorders>
              <w:bottom w:val="single" w:sz="4" w:space="0" w:color="auto"/>
            </w:tcBorders>
          </w:tcPr>
          <w:p w:rsidR="00C00643" w:rsidRPr="00F9410F" w:rsidRDefault="00C00643" w:rsidP="002F1E53">
            <w:pPr>
              <w:pStyle w:val="Tabletext"/>
              <w:rPr>
                <w:lang w:val="es-ES" w:eastAsia="ja-JP"/>
              </w:rPr>
            </w:pPr>
            <w:r w:rsidRPr="00F9410F">
              <w:rPr>
                <w:lang w:val="es-ES" w:eastAsia="ja-JP"/>
              </w:rPr>
              <w:t>251/5</w:t>
            </w:r>
          </w:p>
        </w:tc>
      </w:tr>
    </w:tbl>
    <w:p w:rsidR="00C00643" w:rsidRPr="00F9410F" w:rsidRDefault="00C00643" w:rsidP="00C00643">
      <w:pPr>
        <w:pStyle w:val="TableNo"/>
        <w:rPr>
          <w:lang w:val="es-ES" w:eastAsia="ja-JP"/>
        </w:rPr>
      </w:pPr>
      <w:r w:rsidRPr="00F9410F">
        <w:rPr>
          <w:lang w:val="es-ES"/>
        </w:rPr>
        <w:t xml:space="preserve">cuadro </w:t>
      </w:r>
      <w:r w:rsidRPr="00F9410F">
        <w:rPr>
          <w:lang w:val="es-ES" w:eastAsia="ja-JP"/>
        </w:rPr>
        <w:t>A2-8</w:t>
      </w:r>
    </w:p>
    <w:p w:rsidR="00C00643" w:rsidRPr="00F9410F" w:rsidRDefault="00C00643" w:rsidP="00C00643">
      <w:pPr>
        <w:pStyle w:val="Tabletitle"/>
        <w:rPr>
          <w:lang w:val="es-ES" w:eastAsia="ja-JP"/>
        </w:rPr>
      </w:pPr>
      <w:r w:rsidRPr="00F9410F">
        <w:rPr>
          <w:color w:val="000000"/>
          <w:lang w:val="es-ES"/>
        </w:rPr>
        <w:t>Resoluciones del UIT-R de interés específico para la Comisión de Estudio 5</w:t>
      </w:r>
      <w:r w:rsidRPr="00F9410F">
        <w:rPr>
          <w:lang w:val="es-ES" w:eastAsia="ja-JP"/>
        </w:rPr>
        <w:br/>
        <w:t>(</w:t>
      </w:r>
      <w:r w:rsidRPr="00F9410F">
        <w:rPr>
          <w:color w:val="000000"/>
          <w:lang w:val="es-ES"/>
        </w:rPr>
        <w:t xml:space="preserve">sometidas a la AR-15 para su aprobación en el Documento </w:t>
      </w:r>
      <w:hyperlink r:id="rId45" w:history="1">
        <w:r w:rsidRPr="00F9410F">
          <w:rPr>
            <w:rStyle w:val="Hyperlink"/>
            <w:lang w:val="es-ES" w:eastAsia="ja-JP"/>
          </w:rPr>
          <w:t>5/1004</w:t>
        </w:r>
      </w:hyperlink>
      <w:r w:rsidRPr="00F9410F">
        <w:rPr>
          <w:lang w:val="es-ES" w:eastAsia="ja-JP"/>
        </w:rPr>
        <w:t>)</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46"/>
      </w:tblGrid>
      <w:tr w:rsidR="00C00643" w:rsidRPr="00F9410F" w:rsidTr="002F1E53">
        <w:trPr>
          <w:jc w:val="center"/>
        </w:trPr>
        <w:tc>
          <w:tcPr>
            <w:tcW w:w="1101" w:type="dxa"/>
          </w:tcPr>
          <w:p w:rsidR="00C00643" w:rsidRPr="00F9410F" w:rsidRDefault="00C00643" w:rsidP="002F1E53">
            <w:pPr>
              <w:pStyle w:val="Tablehead"/>
              <w:rPr>
                <w:lang w:val="es-ES"/>
              </w:rPr>
            </w:pPr>
            <w:r w:rsidRPr="00F9410F">
              <w:rPr>
                <w:lang w:val="es-ES"/>
              </w:rPr>
              <w:t>GT</w:t>
            </w:r>
          </w:p>
        </w:tc>
        <w:tc>
          <w:tcPr>
            <w:tcW w:w="8646" w:type="dxa"/>
          </w:tcPr>
          <w:p w:rsidR="00C00643" w:rsidRPr="00F9410F" w:rsidRDefault="00C00643" w:rsidP="002F1E53">
            <w:pPr>
              <w:pStyle w:val="Tablehead"/>
              <w:rPr>
                <w:lang w:val="es-ES"/>
              </w:rPr>
            </w:pPr>
            <w:r w:rsidRPr="00F9410F">
              <w:rPr>
                <w:lang w:val="es-ES" w:eastAsia="ja-JP"/>
              </w:rPr>
              <w:t>Proyecto de nueva Resolución o de Resoluciones revisadas</w:t>
            </w:r>
            <w:r w:rsidRPr="001C7013">
              <w:rPr>
                <w:vertAlign w:val="superscript"/>
              </w:rPr>
              <w:t>(*)</w:t>
            </w:r>
          </w:p>
        </w:tc>
      </w:tr>
      <w:tr w:rsidR="00C00643" w:rsidRPr="00740256" w:rsidTr="002F1E53">
        <w:trPr>
          <w:jc w:val="center"/>
        </w:trPr>
        <w:tc>
          <w:tcPr>
            <w:tcW w:w="1101" w:type="dxa"/>
            <w:tcBorders>
              <w:bottom w:val="single" w:sz="4" w:space="0" w:color="auto"/>
            </w:tcBorders>
          </w:tcPr>
          <w:p w:rsidR="00C00643" w:rsidRPr="00F9410F" w:rsidRDefault="00C00643" w:rsidP="002F1E53">
            <w:pPr>
              <w:pStyle w:val="Tabletext"/>
              <w:rPr>
                <w:lang w:val="es-ES"/>
              </w:rPr>
            </w:pPr>
            <w:r w:rsidRPr="00F9410F">
              <w:rPr>
                <w:lang w:val="es-ES"/>
              </w:rPr>
              <w:t>GT 5D</w:t>
            </w:r>
          </w:p>
        </w:tc>
        <w:tc>
          <w:tcPr>
            <w:tcW w:w="8646" w:type="dxa"/>
            <w:tcBorders>
              <w:bottom w:val="single" w:sz="4" w:space="0" w:color="auto"/>
            </w:tcBorders>
          </w:tcPr>
          <w:p w:rsidR="00C00643" w:rsidRPr="000E5BB6" w:rsidRDefault="007C7FB8" w:rsidP="007C7FB8">
            <w:pPr>
              <w:pStyle w:val="Tabletext"/>
              <w:rPr>
                <w:lang w:val="fr-CH" w:eastAsia="ja-JP"/>
              </w:rPr>
            </w:pPr>
            <w:r>
              <w:rPr>
                <w:lang w:val="fr-CH"/>
              </w:rPr>
              <w:t>UIT</w:t>
            </w:r>
            <w:r w:rsidR="00C00643" w:rsidRPr="000E5BB6">
              <w:rPr>
                <w:lang w:val="fr-CH"/>
              </w:rPr>
              <w:noBreakHyphen/>
              <w:t>R 50-</w:t>
            </w:r>
            <w:r w:rsidR="00C00643" w:rsidRPr="000E5BB6">
              <w:rPr>
                <w:lang w:val="fr-CH" w:eastAsia="ja-JP"/>
              </w:rPr>
              <w:t>2</w:t>
            </w:r>
            <w:r w:rsidR="00C00643" w:rsidRPr="000E5BB6">
              <w:rPr>
                <w:lang w:val="fr-CH"/>
              </w:rPr>
              <w:t xml:space="preserve">, </w:t>
            </w:r>
            <w:r>
              <w:rPr>
                <w:lang w:val="fr-CH"/>
              </w:rPr>
              <w:t>UIT</w:t>
            </w:r>
            <w:r w:rsidR="00C00643" w:rsidRPr="000E5BB6">
              <w:rPr>
                <w:lang w:val="fr-CH"/>
              </w:rPr>
              <w:noBreakHyphen/>
              <w:t>R 56</w:t>
            </w:r>
            <w:r w:rsidR="00C00643" w:rsidRPr="000E5BB6">
              <w:rPr>
                <w:lang w:val="fr-CH" w:eastAsia="ja-JP"/>
              </w:rPr>
              <w:t>-1</w:t>
            </w:r>
            <w:r w:rsidR="00C00643" w:rsidRPr="000E5BB6">
              <w:rPr>
                <w:lang w:val="fr-CH"/>
              </w:rPr>
              <w:t>,</w:t>
            </w:r>
            <w:r w:rsidR="00C00643" w:rsidRPr="000E5BB6">
              <w:rPr>
                <w:lang w:val="fr-CH" w:eastAsia="ja-JP"/>
              </w:rPr>
              <w:t xml:space="preserve"> </w:t>
            </w:r>
            <w:r>
              <w:rPr>
                <w:lang w:val="fr-CH" w:eastAsia="ja-JP"/>
              </w:rPr>
              <w:t>UIT</w:t>
            </w:r>
            <w:r w:rsidR="00C00643" w:rsidRPr="000E5BB6">
              <w:rPr>
                <w:lang w:val="fr-CH" w:eastAsia="ja-JP"/>
              </w:rPr>
              <w:t>-R [IMT.PRINCIPLES]</w:t>
            </w:r>
          </w:p>
        </w:tc>
      </w:tr>
      <w:tr w:rsidR="00C00643" w:rsidRPr="00F9410F" w:rsidTr="002F1E53">
        <w:trPr>
          <w:jc w:val="center"/>
        </w:trPr>
        <w:tc>
          <w:tcPr>
            <w:tcW w:w="1101" w:type="dxa"/>
            <w:tcBorders>
              <w:bottom w:val="single" w:sz="4" w:space="0" w:color="auto"/>
            </w:tcBorders>
          </w:tcPr>
          <w:p w:rsidR="00C00643" w:rsidRPr="000E5BB6" w:rsidRDefault="00C00643" w:rsidP="002F1E53">
            <w:pPr>
              <w:pStyle w:val="Tabletext"/>
              <w:rPr>
                <w:lang w:val="fr-CH"/>
              </w:rPr>
            </w:pPr>
          </w:p>
        </w:tc>
        <w:tc>
          <w:tcPr>
            <w:tcW w:w="8646" w:type="dxa"/>
            <w:tcBorders>
              <w:bottom w:val="single" w:sz="4" w:space="0" w:color="auto"/>
            </w:tcBorders>
          </w:tcPr>
          <w:p w:rsidR="00C00643" w:rsidRPr="00F9410F" w:rsidRDefault="00C00643" w:rsidP="002F1E53">
            <w:pPr>
              <w:pStyle w:val="Tabletext"/>
              <w:jc w:val="center"/>
              <w:rPr>
                <w:b/>
                <w:lang w:val="es-ES" w:eastAsia="ja-JP"/>
              </w:rPr>
            </w:pPr>
            <w:r w:rsidRPr="00F9410F">
              <w:rPr>
                <w:b/>
                <w:lang w:val="es-ES" w:eastAsia="ja-JP"/>
              </w:rPr>
              <w:t>Propuesta de supresión de Resolución</w:t>
            </w:r>
          </w:p>
        </w:tc>
      </w:tr>
      <w:tr w:rsidR="00C00643" w:rsidRPr="00F9410F" w:rsidTr="002F1E53">
        <w:trPr>
          <w:jc w:val="center"/>
        </w:trPr>
        <w:tc>
          <w:tcPr>
            <w:tcW w:w="1101" w:type="dxa"/>
            <w:tcBorders>
              <w:bottom w:val="single" w:sz="4" w:space="0" w:color="auto"/>
            </w:tcBorders>
          </w:tcPr>
          <w:p w:rsidR="00C00643" w:rsidRPr="00F9410F" w:rsidRDefault="00C00643" w:rsidP="002F1E53">
            <w:pPr>
              <w:pStyle w:val="Tabletext"/>
              <w:rPr>
                <w:lang w:val="es-ES"/>
              </w:rPr>
            </w:pPr>
            <w:r w:rsidRPr="00F9410F">
              <w:rPr>
                <w:lang w:val="es-ES"/>
              </w:rPr>
              <w:t>GT 5D</w:t>
            </w:r>
          </w:p>
        </w:tc>
        <w:tc>
          <w:tcPr>
            <w:tcW w:w="8646" w:type="dxa"/>
            <w:tcBorders>
              <w:bottom w:val="single" w:sz="4" w:space="0" w:color="auto"/>
            </w:tcBorders>
          </w:tcPr>
          <w:p w:rsidR="00C00643" w:rsidRPr="00F9410F" w:rsidRDefault="007C7FB8" w:rsidP="002F1E53">
            <w:pPr>
              <w:pStyle w:val="Tabletext"/>
              <w:rPr>
                <w:lang w:val="es-ES"/>
              </w:rPr>
            </w:pPr>
            <w:r>
              <w:rPr>
                <w:lang w:val="es-ES"/>
              </w:rPr>
              <w:t>UIT</w:t>
            </w:r>
            <w:r w:rsidR="00C00643" w:rsidRPr="00F9410F">
              <w:rPr>
                <w:lang w:val="es-ES"/>
              </w:rPr>
              <w:noBreakHyphen/>
              <w:t>R 17-</w:t>
            </w:r>
            <w:r w:rsidR="00C00643" w:rsidRPr="00F9410F">
              <w:rPr>
                <w:lang w:val="es-ES" w:eastAsia="ja-JP"/>
              </w:rPr>
              <w:t>4</w:t>
            </w:r>
            <w:r w:rsidR="00C00643" w:rsidRPr="00F9410F">
              <w:rPr>
                <w:lang w:val="es-ES"/>
              </w:rPr>
              <w:t>.</w:t>
            </w:r>
          </w:p>
        </w:tc>
      </w:tr>
      <w:tr w:rsidR="00C00643" w:rsidRPr="00F9410F" w:rsidTr="002F1E53">
        <w:trPr>
          <w:jc w:val="center"/>
        </w:trPr>
        <w:tc>
          <w:tcPr>
            <w:tcW w:w="9747" w:type="dxa"/>
            <w:gridSpan w:val="2"/>
            <w:tcBorders>
              <w:top w:val="single" w:sz="4" w:space="0" w:color="auto"/>
              <w:left w:val="nil"/>
              <w:bottom w:val="nil"/>
              <w:right w:val="nil"/>
            </w:tcBorders>
          </w:tcPr>
          <w:p w:rsidR="00C00643" w:rsidRPr="00F9410F" w:rsidRDefault="00C00643" w:rsidP="00881D07">
            <w:pPr>
              <w:pStyle w:val="Tablelegend"/>
              <w:rPr>
                <w:lang w:val="es-ES"/>
              </w:rPr>
            </w:pPr>
            <w:r w:rsidRPr="000F60BA">
              <w:rPr>
                <w:vertAlign w:val="superscript"/>
              </w:rPr>
              <w:t>(*)</w:t>
            </w:r>
            <w:r w:rsidR="000F60BA">
              <w:tab/>
            </w:r>
            <w:r w:rsidRPr="00F9410F">
              <w:rPr>
                <w:lang w:val="es-ES" w:eastAsia="ja-JP"/>
              </w:rPr>
              <w:t xml:space="preserve">El número de versión de estas Resoluciones se actualizará tras su aprobación (véase el Documento </w:t>
            </w:r>
            <w:hyperlink r:id="rId46" w:history="1">
              <w:r w:rsidRPr="00F9410F">
                <w:rPr>
                  <w:rStyle w:val="Hyperlink"/>
                  <w:lang w:val="es-ES" w:eastAsia="ja-JP"/>
                </w:rPr>
                <w:t>5/1004</w:t>
              </w:r>
            </w:hyperlink>
            <w:r w:rsidRPr="00F9410F">
              <w:rPr>
                <w:lang w:val="es-ES" w:eastAsia="ja-JP"/>
              </w:rPr>
              <w:t>)</w:t>
            </w:r>
          </w:p>
        </w:tc>
      </w:tr>
    </w:tbl>
    <w:p w:rsidR="00C00643" w:rsidRPr="00F9410F" w:rsidRDefault="00C00643" w:rsidP="00C00643">
      <w:pPr>
        <w:pStyle w:val="TableNo"/>
        <w:rPr>
          <w:lang w:val="es-ES" w:eastAsia="ja-JP"/>
        </w:rPr>
      </w:pPr>
      <w:r w:rsidRPr="00F9410F">
        <w:rPr>
          <w:lang w:val="es-ES"/>
        </w:rPr>
        <w:t xml:space="preserve">cuadro </w:t>
      </w:r>
      <w:r w:rsidRPr="00F9410F">
        <w:rPr>
          <w:lang w:val="es-ES" w:eastAsia="ja-JP"/>
        </w:rPr>
        <w:t>A2-9</w:t>
      </w:r>
    </w:p>
    <w:p w:rsidR="00C00643" w:rsidRPr="00F9410F" w:rsidRDefault="00C00643" w:rsidP="00C00643">
      <w:pPr>
        <w:pStyle w:val="Tabletitle"/>
        <w:rPr>
          <w:lang w:val="es-ES" w:eastAsia="ja-JP"/>
        </w:rPr>
      </w:pPr>
      <w:r w:rsidRPr="00F9410F">
        <w:rPr>
          <w:lang w:val="es-ES" w:eastAsia="ja-JP"/>
        </w:rPr>
        <w:t>Ruego suprimido en la Comisión de Estudio 5</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7566"/>
      </w:tblGrid>
      <w:tr w:rsidR="00C00643" w:rsidRPr="00F9410F" w:rsidTr="002F1E53">
        <w:trPr>
          <w:jc w:val="center"/>
        </w:trPr>
        <w:tc>
          <w:tcPr>
            <w:tcW w:w="2181" w:type="dxa"/>
          </w:tcPr>
          <w:p w:rsidR="00C00643" w:rsidRPr="00F9410F" w:rsidRDefault="00C00643" w:rsidP="00881D07">
            <w:pPr>
              <w:pStyle w:val="Tablehead"/>
              <w:tabs>
                <w:tab w:val="left" w:pos="806"/>
                <w:tab w:val="center" w:pos="982"/>
              </w:tabs>
              <w:rPr>
                <w:lang w:val="es-ES"/>
              </w:rPr>
            </w:pPr>
            <w:r w:rsidRPr="00F9410F">
              <w:rPr>
                <w:lang w:val="es-ES"/>
              </w:rPr>
              <w:t>GT</w:t>
            </w:r>
          </w:p>
        </w:tc>
        <w:tc>
          <w:tcPr>
            <w:tcW w:w="7566" w:type="dxa"/>
          </w:tcPr>
          <w:p w:rsidR="00C00643" w:rsidRPr="00F9410F" w:rsidRDefault="00C00643" w:rsidP="002F1E53">
            <w:pPr>
              <w:pStyle w:val="Tablehead"/>
              <w:rPr>
                <w:lang w:val="es-ES"/>
              </w:rPr>
            </w:pPr>
            <w:r w:rsidRPr="00F9410F">
              <w:rPr>
                <w:lang w:val="es-ES"/>
              </w:rPr>
              <w:t>Ruegos suprimidos</w:t>
            </w:r>
          </w:p>
        </w:tc>
      </w:tr>
      <w:tr w:rsidR="00C00643" w:rsidRPr="00F9410F" w:rsidTr="002F1E53">
        <w:trPr>
          <w:jc w:val="center"/>
        </w:trPr>
        <w:tc>
          <w:tcPr>
            <w:tcW w:w="2181" w:type="dxa"/>
          </w:tcPr>
          <w:p w:rsidR="00C00643" w:rsidRPr="00F9410F" w:rsidRDefault="00C00643" w:rsidP="002F1E53">
            <w:pPr>
              <w:pStyle w:val="Tabletext"/>
              <w:jc w:val="center"/>
              <w:rPr>
                <w:lang w:val="es-ES" w:eastAsia="ja-JP"/>
              </w:rPr>
            </w:pPr>
            <w:r w:rsidRPr="00F9410F">
              <w:rPr>
                <w:lang w:val="es-ES"/>
              </w:rPr>
              <w:t>GT 5</w:t>
            </w:r>
            <w:r w:rsidRPr="00F9410F">
              <w:rPr>
                <w:lang w:val="es-ES" w:eastAsia="ja-JP"/>
              </w:rPr>
              <w:t>A, 5B, 5C, 5D</w:t>
            </w:r>
          </w:p>
        </w:tc>
        <w:tc>
          <w:tcPr>
            <w:tcW w:w="7566" w:type="dxa"/>
          </w:tcPr>
          <w:p w:rsidR="00C00643" w:rsidRPr="00F9410F" w:rsidRDefault="00881D07" w:rsidP="002F1E53">
            <w:pPr>
              <w:pStyle w:val="Tabletext"/>
              <w:rPr>
                <w:lang w:val="es-ES" w:eastAsia="ja-JP"/>
              </w:rPr>
            </w:pPr>
            <w:r>
              <w:rPr>
                <w:lang w:val="es-ES"/>
              </w:rPr>
              <w:t>UIT</w:t>
            </w:r>
            <w:r w:rsidR="00C00643" w:rsidRPr="00F9410F">
              <w:rPr>
                <w:lang w:val="es-ES"/>
              </w:rPr>
              <w:noBreakHyphen/>
              <w:t xml:space="preserve">R </w:t>
            </w:r>
            <w:r w:rsidR="00C00643" w:rsidRPr="00F9410F">
              <w:rPr>
                <w:lang w:val="es-ES" w:eastAsia="ja-JP"/>
              </w:rPr>
              <w:t>95</w:t>
            </w:r>
          </w:p>
        </w:tc>
      </w:tr>
    </w:tbl>
    <w:p w:rsidR="00C00643" w:rsidRPr="00F9410F" w:rsidRDefault="00C00643" w:rsidP="00C00643">
      <w:pPr>
        <w:rPr>
          <w:lang w:val="es-ES"/>
        </w:rPr>
      </w:pPr>
    </w:p>
    <w:p w:rsidR="00C00643" w:rsidRPr="00F9410F" w:rsidRDefault="00C00643" w:rsidP="00C00643">
      <w:pPr>
        <w:pStyle w:val="Tabletitle"/>
        <w:rPr>
          <w:lang w:val="es-ES"/>
        </w:rPr>
      </w:pPr>
      <w:r w:rsidRPr="00F9410F">
        <w:rPr>
          <w:lang w:val="es-ES"/>
        </w:rPr>
        <w:br w:type="page"/>
      </w:r>
    </w:p>
    <w:p w:rsidR="00C00643" w:rsidRPr="00F9410F" w:rsidRDefault="00C00643" w:rsidP="00C00643">
      <w:pPr>
        <w:pStyle w:val="TableNo"/>
        <w:rPr>
          <w:lang w:val="es-ES" w:eastAsia="ja-JP"/>
        </w:rPr>
      </w:pPr>
      <w:r w:rsidRPr="00F9410F">
        <w:rPr>
          <w:lang w:val="es-ES"/>
        </w:rPr>
        <w:lastRenderedPageBreak/>
        <w:t xml:space="preserve">cuadro </w:t>
      </w:r>
      <w:r w:rsidRPr="00F9410F">
        <w:rPr>
          <w:lang w:val="es-ES" w:eastAsia="ja-JP"/>
        </w:rPr>
        <w:t>A2-11</w:t>
      </w:r>
    </w:p>
    <w:p w:rsidR="00C00643" w:rsidRPr="00F9410F" w:rsidRDefault="00C00643" w:rsidP="00C00643">
      <w:pPr>
        <w:pStyle w:val="Tabletitle"/>
        <w:rPr>
          <w:lang w:val="es-ES" w:eastAsia="ja-JP"/>
        </w:rPr>
      </w:pPr>
      <w:r w:rsidRPr="00F9410F">
        <w:rPr>
          <w:lang w:val="es-ES"/>
        </w:rPr>
        <w:t>Trabajos sobre los puntos del orden del día de la CMR-15 respecto de los cuales los Grupos de Trabajo</w:t>
      </w:r>
      <w:r w:rsidRPr="00F9410F">
        <w:rPr>
          <w:lang w:val="es-ES"/>
        </w:rPr>
        <w:br/>
        <w:t>de la CE 5 son grupos encargados, contribuyentes o interesados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220"/>
        <w:gridCol w:w="2101"/>
        <w:gridCol w:w="843"/>
        <w:gridCol w:w="842"/>
        <w:gridCol w:w="843"/>
        <w:gridCol w:w="842"/>
      </w:tblGrid>
      <w:tr w:rsidR="00C00643" w:rsidRPr="00F9410F" w:rsidTr="001C7013">
        <w:trPr>
          <w:jc w:val="center"/>
        </w:trPr>
        <w:tc>
          <w:tcPr>
            <w:tcW w:w="959" w:type="dxa"/>
            <w:vAlign w:val="center"/>
          </w:tcPr>
          <w:p w:rsidR="00C00643" w:rsidRPr="00F9410F" w:rsidRDefault="00C00643" w:rsidP="002F1E53">
            <w:pPr>
              <w:spacing w:before="40" w:after="40"/>
              <w:jc w:val="center"/>
              <w:rPr>
                <w:b/>
                <w:sz w:val="20"/>
                <w:lang w:val="es-ES"/>
              </w:rPr>
            </w:pPr>
            <w:r w:rsidRPr="00F9410F">
              <w:rPr>
                <w:b/>
                <w:sz w:val="20"/>
                <w:lang w:val="es-ES"/>
              </w:rPr>
              <w:t>Punto del orden del día</w:t>
            </w:r>
          </w:p>
        </w:tc>
        <w:tc>
          <w:tcPr>
            <w:tcW w:w="3260" w:type="dxa"/>
            <w:vAlign w:val="center"/>
          </w:tcPr>
          <w:p w:rsidR="00C00643" w:rsidRPr="00F9410F" w:rsidRDefault="00C00643" w:rsidP="002F1E53">
            <w:pPr>
              <w:spacing w:before="40" w:after="40"/>
              <w:jc w:val="center"/>
              <w:rPr>
                <w:b/>
                <w:sz w:val="20"/>
                <w:lang w:val="es-ES"/>
              </w:rPr>
            </w:pPr>
            <w:r w:rsidRPr="00F9410F">
              <w:rPr>
                <w:b/>
                <w:sz w:val="20"/>
                <w:lang w:val="es-ES"/>
              </w:rPr>
              <w:t>Tema</w:t>
            </w:r>
          </w:p>
        </w:tc>
        <w:tc>
          <w:tcPr>
            <w:tcW w:w="2126" w:type="dxa"/>
            <w:vAlign w:val="center"/>
          </w:tcPr>
          <w:p w:rsidR="00C00643" w:rsidRPr="00F9410F" w:rsidRDefault="00C00643" w:rsidP="002F1E53">
            <w:pPr>
              <w:spacing w:before="40" w:after="40"/>
              <w:jc w:val="center"/>
              <w:rPr>
                <w:b/>
                <w:sz w:val="20"/>
                <w:lang w:val="es-ES"/>
              </w:rPr>
            </w:pPr>
            <w:r w:rsidRPr="00F9410F">
              <w:rPr>
                <w:b/>
                <w:sz w:val="20"/>
                <w:lang w:val="es-ES"/>
              </w:rPr>
              <w:t>Resolución</w:t>
            </w:r>
          </w:p>
        </w:tc>
        <w:tc>
          <w:tcPr>
            <w:tcW w:w="851" w:type="dxa"/>
            <w:vAlign w:val="center"/>
          </w:tcPr>
          <w:p w:rsidR="00C00643" w:rsidRPr="00F9410F" w:rsidRDefault="00C00643" w:rsidP="002F1E53">
            <w:pPr>
              <w:spacing w:before="40" w:after="40"/>
              <w:jc w:val="center"/>
              <w:rPr>
                <w:b/>
                <w:sz w:val="20"/>
                <w:lang w:val="es-ES"/>
              </w:rPr>
            </w:pPr>
            <w:r w:rsidRPr="00F9410F">
              <w:rPr>
                <w:b/>
                <w:sz w:val="20"/>
                <w:lang w:val="es-ES"/>
              </w:rPr>
              <w:t>GT 5A</w:t>
            </w:r>
          </w:p>
        </w:tc>
        <w:tc>
          <w:tcPr>
            <w:tcW w:w="850" w:type="dxa"/>
            <w:vAlign w:val="center"/>
          </w:tcPr>
          <w:p w:rsidR="00C00643" w:rsidRPr="00F9410F" w:rsidRDefault="00C00643" w:rsidP="002F1E53">
            <w:pPr>
              <w:spacing w:before="40" w:after="40"/>
              <w:jc w:val="center"/>
              <w:rPr>
                <w:b/>
                <w:sz w:val="20"/>
                <w:lang w:val="es-ES"/>
              </w:rPr>
            </w:pPr>
            <w:r w:rsidRPr="00F9410F">
              <w:rPr>
                <w:b/>
                <w:sz w:val="20"/>
                <w:lang w:val="es-ES"/>
              </w:rPr>
              <w:t>GT 5B</w:t>
            </w:r>
          </w:p>
        </w:tc>
        <w:tc>
          <w:tcPr>
            <w:tcW w:w="851" w:type="dxa"/>
            <w:vAlign w:val="center"/>
          </w:tcPr>
          <w:p w:rsidR="00C00643" w:rsidRPr="00F9410F" w:rsidRDefault="00C00643" w:rsidP="002F1E53">
            <w:pPr>
              <w:spacing w:before="40" w:after="40"/>
              <w:jc w:val="center"/>
              <w:rPr>
                <w:b/>
                <w:sz w:val="20"/>
                <w:lang w:val="es-ES"/>
              </w:rPr>
            </w:pPr>
            <w:r w:rsidRPr="00F9410F">
              <w:rPr>
                <w:b/>
                <w:sz w:val="20"/>
                <w:lang w:val="es-ES"/>
              </w:rPr>
              <w:t>GT 5C</w:t>
            </w:r>
          </w:p>
        </w:tc>
        <w:tc>
          <w:tcPr>
            <w:tcW w:w="850" w:type="dxa"/>
            <w:vAlign w:val="center"/>
          </w:tcPr>
          <w:p w:rsidR="00C00643" w:rsidRPr="00F9410F" w:rsidRDefault="00C00643" w:rsidP="002F1E53">
            <w:pPr>
              <w:spacing w:before="40" w:after="40"/>
              <w:jc w:val="center"/>
              <w:rPr>
                <w:b/>
                <w:sz w:val="20"/>
                <w:lang w:val="es-ES"/>
              </w:rPr>
            </w:pPr>
            <w:r w:rsidRPr="00F9410F">
              <w:rPr>
                <w:b/>
                <w:sz w:val="20"/>
                <w:lang w:val="es-ES"/>
              </w:rPr>
              <w:t>GT 5D</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 xml:space="preserve">Bandas adicionales para </w:t>
            </w:r>
            <w:r w:rsidRPr="001C7013">
              <w:rPr>
                <w:sz w:val="20"/>
                <w:lang w:val="es-ES"/>
              </w:rPr>
              <w:t>IMT</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223 </w:t>
            </w:r>
            <w:r w:rsidRPr="001C7013">
              <w:rPr>
                <w:sz w:val="20"/>
                <w:lang w:val="es-ES"/>
              </w:rPr>
              <w:t>(CMR-12)</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1.2</w:t>
            </w:r>
          </w:p>
        </w:tc>
        <w:tc>
          <w:tcPr>
            <w:tcW w:w="3260" w:type="dxa"/>
            <w:vAlign w:val="center"/>
          </w:tcPr>
          <w:p w:rsidR="00C00643" w:rsidRPr="001C7013" w:rsidRDefault="00C00643" w:rsidP="002F1E53">
            <w:pPr>
              <w:spacing w:before="40" w:after="40"/>
              <w:rPr>
                <w:sz w:val="20"/>
                <w:lang w:val="es-ES"/>
              </w:rPr>
            </w:pPr>
            <w:r w:rsidRPr="001C7013">
              <w:rPr>
                <w:sz w:val="20"/>
                <w:lang w:val="es-ES"/>
              </w:rPr>
              <w:t>Utilización del SM en la banda de frecuencias 694-790 MHz en la Región 1</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232</w:t>
            </w:r>
            <w:r w:rsidRPr="001C7013">
              <w:rPr>
                <w:sz w:val="20"/>
                <w:lang w:val="es-ES"/>
              </w:rPr>
              <w:t xml:space="preserve"> (CMR-12)</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1.3</w:t>
            </w:r>
          </w:p>
        </w:tc>
        <w:tc>
          <w:tcPr>
            <w:tcW w:w="3260" w:type="dxa"/>
            <w:vAlign w:val="center"/>
          </w:tcPr>
          <w:p w:rsidR="00C00643" w:rsidRPr="001C7013" w:rsidRDefault="00C00643" w:rsidP="002F1E53">
            <w:pPr>
              <w:spacing w:before="40" w:after="40"/>
              <w:rPr>
                <w:sz w:val="20"/>
                <w:lang w:val="es-ES"/>
              </w:rPr>
            </w:pPr>
            <w:r w:rsidRPr="001C7013">
              <w:rPr>
                <w:sz w:val="20"/>
                <w:lang w:val="es-ES"/>
              </w:rPr>
              <w:t>PPDR de banda ancha</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648 </w:t>
            </w:r>
            <w:r w:rsidRPr="001C7013">
              <w:rPr>
                <w:sz w:val="20"/>
                <w:lang w:val="es-ES"/>
              </w:rPr>
              <w:t>(CMR-12)</w:t>
            </w:r>
          </w:p>
        </w:tc>
        <w:tc>
          <w:tcPr>
            <w:tcW w:w="851" w:type="dxa"/>
            <w:vAlign w:val="center"/>
          </w:tcPr>
          <w:p w:rsidR="00C00643" w:rsidRPr="001C7013" w:rsidRDefault="00C00643" w:rsidP="002F1E53">
            <w:pPr>
              <w:spacing w:before="40" w:after="40"/>
              <w:jc w:val="center"/>
              <w:rPr>
                <w:b/>
                <w:sz w:val="20"/>
                <w:lang w:val="es-ES"/>
              </w:rPr>
            </w:pPr>
            <w:r w:rsidRPr="001C7013">
              <w:rPr>
                <w:b/>
                <w:sz w:val="20"/>
                <w:lang w:val="es-ES"/>
              </w:rPr>
              <w:t>R</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1.4</w:t>
            </w:r>
          </w:p>
        </w:tc>
        <w:tc>
          <w:tcPr>
            <w:tcW w:w="3260" w:type="dxa"/>
            <w:vAlign w:val="center"/>
          </w:tcPr>
          <w:p w:rsidR="00C00643" w:rsidRPr="001C7013" w:rsidRDefault="00C00643" w:rsidP="002F1E53">
            <w:pPr>
              <w:spacing w:before="40" w:after="40"/>
              <w:rPr>
                <w:sz w:val="20"/>
                <w:lang w:val="es-ES"/>
              </w:rPr>
            </w:pPr>
            <w:r w:rsidRPr="001C7013">
              <w:rPr>
                <w:sz w:val="20"/>
                <w:lang w:val="es-ES"/>
              </w:rPr>
              <w:t xml:space="preserve">Atribución al servicio de aficionados – 5 </w:t>
            </w:r>
            <w:r w:rsidRPr="001C7013">
              <w:rPr>
                <w:sz w:val="20"/>
                <w:lang w:val="es-ES" w:eastAsia="ja-JP"/>
              </w:rPr>
              <w:t>25</w:t>
            </w:r>
            <w:r w:rsidRPr="001C7013">
              <w:rPr>
                <w:sz w:val="20"/>
                <w:lang w:val="es-ES"/>
              </w:rPr>
              <w:t>0</w:t>
            </w:r>
            <w:r w:rsidRPr="001C7013">
              <w:rPr>
                <w:sz w:val="20"/>
                <w:lang w:val="es-ES" w:eastAsia="ja-JP"/>
              </w:rPr>
              <w:t>-5 450</w:t>
            </w:r>
            <w:r w:rsidRPr="001C7013">
              <w:rPr>
                <w:sz w:val="20"/>
                <w:lang w:val="es-ES"/>
              </w:rPr>
              <w:t xml:space="preserve"> kHz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649</w:t>
            </w:r>
            <w:r w:rsidRPr="001C7013">
              <w:rPr>
                <w:sz w:val="20"/>
                <w:lang w:val="es-ES"/>
              </w:rPr>
              <w:t xml:space="preserve"> (CMR-12)</w:t>
            </w:r>
          </w:p>
        </w:tc>
        <w:tc>
          <w:tcPr>
            <w:tcW w:w="851" w:type="dxa"/>
            <w:vAlign w:val="center"/>
          </w:tcPr>
          <w:p w:rsidR="00C00643" w:rsidRPr="001C7013" w:rsidRDefault="00C00643" w:rsidP="002F1E53">
            <w:pPr>
              <w:spacing w:before="40" w:after="40"/>
              <w:jc w:val="center"/>
              <w:rPr>
                <w:b/>
                <w:sz w:val="20"/>
                <w:lang w:val="es-ES"/>
              </w:rPr>
            </w:pPr>
            <w:r w:rsidRPr="001C7013">
              <w:rPr>
                <w:b/>
                <w:sz w:val="20"/>
                <w:lang w:val="es-ES"/>
              </w:rPr>
              <w:t>R</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1.5</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Utilización de SANT en las bandas atribuidas al SFS</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153 </w:t>
            </w:r>
            <w:r w:rsidRPr="001C7013">
              <w:rPr>
                <w:sz w:val="20"/>
                <w:lang w:val="es-ES"/>
              </w:rPr>
              <w:t xml:space="preserve"> (CMR-12)</w:t>
            </w:r>
          </w:p>
        </w:tc>
        <w:tc>
          <w:tcPr>
            <w:tcW w:w="851" w:type="dxa"/>
            <w:vAlign w:val="center"/>
          </w:tcPr>
          <w:p w:rsidR="00C00643" w:rsidRPr="001C7013" w:rsidRDefault="00C00643" w:rsidP="002F1E53">
            <w:pPr>
              <w:spacing w:before="40" w:after="40"/>
              <w:jc w:val="center"/>
              <w:rPr>
                <w:sz w:val="20"/>
                <w:lang w:val="es-ES"/>
              </w:rPr>
            </w:pPr>
          </w:p>
        </w:tc>
        <w:tc>
          <w:tcPr>
            <w:tcW w:w="850" w:type="dxa"/>
            <w:vAlign w:val="center"/>
          </w:tcPr>
          <w:p w:rsidR="00C00643" w:rsidRPr="001C7013" w:rsidRDefault="00C00643" w:rsidP="002F1E53">
            <w:pPr>
              <w:spacing w:before="40" w:after="40"/>
              <w:jc w:val="center"/>
              <w:rPr>
                <w:b/>
                <w:sz w:val="20"/>
                <w:lang w:val="es-ES"/>
              </w:rPr>
            </w:pPr>
            <w:r w:rsidRPr="001C7013">
              <w:rPr>
                <w:b/>
                <w:sz w:val="20"/>
                <w:lang w:val="es-ES"/>
              </w:rPr>
              <w:t>R</w:t>
            </w:r>
          </w:p>
        </w:tc>
        <w:tc>
          <w:tcPr>
            <w:tcW w:w="851" w:type="dxa"/>
            <w:vAlign w:val="center"/>
          </w:tcPr>
          <w:p w:rsidR="00C00643" w:rsidRPr="001C7013" w:rsidRDefault="00C00643" w:rsidP="002F1E53">
            <w:pPr>
              <w:spacing w:before="40" w:after="40"/>
              <w:jc w:val="center"/>
              <w:rPr>
                <w:sz w:val="20"/>
                <w:lang w:val="es-ES"/>
              </w:rPr>
            </w:pPr>
          </w:p>
        </w:tc>
        <w:tc>
          <w:tcPr>
            <w:tcW w:w="850" w:type="dxa"/>
            <w:vAlign w:val="center"/>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1.6</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Bandas adicionales para el SFS</w:t>
            </w:r>
          </w:p>
        </w:tc>
        <w:tc>
          <w:tcPr>
            <w:tcW w:w="2126" w:type="dxa"/>
            <w:vAlign w:val="center"/>
          </w:tcPr>
          <w:p w:rsidR="00C00643" w:rsidRPr="001C7013" w:rsidRDefault="00C00643" w:rsidP="001C7013">
            <w:pPr>
              <w:spacing w:before="40" w:after="40"/>
              <w:jc w:val="center"/>
              <w:rPr>
                <w:sz w:val="20"/>
                <w:lang w:val="es-ES"/>
              </w:rPr>
            </w:pPr>
            <w:r w:rsidRPr="001C7013">
              <w:rPr>
                <w:sz w:val="20"/>
                <w:lang w:val="es-ES" w:eastAsia="ja-JP"/>
              </w:rPr>
              <w:t xml:space="preserve">151 </w:t>
            </w:r>
            <w:r w:rsidRPr="001C7013">
              <w:rPr>
                <w:sz w:val="20"/>
                <w:lang w:val="es-ES"/>
              </w:rPr>
              <w:t xml:space="preserve"> (CMR-12)</w:t>
            </w:r>
            <w:r w:rsidRPr="001C7013">
              <w:rPr>
                <w:sz w:val="20"/>
                <w:lang w:val="es-ES" w:eastAsia="ja-JP"/>
              </w:rPr>
              <w:t>,</w:t>
            </w:r>
            <w:r w:rsidRPr="001C7013">
              <w:rPr>
                <w:sz w:val="20"/>
                <w:lang w:val="es-ES"/>
              </w:rPr>
              <w:t xml:space="preserve"> </w:t>
            </w:r>
            <w:r w:rsidR="001C7013" w:rsidRPr="001C7013">
              <w:rPr>
                <w:sz w:val="20"/>
                <w:lang w:val="es-ES"/>
              </w:rPr>
              <w:br/>
            </w:r>
            <w:r w:rsidRPr="001C7013">
              <w:rPr>
                <w:sz w:val="20"/>
                <w:lang w:val="es-ES" w:eastAsia="ja-JP"/>
              </w:rPr>
              <w:t xml:space="preserve">152 </w:t>
            </w:r>
            <w:r w:rsidRPr="001C7013">
              <w:rPr>
                <w:sz w:val="20"/>
                <w:lang w:val="es-ES"/>
              </w:rPr>
              <w:t>(CMR-12)</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1.7</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Utilización del SFS en la banda de frecuencias 5 091-5 150 MHz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rPr>
              <w:t>114 (Rev.CMR-12)</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I</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p>
        </w:tc>
        <w:tc>
          <w:tcPr>
            <w:tcW w:w="850" w:type="dxa"/>
            <w:vAlign w:val="center"/>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1.8</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Examen de las disposiciones para ETB</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909 </w:t>
            </w:r>
            <w:r w:rsidRPr="001C7013">
              <w:rPr>
                <w:sz w:val="20"/>
                <w:lang w:val="es-ES"/>
              </w:rPr>
              <w:t>(CMR-12)</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1" w:type="dxa"/>
            <w:vAlign w:val="center"/>
          </w:tcPr>
          <w:p w:rsidR="00C00643" w:rsidRPr="001C7013" w:rsidRDefault="00C00643" w:rsidP="002F1E53">
            <w:pPr>
              <w:spacing w:before="40" w:after="40"/>
              <w:jc w:val="center"/>
              <w:rPr>
                <w:sz w:val="20"/>
                <w:lang w:val="es-ES"/>
              </w:rPr>
            </w:pPr>
            <w:r w:rsidRPr="001C7013">
              <w:rPr>
                <w:sz w:val="20"/>
                <w:lang w:val="es-ES"/>
              </w:rPr>
              <w:t>C</w:t>
            </w:r>
          </w:p>
        </w:tc>
        <w:tc>
          <w:tcPr>
            <w:tcW w:w="850" w:type="dxa"/>
            <w:vAlign w:val="center"/>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1.9.1</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Nueva atribución al SFS</w:t>
            </w:r>
          </w:p>
        </w:tc>
        <w:tc>
          <w:tcPr>
            <w:tcW w:w="2126" w:type="dxa"/>
            <w:vMerge w:val="restart"/>
            <w:vAlign w:val="center"/>
          </w:tcPr>
          <w:p w:rsidR="00C00643" w:rsidRPr="001C7013" w:rsidRDefault="00C00643" w:rsidP="002F1E53">
            <w:pPr>
              <w:spacing w:before="40" w:after="40"/>
              <w:jc w:val="center"/>
              <w:rPr>
                <w:sz w:val="20"/>
                <w:lang w:val="es-ES"/>
              </w:rPr>
            </w:pPr>
            <w:r w:rsidRPr="001C7013">
              <w:rPr>
                <w:sz w:val="20"/>
                <w:lang w:val="es-ES" w:eastAsia="ja-JP"/>
              </w:rPr>
              <w:t>758</w:t>
            </w:r>
            <w:r w:rsidRPr="001C7013">
              <w:rPr>
                <w:sz w:val="20"/>
                <w:lang w:val="es-ES"/>
              </w:rPr>
              <w:t xml:space="preserve"> (CMR-12)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1.9.2</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Nueva atribución al SMMS</w:t>
            </w:r>
          </w:p>
        </w:tc>
        <w:tc>
          <w:tcPr>
            <w:tcW w:w="2126" w:type="dxa"/>
            <w:vMerge/>
            <w:vAlign w:val="center"/>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r w:rsidRPr="001C7013">
              <w:rPr>
                <w:sz w:val="20"/>
                <w:lang w:val="es-ES"/>
              </w:rPr>
              <w:t>C</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1.10</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 xml:space="preserve">Atribución adicional al SMM en la banda de </w:t>
            </w:r>
            <w:r w:rsidRPr="001C7013">
              <w:rPr>
                <w:sz w:val="20"/>
                <w:lang w:val="es-ES"/>
              </w:rPr>
              <w:t>22</w:t>
            </w:r>
            <w:r w:rsidRPr="001C7013">
              <w:rPr>
                <w:sz w:val="20"/>
                <w:lang w:val="es-ES"/>
              </w:rPr>
              <w:noBreakHyphen/>
              <w:t>26 GHz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234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1.11</w:t>
            </w:r>
          </w:p>
        </w:tc>
        <w:tc>
          <w:tcPr>
            <w:tcW w:w="3260" w:type="dxa"/>
            <w:vAlign w:val="center"/>
          </w:tcPr>
          <w:p w:rsidR="00C00643" w:rsidRPr="001C7013" w:rsidRDefault="00C00643" w:rsidP="001C7013">
            <w:pPr>
              <w:spacing w:before="40" w:after="40"/>
              <w:rPr>
                <w:sz w:val="20"/>
                <w:lang w:val="es-ES" w:eastAsia="ja-JP"/>
              </w:rPr>
            </w:pPr>
            <w:r w:rsidRPr="001C7013">
              <w:rPr>
                <w:sz w:val="20"/>
                <w:lang w:val="es-ES" w:eastAsia="ja-JP"/>
              </w:rPr>
              <w:t>Atribución al SETS en la banda de 7</w:t>
            </w:r>
            <w:r w:rsidR="001C7013" w:rsidRPr="001C7013">
              <w:rPr>
                <w:sz w:val="20"/>
                <w:lang w:val="es-ES" w:eastAsia="ja-JP"/>
              </w:rPr>
              <w:noBreakHyphen/>
            </w:r>
            <w:r w:rsidRPr="001C7013">
              <w:rPr>
                <w:sz w:val="20"/>
                <w:lang w:val="es-ES" w:eastAsia="ja-JP"/>
              </w:rPr>
              <w:t>8 GHz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650 </w:t>
            </w:r>
            <w:r w:rsidRPr="001C7013">
              <w:rPr>
                <w:sz w:val="20"/>
                <w:lang w:val="es-ES"/>
              </w:rPr>
              <w:t xml:space="preserve"> (CMR-12)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1.12</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Atribución al SETS en la banda de 9,3-9,9 GHz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651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r w:rsidRPr="001C7013">
              <w:rPr>
                <w:sz w:val="20"/>
                <w:lang w:val="es-ES"/>
              </w:rPr>
              <w:t>C</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1.13</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 xml:space="preserve">Examen del funcionamiento del SIE </w:t>
            </w:r>
            <w:r w:rsidRPr="001C7013">
              <w:rPr>
                <w:sz w:val="20"/>
                <w:lang w:val="es-ES"/>
              </w:rPr>
              <w:t>–</w:t>
            </w:r>
            <w:r w:rsidRPr="001C7013">
              <w:rPr>
                <w:sz w:val="20"/>
                <w:lang w:val="es-ES" w:eastAsia="ja-JP"/>
              </w:rPr>
              <w:t xml:space="preserve"> 410</w:t>
            </w:r>
            <w:r w:rsidRPr="001C7013">
              <w:rPr>
                <w:sz w:val="20"/>
                <w:lang w:val="es-ES" w:eastAsia="ja-JP"/>
              </w:rPr>
              <w:noBreakHyphen/>
              <w:t>420 MHz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652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1.14</w:t>
            </w:r>
          </w:p>
        </w:tc>
        <w:tc>
          <w:tcPr>
            <w:tcW w:w="3260" w:type="dxa"/>
            <w:vAlign w:val="center"/>
          </w:tcPr>
          <w:p w:rsidR="00C00643" w:rsidRPr="001C7013" w:rsidRDefault="00C00643" w:rsidP="002F1E53">
            <w:pPr>
              <w:spacing w:before="40" w:after="40"/>
              <w:rPr>
                <w:sz w:val="20"/>
                <w:lang w:val="es-ES"/>
              </w:rPr>
            </w:pPr>
            <w:r w:rsidRPr="001C7013">
              <w:rPr>
                <w:sz w:val="20"/>
                <w:lang w:val="es-ES"/>
              </w:rPr>
              <w:t>Futuro UTC</w:t>
            </w:r>
          </w:p>
        </w:tc>
        <w:tc>
          <w:tcPr>
            <w:tcW w:w="2126" w:type="dxa"/>
            <w:vAlign w:val="center"/>
          </w:tcPr>
          <w:p w:rsidR="00C00643" w:rsidRPr="001C7013" w:rsidRDefault="00C00643" w:rsidP="002F1E53">
            <w:pPr>
              <w:spacing w:before="40" w:after="40"/>
              <w:jc w:val="center"/>
              <w:rPr>
                <w:sz w:val="20"/>
                <w:lang w:val="es-ES" w:eastAsia="ja-JP"/>
              </w:rPr>
            </w:pPr>
            <w:r w:rsidRPr="001C7013">
              <w:rPr>
                <w:sz w:val="20"/>
                <w:lang w:val="es-ES" w:eastAsia="ja-JP"/>
              </w:rPr>
              <w:t xml:space="preserve">653 </w:t>
            </w:r>
            <w:r w:rsidRPr="001C7013">
              <w:rPr>
                <w:sz w:val="20"/>
                <w:lang w:val="es-ES"/>
              </w:rPr>
              <w:t xml:space="preserve"> (CMR-12)</w:t>
            </w:r>
          </w:p>
        </w:tc>
        <w:tc>
          <w:tcPr>
            <w:tcW w:w="851" w:type="dxa"/>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1.15</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rPr>
              <w:t>SMM a bordo en las bandas de ondas decimétricas</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358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b/>
                <w:sz w:val="20"/>
                <w:lang w:val="es-ES"/>
              </w:rPr>
            </w:pPr>
            <w:r w:rsidRPr="001C7013">
              <w:rPr>
                <w:b/>
                <w:sz w:val="20"/>
                <w:lang w:val="es-ES"/>
              </w:rPr>
              <w:t>R</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r w:rsidRPr="001C7013">
              <w:rPr>
                <w:sz w:val="20"/>
                <w:lang w:val="es-ES"/>
              </w:rPr>
              <w:t>C</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1.16</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Nueva tecnología de SIA</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360 </w:t>
            </w:r>
            <w:r w:rsidRPr="001C7013">
              <w:rPr>
                <w:sz w:val="20"/>
                <w:lang w:val="es-ES"/>
              </w:rPr>
              <w:t xml:space="preserve"> (CMR-12)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b/>
                <w:sz w:val="20"/>
                <w:lang w:val="es-ES"/>
              </w:rPr>
            </w:pPr>
            <w:r w:rsidRPr="001C7013">
              <w:rPr>
                <w:b/>
                <w:sz w:val="20"/>
                <w:lang w:val="es-ES"/>
              </w:rPr>
              <w:t>R</w:t>
            </w:r>
          </w:p>
        </w:tc>
        <w:tc>
          <w:tcPr>
            <w:tcW w:w="851" w:type="dxa"/>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1.17</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 xml:space="preserve">Medidas para soportar los </w:t>
            </w:r>
            <w:r w:rsidRPr="001C7013">
              <w:rPr>
                <w:sz w:val="20"/>
                <w:lang w:val="es-ES"/>
              </w:rPr>
              <w:t>WAIC</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423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b/>
                <w:sz w:val="20"/>
                <w:lang w:val="es-ES"/>
              </w:rPr>
            </w:pPr>
            <w:r w:rsidRPr="001C7013">
              <w:rPr>
                <w:b/>
                <w:sz w:val="20"/>
                <w:lang w:val="es-ES"/>
              </w:rPr>
              <w:t>R</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1.18</w:t>
            </w:r>
          </w:p>
        </w:tc>
        <w:tc>
          <w:tcPr>
            <w:tcW w:w="3260" w:type="dxa"/>
            <w:vAlign w:val="center"/>
          </w:tcPr>
          <w:p w:rsidR="00C00643" w:rsidRPr="001C7013" w:rsidRDefault="00C00643" w:rsidP="002F1E53">
            <w:pPr>
              <w:spacing w:before="40" w:after="40"/>
              <w:rPr>
                <w:sz w:val="20"/>
                <w:lang w:val="es-ES"/>
              </w:rPr>
            </w:pPr>
            <w:r w:rsidRPr="001C7013">
              <w:rPr>
                <w:sz w:val="20"/>
                <w:lang w:val="es-ES" w:eastAsia="ja-JP"/>
              </w:rPr>
              <w:t>Atribución al servicio de radiolocalización para radares para automóviles</w:t>
            </w:r>
          </w:p>
        </w:tc>
        <w:tc>
          <w:tcPr>
            <w:tcW w:w="2126" w:type="dxa"/>
            <w:vAlign w:val="center"/>
          </w:tcPr>
          <w:p w:rsidR="00C00643" w:rsidRPr="001C7013" w:rsidRDefault="00C00643" w:rsidP="001C7013">
            <w:pPr>
              <w:spacing w:before="40" w:after="40"/>
              <w:jc w:val="center"/>
              <w:rPr>
                <w:sz w:val="20"/>
                <w:lang w:val="es-ES"/>
              </w:rPr>
            </w:pPr>
            <w:r w:rsidRPr="001C7013">
              <w:rPr>
                <w:sz w:val="20"/>
                <w:lang w:val="es-ES" w:eastAsia="ja-JP"/>
              </w:rPr>
              <w:t>654</w:t>
            </w:r>
            <w:r w:rsidRPr="001C7013">
              <w:rPr>
                <w:sz w:val="20"/>
                <w:lang w:val="es-ES"/>
              </w:rPr>
              <w:t xml:space="preserve"> (CMR-12) </w:t>
            </w:r>
            <w:r w:rsidRPr="001C7013">
              <w:rPr>
                <w:sz w:val="20"/>
                <w:lang w:val="es-ES"/>
              </w:rPr>
              <w:br/>
              <w:t>(</w:t>
            </w:r>
            <w:r w:rsidRPr="001C7013">
              <w:rPr>
                <w:i/>
                <w:iCs/>
                <w:sz w:val="20"/>
                <w:lang w:val="es-ES"/>
              </w:rPr>
              <w:t>invitas</w:t>
            </w:r>
            <w:r w:rsidRPr="001C7013">
              <w:rPr>
                <w:sz w:val="20"/>
                <w:lang w:val="es-ES"/>
              </w:rPr>
              <w:t xml:space="preserve"> i </w:t>
            </w:r>
            <w:r w:rsidR="001C7013" w:rsidRPr="001C7013">
              <w:rPr>
                <w:sz w:val="20"/>
                <w:lang w:val="es-ES"/>
              </w:rPr>
              <w:t>e</w:t>
            </w:r>
            <w:r w:rsidRPr="001C7013">
              <w:rPr>
                <w:sz w:val="20"/>
                <w:lang w:val="es-ES"/>
              </w:rPr>
              <w:t xml:space="preserve"> ii) =&gt;</w:t>
            </w:r>
            <w:r w:rsidR="001C7013" w:rsidRPr="001C7013">
              <w:rPr>
                <w:sz w:val="20"/>
                <w:lang w:val="es-ES"/>
              </w:rPr>
              <w:br/>
            </w:r>
            <w:r w:rsidRPr="001C7013">
              <w:rPr>
                <w:sz w:val="20"/>
                <w:lang w:val="es-ES"/>
              </w:rPr>
              <w:t>(</w:t>
            </w:r>
            <w:r w:rsidRPr="001C7013">
              <w:rPr>
                <w:i/>
                <w:iCs/>
                <w:sz w:val="20"/>
                <w:lang w:val="es-ES"/>
              </w:rPr>
              <w:t>invitas</w:t>
            </w:r>
            <w:r w:rsidRPr="001C7013">
              <w:rPr>
                <w:sz w:val="20"/>
                <w:lang w:val="es-ES"/>
              </w:rPr>
              <w:t xml:space="preserve"> iii) =&gt;</w:t>
            </w:r>
          </w:p>
        </w:tc>
        <w:tc>
          <w:tcPr>
            <w:tcW w:w="851" w:type="dxa"/>
            <w:vAlign w:val="center"/>
          </w:tcPr>
          <w:p w:rsidR="00C00643" w:rsidRPr="001C7013" w:rsidRDefault="00C00643" w:rsidP="002F1E53">
            <w:pPr>
              <w:spacing w:before="40" w:after="40"/>
              <w:jc w:val="center"/>
              <w:rPr>
                <w:b/>
                <w:sz w:val="20"/>
                <w:lang w:val="es-ES"/>
              </w:rPr>
            </w:pPr>
            <w:r w:rsidRPr="001C7013">
              <w:rPr>
                <w:b/>
                <w:sz w:val="20"/>
                <w:lang w:val="es-ES"/>
              </w:rPr>
              <w:t>R</w:t>
            </w:r>
          </w:p>
        </w:tc>
        <w:tc>
          <w:tcPr>
            <w:tcW w:w="850" w:type="dxa"/>
            <w:vAlign w:val="center"/>
          </w:tcPr>
          <w:p w:rsidR="00C00643" w:rsidRPr="001C7013" w:rsidRDefault="00C00643" w:rsidP="002F1E53">
            <w:pPr>
              <w:spacing w:before="40" w:after="40"/>
              <w:jc w:val="center"/>
              <w:rPr>
                <w:b/>
                <w:sz w:val="20"/>
                <w:lang w:val="es-ES"/>
              </w:rPr>
            </w:pPr>
            <w:r w:rsidRPr="001C7013">
              <w:rPr>
                <w:b/>
                <w:sz w:val="20"/>
                <w:lang w:val="es-ES"/>
              </w:rPr>
              <w:t>R</w:t>
            </w:r>
          </w:p>
        </w:tc>
        <w:tc>
          <w:tcPr>
            <w:tcW w:w="851" w:type="dxa"/>
            <w:vAlign w:val="center"/>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7</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rPr>
              <w:t>Cuestiones de procedimiento relativas a satélites</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rPr>
              <w:t>86 (Rev.CMR-07)</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9.1.1</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eastAsia="ja-JP"/>
              </w:rPr>
              <w:t>Protección del SMS en la banda de 406-406,1 MHz</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rPr>
              <w:t>205 (Rev.CMR-12)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r w:rsidRPr="001C7013">
              <w:rPr>
                <w:sz w:val="20"/>
                <w:lang w:val="es-ES"/>
              </w:rPr>
              <w:t>C</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9.1.6</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rPr>
              <w:t>Definiciones para estaciones del SF/SM</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957</w:t>
            </w:r>
            <w:r w:rsidRPr="001C7013">
              <w:rPr>
                <w:sz w:val="20"/>
                <w:lang w:val="es-ES"/>
              </w:rPr>
              <w:t xml:space="preserve"> (CMR-12)</w:t>
            </w: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r w:rsidRPr="001C7013">
              <w:rPr>
                <w:sz w:val="20"/>
                <w:lang w:val="es-ES"/>
              </w:rPr>
              <w:t>C</w:t>
            </w:r>
          </w:p>
        </w:tc>
        <w:tc>
          <w:tcPr>
            <w:tcW w:w="850" w:type="dxa"/>
          </w:tcPr>
          <w:p w:rsidR="00C00643" w:rsidRPr="001C7013" w:rsidRDefault="00C00643" w:rsidP="002F1E53">
            <w:pPr>
              <w:spacing w:before="40" w:after="40"/>
              <w:jc w:val="center"/>
              <w:rPr>
                <w:sz w:val="20"/>
                <w:lang w:val="es-ES"/>
              </w:rPr>
            </w:pPr>
            <w:r w:rsidRPr="001C7013">
              <w:rPr>
                <w:sz w:val="20"/>
                <w:lang w:val="es-ES"/>
              </w:rPr>
              <w:t>C</w:t>
            </w:r>
          </w:p>
        </w:tc>
      </w:tr>
      <w:tr w:rsidR="00C00643" w:rsidRPr="001C7013" w:rsidTr="001C7013">
        <w:trPr>
          <w:jc w:val="center"/>
        </w:trPr>
        <w:tc>
          <w:tcPr>
            <w:tcW w:w="959" w:type="dxa"/>
            <w:vAlign w:val="center"/>
          </w:tcPr>
          <w:p w:rsidR="00C00643" w:rsidRPr="001C7013" w:rsidRDefault="00C00643" w:rsidP="002F1E53">
            <w:pPr>
              <w:spacing w:before="40" w:after="40"/>
              <w:jc w:val="center"/>
              <w:rPr>
                <w:sz w:val="20"/>
                <w:lang w:val="es-ES"/>
              </w:rPr>
            </w:pPr>
            <w:r w:rsidRPr="001C7013">
              <w:rPr>
                <w:sz w:val="20"/>
                <w:lang w:val="es-ES"/>
              </w:rPr>
              <w:t>9.1.8</w:t>
            </w:r>
          </w:p>
        </w:tc>
        <w:tc>
          <w:tcPr>
            <w:tcW w:w="3260" w:type="dxa"/>
            <w:vAlign w:val="center"/>
          </w:tcPr>
          <w:p w:rsidR="00C00643" w:rsidRPr="001C7013" w:rsidRDefault="00C00643" w:rsidP="002F1E53">
            <w:pPr>
              <w:spacing w:before="40" w:after="40"/>
              <w:rPr>
                <w:sz w:val="20"/>
                <w:lang w:val="es-ES" w:eastAsia="ja-JP"/>
              </w:rPr>
            </w:pPr>
            <w:r w:rsidRPr="001C7013">
              <w:rPr>
                <w:sz w:val="20"/>
                <w:lang w:val="es-ES"/>
              </w:rPr>
              <w:t xml:space="preserve">Cuestiones relativas a </w:t>
            </w:r>
            <w:r w:rsidRPr="001C7013">
              <w:rPr>
                <w:color w:val="000000"/>
                <w:sz w:val="20"/>
                <w:lang w:val="es-ES"/>
              </w:rPr>
              <w:t>nano y pico satélites</w:t>
            </w:r>
          </w:p>
        </w:tc>
        <w:tc>
          <w:tcPr>
            <w:tcW w:w="2126" w:type="dxa"/>
            <w:vAlign w:val="center"/>
          </w:tcPr>
          <w:p w:rsidR="00C00643" w:rsidRPr="001C7013" w:rsidRDefault="00C00643" w:rsidP="002F1E53">
            <w:pPr>
              <w:spacing w:before="40" w:after="40"/>
              <w:jc w:val="center"/>
              <w:rPr>
                <w:sz w:val="20"/>
                <w:lang w:val="es-ES"/>
              </w:rPr>
            </w:pPr>
            <w:r w:rsidRPr="001C7013">
              <w:rPr>
                <w:sz w:val="20"/>
                <w:lang w:val="es-ES" w:eastAsia="ja-JP"/>
              </w:rPr>
              <w:t xml:space="preserve">757 </w:t>
            </w:r>
            <w:r w:rsidRPr="001C7013">
              <w:rPr>
                <w:sz w:val="20"/>
                <w:lang w:val="es-ES"/>
              </w:rPr>
              <w:t>(CMR-12)</w:t>
            </w:r>
          </w:p>
        </w:tc>
        <w:tc>
          <w:tcPr>
            <w:tcW w:w="851" w:type="dxa"/>
          </w:tcPr>
          <w:p w:rsidR="00C00643" w:rsidRPr="001C7013" w:rsidRDefault="00C00643" w:rsidP="002F1E53">
            <w:pPr>
              <w:spacing w:before="40" w:after="40"/>
              <w:jc w:val="center"/>
              <w:rPr>
                <w:sz w:val="20"/>
                <w:lang w:val="es-ES"/>
              </w:rPr>
            </w:pPr>
            <w:r w:rsidRPr="001C7013">
              <w:rPr>
                <w:sz w:val="20"/>
                <w:lang w:val="es-ES"/>
              </w:rPr>
              <w:t>I</w:t>
            </w:r>
          </w:p>
        </w:tc>
        <w:tc>
          <w:tcPr>
            <w:tcW w:w="850" w:type="dxa"/>
          </w:tcPr>
          <w:p w:rsidR="00C00643" w:rsidRPr="001C7013" w:rsidRDefault="00C00643" w:rsidP="002F1E53">
            <w:pPr>
              <w:spacing w:before="40" w:after="40"/>
              <w:jc w:val="center"/>
              <w:rPr>
                <w:sz w:val="20"/>
                <w:lang w:val="es-ES"/>
              </w:rPr>
            </w:pPr>
          </w:p>
        </w:tc>
        <w:tc>
          <w:tcPr>
            <w:tcW w:w="851" w:type="dxa"/>
          </w:tcPr>
          <w:p w:rsidR="00C00643" w:rsidRPr="001C7013" w:rsidRDefault="00C00643" w:rsidP="002F1E53">
            <w:pPr>
              <w:spacing w:before="40" w:after="40"/>
              <w:jc w:val="center"/>
              <w:rPr>
                <w:sz w:val="20"/>
                <w:lang w:val="es-ES"/>
              </w:rPr>
            </w:pPr>
          </w:p>
        </w:tc>
        <w:tc>
          <w:tcPr>
            <w:tcW w:w="850" w:type="dxa"/>
          </w:tcPr>
          <w:p w:rsidR="00C00643" w:rsidRPr="001C7013" w:rsidRDefault="00C00643" w:rsidP="002F1E53">
            <w:pPr>
              <w:spacing w:before="40" w:after="40"/>
              <w:jc w:val="center"/>
              <w:rPr>
                <w:sz w:val="20"/>
                <w:lang w:val="es-ES"/>
              </w:rPr>
            </w:pPr>
          </w:p>
        </w:tc>
      </w:tr>
    </w:tbl>
    <w:p w:rsidR="00C00643" w:rsidRPr="00F9410F" w:rsidRDefault="00C00643" w:rsidP="00C00643">
      <w:pPr>
        <w:spacing w:beforeLines="50"/>
        <w:rPr>
          <w:rFonts w:asciiTheme="majorBidi" w:hAnsiTheme="majorBidi" w:cstheme="majorBidi"/>
          <w:sz w:val="20"/>
          <w:lang w:val="es-ES"/>
        </w:rPr>
      </w:pPr>
      <w:r w:rsidRPr="00F9410F">
        <w:rPr>
          <w:rFonts w:asciiTheme="majorBidi" w:hAnsiTheme="majorBidi" w:cstheme="majorBidi"/>
          <w:sz w:val="20"/>
          <w:lang w:val="es-ES" w:eastAsia="ja-JP"/>
        </w:rPr>
        <w:t>NOTA</w:t>
      </w:r>
      <w:r w:rsidRPr="00F9410F">
        <w:rPr>
          <w:rFonts w:asciiTheme="majorBidi" w:hAnsiTheme="majorBidi" w:cstheme="majorBidi"/>
          <w:sz w:val="20"/>
          <w:lang w:val="es-ES"/>
        </w:rPr>
        <w:t>:</w:t>
      </w:r>
      <w:r w:rsidRPr="00F9410F">
        <w:rPr>
          <w:rFonts w:asciiTheme="majorBidi" w:hAnsiTheme="majorBidi" w:cstheme="majorBidi"/>
          <w:sz w:val="20"/>
          <w:lang w:val="es-ES" w:eastAsia="ja-JP"/>
        </w:rPr>
        <w:t xml:space="preserve"> </w:t>
      </w:r>
      <w:r w:rsidRPr="00F9410F">
        <w:rPr>
          <w:rFonts w:asciiTheme="majorBidi" w:hAnsiTheme="majorBidi" w:cstheme="majorBidi"/>
          <w:b/>
          <w:sz w:val="20"/>
          <w:lang w:val="es-ES"/>
        </w:rPr>
        <w:t>R</w:t>
      </w:r>
      <w:r w:rsidRPr="00F9410F">
        <w:rPr>
          <w:rFonts w:asciiTheme="majorBidi" w:hAnsiTheme="majorBidi" w:cstheme="majorBidi"/>
          <w:sz w:val="20"/>
          <w:lang w:val="es-ES"/>
        </w:rPr>
        <w:t xml:space="preserve"> = Grupo encargado</w:t>
      </w:r>
      <w:r w:rsidRPr="00F9410F">
        <w:rPr>
          <w:rFonts w:asciiTheme="majorBidi" w:hAnsiTheme="majorBidi" w:cstheme="majorBidi"/>
          <w:sz w:val="20"/>
          <w:lang w:val="es-ES" w:eastAsia="ja-JP"/>
        </w:rPr>
        <w:t xml:space="preserve">,  </w:t>
      </w:r>
      <w:r w:rsidRPr="00F9410F">
        <w:rPr>
          <w:rFonts w:asciiTheme="majorBidi" w:hAnsiTheme="majorBidi" w:cstheme="majorBidi"/>
          <w:sz w:val="20"/>
          <w:lang w:val="es-ES"/>
        </w:rPr>
        <w:t>C = Grupo contribuyente</w:t>
      </w:r>
      <w:r w:rsidRPr="00F9410F">
        <w:rPr>
          <w:rFonts w:asciiTheme="majorBidi" w:hAnsiTheme="majorBidi" w:cstheme="majorBidi"/>
          <w:sz w:val="20"/>
          <w:lang w:val="es-ES" w:eastAsia="ja-JP"/>
        </w:rPr>
        <w:t xml:space="preserve">, </w:t>
      </w:r>
      <w:r w:rsidRPr="00F9410F">
        <w:rPr>
          <w:rFonts w:asciiTheme="majorBidi" w:hAnsiTheme="majorBidi" w:cstheme="majorBidi"/>
          <w:sz w:val="20"/>
          <w:lang w:val="es-ES"/>
        </w:rPr>
        <w:t>I = Grupo interesado</w:t>
      </w:r>
    </w:p>
    <w:p w:rsidR="001C7013" w:rsidRDefault="00C00643" w:rsidP="001C7013">
      <w:pPr>
        <w:pStyle w:val="AnnexNo"/>
        <w:rPr>
          <w:lang w:val="es-ES" w:eastAsia="ja-JP"/>
        </w:rPr>
      </w:pPr>
      <w:r w:rsidRPr="00F9410F">
        <w:rPr>
          <w:lang w:val="es-ES"/>
        </w:rPr>
        <w:lastRenderedPageBreak/>
        <w:t xml:space="preserve">Anexo </w:t>
      </w:r>
      <w:r w:rsidRPr="00F9410F">
        <w:rPr>
          <w:lang w:val="es-ES" w:eastAsia="ja-JP"/>
        </w:rPr>
        <w:t>3</w:t>
      </w:r>
    </w:p>
    <w:p w:rsidR="00C00643" w:rsidRPr="002F1E53" w:rsidRDefault="00C00643" w:rsidP="001C7013">
      <w:pPr>
        <w:pStyle w:val="Annextitle"/>
        <w:rPr>
          <w:lang w:val="es-ES"/>
        </w:rPr>
      </w:pPr>
      <w:r w:rsidRPr="00F9410F">
        <w:rPr>
          <w:lang w:val="es-ES"/>
        </w:rPr>
        <w:t>Resumen de la situación de los estudios solicitados en las Resoluciones</w:t>
      </w:r>
      <w:r w:rsidRPr="00F9410F">
        <w:rPr>
          <w:lang w:val="es-ES" w:eastAsia="ja-JP"/>
        </w:rPr>
        <w:t xml:space="preserve"> del UIT-R</w:t>
      </w:r>
    </w:p>
    <w:p w:rsidR="00C00643" w:rsidRPr="00F9410F" w:rsidRDefault="00C00643" w:rsidP="007E2FF1">
      <w:pPr>
        <w:pStyle w:val="TableNo"/>
        <w:rPr>
          <w:lang w:val="es-ES" w:eastAsia="ja-JP"/>
        </w:rPr>
      </w:pPr>
      <w:r w:rsidRPr="007E2FF1">
        <w:t>cuadro</w:t>
      </w:r>
      <w:r w:rsidRPr="00F9410F">
        <w:rPr>
          <w:lang w:val="es-ES" w:eastAsia="ja-JP"/>
        </w:rPr>
        <w:t xml:space="preserve"> A3-1</w:t>
      </w:r>
    </w:p>
    <w:p w:rsidR="00C00643" w:rsidRPr="00F9410F" w:rsidRDefault="00C00643" w:rsidP="00C00643">
      <w:pPr>
        <w:pStyle w:val="AppendixNo"/>
        <w:spacing w:before="120" w:afterLines="50" w:after="120"/>
        <w:rPr>
          <w:b/>
          <w:caps w:val="0"/>
          <w:sz w:val="20"/>
          <w:lang w:val="es-ES" w:eastAsia="ja-JP"/>
        </w:rPr>
      </w:pPr>
      <w:r w:rsidRPr="00F9410F">
        <w:rPr>
          <w:b/>
          <w:caps w:val="0"/>
          <w:sz w:val="20"/>
          <w:lang w:val="es-ES" w:eastAsia="ko-KR"/>
        </w:rPr>
        <w:t>Resumen de la situación de los estudios solicitados en las Resoluciones del UIT</w:t>
      </w:r>
      <w:r w:rsidRPr="00F9410F">
        <w:rPr>
          <w:b/>
          <w:caps w:val="0"/>
          <w:sz w:val="20"/>
          <w:lang w:val="es-ES" w:eastAsia="ja-JP"/>
        </w:rPr>
        <w:t>-R</w:t>
      </w:r>
    </w:p>
    <w:tbl>
      <w:tblPr>
        <w:tblStyle w:val="TableGrid"/>
        <w:tblW w:w="9639" w:type="dxa"/>
        <w:jc w:val="center"/>
        <w:tblLook w:val="04A0" w:firstRow="1" w:lastRow="0" w:firstColumn="1" w:lastColumn="0" w:noHBand="0" w:noVBand="1"/>
      </w:tblPr>
      <w:tblGrid>
        <w:gridCol w:w="1413"/>
        <w:gridCol w:w="2693"/>
        <w:gridCol w:w="3402"/>
        <w:gridCol w:w="2131"/>
      </w:tblGrid>
      <w:tr w:rsidR="00C00643" w:rsidRPr="00F9410F" w:rsidTr="007E2FF1">
        <w:trPr>
          <w:cantSplit/>
          <w:jc w:val="center"/>
        </w:trPr>
        <w:tc>
          <w:tcPr>
            <w:tcW w:w="1413" w:type="dxa"/>
          </w:tcPr>
          <w:p w:rsidR="00C00643" w:rsidRPr="00F9410F" w:rsidRDefault="00C00643" w:rsidP="00EE13AA">
            <w:pPr>
              <w:pStyle w:val="Tablehead"/>
              <w:rPr>
                <w:lang w:val="es-ES" w:eastAsia="ja-JP"/>
              </w:rPr>
            </w:pPr>
            <w:r w:rsidRPr="00F9410F">
              <w:rPr>
                <w:lang w:val="es-ES" w:eastAsia="ja-JP"/>
              </w:rPr>
              <w:t>Resolución UIT-R</w:t>
            </w:r>
          </w:p>
        </w:tc>
        <w:tc>
          <w:tcPr>
            <w:tcW w:w="2693" w:type="dxa"/>
          </w:tcPr>
          <w:p w:rsidR="00C00643" w:rsidRPr="00F9410F" w:rsidRDefault="00C00643" w:rsidP="00EE13AA">
            <w:pPr>
              <w:pStyle w:val="Tablehead"/>
              <w:rPr>
                <w:lang w:val="es-ES" w:eastAsia="ja-JP"/>
              </w:rPr>
            </w:pPr>
            <w:r w:rsidRPr="00F9410F">
              <w:rPr>
                <w:lang w:val="es-ES" w:eastAsia="ja-JP"/>
              </w:rPr>
              <w:t>Título</w:t>
            </w:r>
          </w:p>
        </w:tc>
        <w:tc>
          <w:tcPr>
            <w:tcW w:w="3402" w:type="dxa"/>
          </w:tcPr>
          <w:p w:rsidR="00C00643" w:rsidRPr="00F9410F" w:rsidRDefault="00C00643" w:rsidP="00EE13AA">
            <w:pPr>
              <w:pStyle w:val="Tablehead"/>
              <w:rPr>
                <w:lang w:val="es-ES" w:eastAsia="ja-JP"/>
              </w:rPr>
            </w:pPr>
            <w:r w:rsidRPr="00F9410F">
              <w:rPr>
                <w:lang w:val="es-ES" w:eastAsia="ja-JP"/>
              </w:rPr>
              <w:t>Situación de los estudios</w:t>
            </w:r>
          </w:p>
        </w:tc>
        <w:tc>
          <w:tcPr>
            <w:tcW w:w="2131" w:type="dxa"/>
          </w:tcPr>
          <w:p w:rsidR="00C00643" w:rsidRPr="00F9410F" w:rsidRDefault="00C00643" w:rsidP="00EE13AA">
            <w:pPr>
              <w:pStyle w:val="Tablehead"/>
              <w:rPr>
                <w:lang w:val="es-ES" w:eastAsia="ja-JP"/>
              </w:rPr>
            </w:pPr>
            <w:r w:rsidRPr="00F9410F">
              <w:rPr>
                <w:lang w:val="es-ES" w:eastAsia="ja-JP"/>
              </w:rPr>
              <w:t>Resultados</w:t>
            </w:r>
          </w:p>
        </w:tc>
      </w:tr>
      <w:tr w:rsidR="00C00643" w:rsidRPr="00F9410F" w:rsidTr="007E2FF1">
        <w:trPr>
          <w:cantSplit/>
          <w:jc w:val="center"/>
        </w:trPr>
        <w:tc>
          <w:tcPr>
            <w:tcW w:w="1413" w:type="dxa"/>
          </w:tcPr>
          <w:p w:rsidR="00C00643" w:rsidRPr="00EE13AA" w:rsidRDefault="00C00643" w:rsidP="00EE13AA">
            <w:pPr>
              <w:pStyle w:val="Tabletext"/>
              <w:jc w:val="center"/>
              <w:rPr>
                <w:lang w:val="es-ES"/>
              </w:rPr>
            </w:pPr>
            <w:r w:rsidRPr="00EE13AA">
              <w:rPr>
                <w:lang w:val="es-ES"/>
              </w:rPr>
              <w:t>17-4</w:t>
            </w:r>
          </w:p>
        </w:tc>
        <w:tc>
          <w:tcPr>
            <w:tcW w:w="2693" w:type="dxa"/>
          </w:tcPr>
          <w:p w:rsidR="00C00643" w:rsidRPr="00EE13AA" w:rsidRDefault="00C00643" w:rsidP="00EE13AA">
            <w:pPr>
              <w:pStyle w:val="Tabletext"/>
              <w:jc w:val="left"/>
              <w:rPr>
                <w:lang w:val="es-ES"/>
              </w:rPr>
            </w:pPr>
            <w:r w:rsidRPr="00EE13AA">
              <w:rPr>
                <w:lang w:val="es-ES"/>
              </w:rPr>
              <w:t>Integración de las Telecomunicaciones Móviles Internacionales (IMT-2000 e IMT-Avanzadas) en las redes existentes</w:t>
            </w:r>
          </w:p>
        </w:tc>
        <w:tc>
          <w:tcPr>
            <w:tcW w:w="3402" w:type="dxa"/>
          </w:tcPr>
          <w:p w:rsidR="00C00643" w:rsidRPr="00EE13AA" w:rsidRDefault="00C00643" w:rsidP="00EE13AA">
            <w:pPr>
              <w:pStyle w:val="Tabletext"/>
              <w:jc w:val="left"/>
              <w:rPr>
                <w:lang w:val="es-ES" w:eastAsia="ja-JP"/>
              </w:rPr>
            </w:pPr>
            <w:r w:rsidRPr="00EE13AA">
              <w:rPr>
                <w:lang w:val="es-ES" w:eastAsia="ja-JP"/>
              </w:rPr>
              <w:t>La Comisión de Estudio 5 ha completado el estudio.</w:t>
            </w:r>
          </w:p>
          <w:p w:rsidR="00C00643" w:rsidRPr="00EE13AA" w:rsidRDefault="00C00643" w:rsidP="00EE13AA">
            <w:pPr>
              <w:pStyle w:val="Tabletext"/>
              <w:jc w:val="left"/>
              <w:rPr>
                <w:caps/>
                <w:lang w:val="es-ES" w:eastAsia="ja-JP"/>
              </w:rPr>
            </w:pPr>
            <w:r w:rsidRPr="00EE13AA">
              <w:rPr>
                <w:lang w:val="es-ES" w:eastAsia="ja-JP"/>
              </w:rPr>
              <w:t xml:space="preserve">Se propone la supresión de la Resolución (véase el Doc. </w:t>
            </w:r>
            <w:hyperlink r:id="rId47" w:history="1">
              <w:r w:rsidRPr="00EE13AA">
                <w:rPr>
                  <w:rStyle w:val="Hyperlink"/>
                  <w:lang w:val="es-ES" w:eastAsia="ja-JP"/>
                </w:rPr>
                <w:t>5/1004</w:t>
              </w:r>
            </w:hyperlink>
            <w:r w:rsidRPr="00EE13AA">
              <w:rPr>
                <w:lang w:val="es-ES" w:eastAsia="ja-JP"/>
              </w:rPr>
              <w:t>).</w:t>
            </w:r>
          </w:p>
        </w:tc>
        <w:tc>
          <w:tcPr>
            <w:tcW w:w="2131" w:type="dxa"/>
          </w:tcPr>
          <w:p w:rsidR="00C00643" w:rsidRPr="00EE13AA" w:rsidRDefault="00C00643" w:rsidP="00EE13AA">
            <w:pPr>
              <w:pStyle w:val="Tabletext"/>
              <w:jc w:val="left"/>
              <w:rPr>
                <w:lang w:val="es-ES" w:eastAsia="ja-JP"/>
              </w:rPr>
            </w:pPr>
            <w:r w:rsidRPr="00EE13AA">
              <w:rPr>
                <w:lang w:val="es-ES" w:eastAsia="ja-JP"/>
              </w:rPr>
              <w:t xml:space="preserve">I. </w:t>
            </w:r>
            <w:r w:rsidRPr="00EE13AA">
              <w:rPr>
                <w:lang w:val="es-ES"/>
              </w:rPr>
              <w:t xml:space="preserve">UIT-R </w:t>
            </w:r>
            <w:r w:rsidRPr="00EE13AA">
              <w:rPr>
                <w:lang w:val="es-ES" w:eastAsia="ja-JP"/>
              </w:rPr>
              <w:t>M.2320</w:t>
            </w:r>
          </w:p>
        </w:tc>
      </w:tr>
      <w:tr w:rsidR="00C00643" w:rsidRPr="00F9410F" w:rsidTr="007E2FF1">
        <w:trPr>
          <w:cantSplit/>
          <w:jc w:val="center"/>
        </w:trPr>
        <w:tc>
          <w:tcPr>
            <w:tcW w:w="1413" w:type="dxa"/>
          </w:tcPr>
          <w:p w:rsidR="00C00643" w:rsidRPr="00EE13AA" w:rsidRDefault="00C00643" w:rsidP="00EE13AA">
            <w:pPr>
              <w:pStyle w:val="Tabletext"/>
              <w:jc w:val="center"/>
              <w:rPr>
                <w:lang w:val="es-ES" w:eastAsia="ja-JP"/>
              </w:rPr>
            </w:pPr>
            <w:r w:rsidRPr="00EE13AA">
              <w:rPr>
                <w:lang w:val="es-ES" w:eastAsia="ja-JP"/>
              </w:rPr>
              <w:t>50-2</w:t>
            </w:r>
          </w:p>
        </w:tc>
        <w:tc>
          <w:tcPr>
            <w:tcW w:w="2693" w:type="dxa"/>
          </w:tcPr>
          <w:p w:rsidR="00C00643" w:rsidRPr="00EE13AA" w:rsidRDefault="00C00643" w:rsidP="00EE13AA">
            <w:pPr>
              <w:pStyle w:val="Tabletext"/>
              <w:jc w:val="left"/>
              <w:rPr>
                <w:lang w:val="es-ES"/>
              </w:rPr>
            </w:pPr>
            <w:r w:rsidRPr="00EE13AA">
              <w:rPr>
                <w:lang w:val="es-ES"/>
              </w:rPr>
              <w:t>Funciones del Sector de Radiocomunicaciones con respecto al desarrollo de las IMT</w:t>
            </w:r>
          </w:p>
        </w:tc>
        <w:tc>
          <w:tcPr>
            <w:tcW w:w="3402" w:type="dxa"/>
          </w:tcPr>
          <w:p w:rsidR="00C00643" w:rsidRPr="00EE13AA" w:rsidRDefault="00C00643" w:rsidP="00EE13AA">
            <w:pPr>
              <w:pStyle w:val="Tabletext"/>
              <w:jc w:val="left"/>
              <w:rPr>
                <w:lang w:val="es-ES" w:eastAsia="ja-JP"/>
              </w:rPr>
            </w:pPr>
            <w:r w:rsidRPr="00EE13AA">
              <w:rPr>
                <w:lang w:val="es-ES" w:eastAsia="ja-JP"/>
              </w:rPr>
              <w:t>La Comisión de Estudio 5 ha llevado a cabo el estudio sobre las IMT, con arreglo al alcance de la presente Resolución.</w:t>
            </w:r>
          </w:p>
          <w:p w:rsidR="00C00643" w:rsidRPr="00EE13AA" w:rsidRDefault="00C00643" w:rsidP="00EE13AA">
            <w:pPr>
              <w:pStyle w:val="Tabletext"/>
              <w:jc w:val="left"/>
              <w:rPr>
                <w:caps/>
                <w:lang w:val="es-ES" w:eastAsia="ja-JP"/>
              </w:rPr>
            </w:pPr>
            <w:r w:rsidRPr="00EE13AA">
              <w:rPr>
                <w:lang w:val="es-ES" w:eastAsia="ja-JP"/>
              </w:rPr>
              <w:t>Se ha elaborado una nueva versión de esta Resolución (véase el Doc. 5/1004).</w:t>
            </w:r>
          </w:p>
        </w:tc>
        <w:tc>
          <w:tcPr>
            <w:tcW w:w="2131" w:type="dxa"/>
          </w:tcPr>
          <w:p w:rsidR="00C00643" w:rsidRPr="00EE13AA" w:rsidRDefault="00C00643" w:rsidP="00EE13AA">
            <w:pPr>
              <w:pStyle w:val="Tabletext"/>
              <w:jc w:val="left"/>
              <w:rPr>
                <w:lang w:val="es-ES" w:eastAsia="ja-JP"/>
              </w:rPr>
            </w:pPr>
            <w:r w:rsidRPr="00EE13AA">
              <w:rPr>
                <w:lang w:val="es-ES" w:eastAsia="ja-JP"/>
              </w:rPr>
              <w:t xml:space="preserve">Rec. </w:t>
            </w:r>
            <w:r w:rsidRPr="00EE13AA">
              <w:rPr>
                <w:lang w:val="es-ES"/>
              </w:rPr>
              <w:t>UIT-R</w:t>
            </w:r>
            <w:r w:rsidRPr="00EE13AA">
              <w:rPr>
                <w:lang w:val="es-ES" w:eastAsia="ja-JP"/>
              </w:rPr>
              <w:t xml:space="preserve"> M.2083-0 </w:t>
            </w:r>
          </w:p>
        </w:tc>
      </w:tr>
      <w:tr w:rsidR="00C00643" w:rsidRPr="00F9410F" w:rsidTr="007E2FF1">
        <w:trPr>
          <w:cantSplit/>
          <w:jc w:val="center"/>
        </w:trPr>
        <w:tc>
          <w:tcPr>
            <w:tcW w:w="1413" w:type="dxa"/>
          </w:tcPr>
          <w:p w:rsidR="00C00643" w:rsidRPr="00EE13AA" w:rsidDel="00BB22C0" w:rsidRDefault="00C00643" w:rsidP="00EE13AA">
            <w:pPr>
              <w:pStyle w:val="Tabletext"/>
              <w:jc w:val="center"/>
              <w:rPr>
                <w:lang w:val="es-ES"/>
              </w:rPr>
            </w:pPr>
            <w:r w:rsidRPr="00EE13AA">
              <w:rPr>
                <w:lang w:val="es-ES"/>
              </w:rPr>
              <w:t>5</w:t>
            </w:r>
            <w:r w:rsidRPr="00EE13AA">
              <w:rPr>
                <w:lang w:val="es-ES" w:eastAsia="ja-JP"/>
              </w:rPr>
              <w:t>3-</w:t>
            </w:r>
            <w:r w:rsidRPr="00EE13AA">
              <w:rPr>
                <w:lang w:val="es-ES"/>
              </w:rPr>
              <w:t>1</w:t>
            </w:r>
          </w:p>
        </w:tc>
        <w:tc>
          <w:tcPr>
            <w:tcW w:w="2693" w:type="dxa"/>
          </w:tcPr>
          <w:p w:rsidR="00C00643" w:rsidRPr="00EE13AA" w:rsidRDefault="00C00643" w:rsidP="00EE13AA">
            <w:pPr>
              <w:pStyle w:val="Tabletext"/>
              <w:jc w:val="left"/>
              <w:rPr>
                <w:lang w:val="es-ES"/>
              </w:rPr>
            </w:pPr>
            <w:r w:rsidRPr="00EE13AA">
              <w:rPr>
                <w:lang w:val="es-ES"/>
              </w:rPr>
              <w:t>Utilización de las radiocomunicaciones para la respuesta y las operaciones de socorro en caso de catástrofe</w:t>
            </w:r>
          </w:p>
        </w:tc>
        <w:tc>
          <w:tcPr>
            <w:tcW w:w="3402" w:type="dxa"/>
          </w:tcPr>
          <w:p w:rsidR="00C00643" w:rsidRPr="00EE13AA" w:rsidRDefault="00C00643" w:rsidP="00EE13AA">
            <w:pPr>
              <w:pStyle w:val="Tabletext"/>
              <w:jc w:val="left"/>
              <w:rPr>
                <w:rFonts w:asciiTheme="majorBidi" w:hAnsiTheme="majorBidi" w:cstheme="majorBidi"/>
                <w:lang w:val="es-ES" w:eastAsia="ja-JP"/>
              </w:rPr>
            </w:pPr>
            <w:r w:rsidRPr="00EE13AA">
              <w:rPr>
                <w:rFonts w:asciiTheme="majorBidi" w:hAnsiTheme="majorBidi" w:cstheme="majorBidi"/>
                <w:lang w:val="es-ES" w:eastAsia="ja-JP"/>
              </w:rPr>
              <w:t>Se han publicado solicitudes de contribuciones de información a la base de datos de frecuencias para la gestión de catástrofes.</w:t>
            </w:r>
          </w:p>
          <w:p w:rsidR="00C00643" w:rsidRPr="00EE13AA" w:rsidRDefault="00C00643" w:rsidP="00EE13AA">
            <w:pPr>
              <w:pStyle w:val="Tabletext"/>
              <w:jc w:val="left"/>
              <w:rPr>
                <w:caps/>
                <w:lang w:val="es-ES" w:eastAsia="ja-JP"/>
              </w:rPr>
            </w:pPr>
            <w:r w:rsidRPr="00EE13AA">
              <w:rPr>
                <w:rFonts w:asciiTheme="majorBidi" w:hAnsiTheme="majorBidi" w:cstheme="majorBidi"/>
                <w:lang w:val="es-ES" w:eastAsia="ja-JP"/>
              </w:rPr>
              <w:t>Se ha publicado el Informe provisional del Relator para las operaciones de Socorro en caso de catástrofe acerca de los trabajos realizados en relación con la base de datos.</w:t>
            </w:r>
          </w:p>
        </w:tc>
        <w:tc>
          <w:tcPr>
            <w:tcW w:w="2131" w:type="dxa"/>
          </w:tcPr>
          <w:p w:rsidR="001C7013" w:rsidRPr="00EE13AA" w:rsidRDefault="00C00643" w:rsidP="00EE13AA">
            <w:pPr>
              <w:pStyle w:val="Tabletext"/>
              <w:jc w:val="left"/>
              <w:rPr>
                <w:lang w:val="es-ES" w:eastAsia="ja-JP"/>
              </w:rPr>
            </w:pPr>
            <w:r w:rsidRPr="00EE13AA">
              <w:rPr>
                <w:lang w:val="es-ES" w:eastAsia="ja-JP"/>
              </w:rPr>
              <w:t>Doc. 5A/46</w:t>
            </w:r>
            <w:r w:rsidRPr="00EE13AA">
              <w:rPr>
                <w:lang w:val="es-ES" w:eastAsia="ja-JP"/>
              </w:rPr>
              <w:br/>
            </w:r>
            <w:r w:rsidRPr="00EE13AA">
              <w:rPr>
                <w:lang w:val="es-ES" w:eastAsia="ja-JP"/>
              </w:rPr>
              <w:br/>
            </w:r>
          </w:p>
          <w:p w:rsidR="001C7013" w:rsidRPr="00EE13AA" w:rsidRDefault="001C7013" w:rsidP="00EE13AA">
            <w:pPr>
              <w:pStyle w:val="Tabletext"/>
              <w:jc w:val="left"/>
              <w:rPr>
                <w:lang w:val="es-ES" w:eastAsia="ja-JP"/>
              </w:rPr>
            </w:pPr>
          </w:p>
          <w:p w:rsidR="001C7013" w:rsidRPr="00EE13AA" w:rsidRDefault="001C7013" w:rsidP="00EE13AA">
            <w:pPr>
              <w:pStyle w:val="Tabletext"/>
              <w:jc w:val="left"/>
              <w:rPr>
                <w:lang w:val="es-ES" w:eastAsia="ja-JP"/>
              </w:rPr>
            </w:pPr>
          </w:p>
          <w:p w:rsidR="00C00643" w:rsidRPr="00EE13AA" w:rsidRDefault="00C00643" w:rsidP="00EE13AA">
            <w:pPr>
              <w:pStyle w:val="Tabletext"/>
              <w:jc w:val="left"/>
              <w:rPr>
                <w:lang w:val="es-ES" w:eastAsia="ja-JP"/>
              </w:rPr>
            </w:pPr>
            <w:r w:rsidRPr="00EE13AA">
              <w:rPr>
                <w:lang w:val="es-ES" w:eastAsia="ja-JP"/>
              </w:rPr>
              <w:t>Docs. 5A/724, 5A/630, 5A/522, 5A/408, 5A/257, 5A/181</w:t>
            </w:r>
          </w:p>
        </w:tc>
      </w:tr>
      <w:tr w:rsidR="00C00643" w:rsidRPr="001C7013" w:rsidTr="007E2FF1">
        <w:trPr>
          <w:cantSplit/>
          <w:jc w:val="center"/>
        </w:trPr>
        <w:tc>
          <w:tcPr>
            <w:tcW w:w="1413" w:type="dxa"/>
          </w:tcPr>
          <w:p w:rsidR="00C00643" w:rsidRPr="00EE13AA" w:rsidDel="00BB22C0" w:rsidRDefault="00C00643" w:rsidP="00EE13AA">
            <w:pPr>
              <w:pStyle w:val="Tabletext"/>
              <w:jc w:val="center"/>
              <w:rPr>
                <w:lang w:val="es-ES"/>
              </w:rPr>
            </w:pPr>
            <w:r w:rsidRPr="00EE13AA">
              <w:rPr>
                <w:lang w:val="es-ES"/>
              </w:rPr>
              <w:t>55</w:t>
            </w:r>
            <w:r w:rsidRPr="00EE13AA">
              <w:rPr>
                <w:lang w:val="es-ES" w:eastAsia="ja-JP"/>
              </w:rPr>
              <w:t>-</w:t>
            </w:r>
            <w:r w:rsidRPr="00EE13AA">
              <w:rPr>
                <w:lang w:val="es-ES"/>
              </w:rPr>
              <w:t>1</w:t>
            </w:r>
          </w:p>
        </w:tc>
        <w:tc>
          <w:tcPr>
            <w:tcW w:w="2693" w:type="dxa"/>
          </w:tcPr>
          <w:p w:rsidR="00C00643" w:rsidRPr="00EE13AA" w:rsidRDefault="00C00643" w:rsidP="00EE13AA">
            <w:pPr>
              <w:pStyle w:val="Tabletext"/>
              <w:jc w:val="left"/>
              <w:rPr>
                <w:lang w:val="es-ES"/>
              </w:rPr>
            </w:pPr>
            <w:r w:rsidRPr="00EE13AA">
              <w:rPr>
                <w:lang w:val="es-ES"/>
              </w:rPr>
              <w:t>Estudios del UIT-R sobre predicción, detección, mitigación de los efectos de las catástrofes y operaciones de socorro</w:t>
            </w:r>
          </w:p>
        </w:tc>
        <w:tc>
          <w:tcPr>
            <w:tcW w:w="3402" w:type="dxa"/>
          </w:tcPr>
          <w:p w:rsidR="00C00643" w:rsidRPr="00EE13AA" w:rsidRDefault="00C00643" w:rsidP="00EE13AA">
            <w:pPr>
              <w:pStyle w:val="Tabletext"/>
              <w:jc w:val="left"/>
              <w:rPr>
                <w:lang w:val="es-ES" w:eastAsia="ja-JP"/>
              </w:rPr>
            </w:pPr>
            <w:r w:rsidRPr="00EE13AA">
              <w:rPr>
                <w:lang w:val="es-ES" w:eastAsia="ja-JP"/>
              </w:rPr>
              <w:t>La Comisión de Estudio 5 ha llevado a cabo estudios sobre los temas siguientes, con arreglo al alcance de la presente Resolución:</w:t>
            </w:r>
          </w:p>
          <w:p w:rsidR="00C00643" w:rsidRPr="00EE13AA" w:rsidRDefault="001C7013" w:rsidP="00EE13AA">
            <w:pPr>
              <w:pStyle w:val="Tabletext"/>
              <w:ind w:left="284" w:hanging="284"/>
              <w:jc w:val="left"/>
              <w:rPr>
                <w:lang w:val="es-ES" w:eastAsia="ja-JP"/>
              </w:rPr>
            </w:pPr>
            <w:r w:rsidRPr="00EE13AA">
              <w:rPr>
                <w:lang w:val="es-ES" w:eastAsia="ja-JP"/>
              </w:rPr>
              <w:t>–</w:t>
            </w:r>
            <w:r w:rsidRPr="00EE13AA">
              <w:rPr>
                <w:lang w:val="es-ES" w:eastAsia="ja-JP"/>
              </w:rPr>
              <w:tab/>
            </w:r>
            <w:r w:rsidR="00C00643" w:rsidRPr="00EE13AA">
              <w:rPr>
                <w:lang w:val="es-ES" w:eastAsia="ja-JP"/>
              </w:rPr>
              <w:t>funcionamiento PPDR, incluidas las aplicaciones de las IMT;</w:t>
            </w:r>
          </w:p>
          <w:p w:rsidR="00C00643" w:rsidRPr="00EE13AA" w:rsidRDefault="001C7013" w:rsidP="007E2FF1">
            <w:pPr>
              <w:pStyle w:val="Tabletext"/>
              <w:spacing w:before="0"/>
              <w:ind w:left="284" w:hanging="284"/>
              <w:jc w:val="left"/>
              <w:rPr>
                <w:lang w:val="es-ES" w:eastAsia="ja-JP"/>
              </w:rPr>
            </w:pPr>
            <w:r w:rsidRPr="00EE13AA">
              <w:rPr>
                <w:lang w:val="es-ES" w:eastAsia="ja-JP"/>
              </w:rPr>
              <w:t>–</w:t>
            </w:r>
            <w:r w:rsidRPr="00EE13AA">
              <w:rPr>
                <w:lang w:val="es-ES" w:eastAsia="ja-JP"/>
              </w:rPr>
              <w:tab/>
            </w:r>
            <w:r w:rsidR="00C00643" w:rsidRPr="00EE13AA">
              <w:rPr>
                <w:lang w:val="es-ES" w:eastAsia="ja-JP"/>
              </w:rPr>
              <w:t>radares oceanográficos para detección de tsunamis;</w:t>
            </w:r>
          </w:p>
          <w:p w:rsidR="00C00643" w:rsidRPr="00EE13AA" w:rsidRDefault="001C7013" w:rsidP="007E2FF1">
            <w:pPr>
              <w:pStyle w:val="Tabletext"/>
              <w:jc w:val="left"/>
              <w:rPr>
                <w:lang w:val="es-ES" w:eastAsia="ja-JP"/>
              </w:rPr>
            </w:pPr>
            <w:r w:rsidRPr="00EE13AA">
              <w:rPr>
                <w:lang w:val="es-ES" w:eastAsia="ja-JP"/>
              </w:rPr>
              <w:t>–</w:t>
            </w:r>
            <w:r w:rsidRPr="00EE13AA">
              <w:rPr>
                <w:lang w:val="es-ES" w:eastAsia="ja-JP"/>
              </w:rPr>
              <w:tab/>
            </w:r>
            <w:r w:rsidR="00C00643" w:rsidRPr="00EE13AA">
              <w:rPr>
                <w:lang w:val="es-ES" w:eastAsia="ja-JP"/>
              </w:rPr>
              <w:t>equipos fijos transportables</w:t>
            </w:r>
          </w:p>
        </w:tc>
        <w:tc>
          <w:tcPr>
            <w:tcW w:w="2131" w:type="dxa"/>
          </w:tcPr>
          <w:p w:rsidR="00C00643" w:rsidRPr="00EE13AA" w:rsidRDefault="00C00643" w:rsidP="00EE13AA">
            <w:pPr>
              <w:pStyle w:val="Tabletext"/>
              <w:jc w:val="left"/>
              <w:rPr>
                <w:lang w:val="fr-CH" w:eastAsia="ja-JP"/>
              </w:rPr>
            </w:pPr>
            <w:r w:rsidRPr="00EE13AA">
              <w:rPr>
                <w:lang w:val="fr-CH" w:eastAsia="ja-JP"/>
              </w:rPr>
              <w:t xml:space="preserve">Rec. </w:t>
            </w:r>
            <w:r w:rsidRPr="00EE13AA">
              <w:rPr>
                <w:lang w:val="fr-CH"/>
              </w:rPr>
              <w:t>UIT-R</w:t>
            </w:r>
            <w:r w:rsidRPr="00EE13AA">
              <w:rPr>
                <w:lang w:val="fr-CH" w:eastAsia="ja-JP"/>
              </w:rPr>
              <w:t xml:space="preserve"> M.2009-1, Rec. </w:t>
            </w:r>
            <w:r w:rsidRPr="00EE13AA">
              <w:rPr>
                <w:lang w:val="fr-CH"/>
              </w:rPr>
              <w:t>UIT-R</w:t>
            </w:r>
            <w:r w:rsidRPr="00EE13AA">
              <w:rPr>
                <w:lang w:val="fr-CH" w:eastAsia="ja-JP"/>
              </w:rPr>
              <w:t xml:space="preserve"> M.2015-1, I.</w:t>
            </w:r>
            <w:r w:rsidR="001C7013" w:rsidRPr="00EE13AA">
              <w:rPr>
                <w:lang w:val="fr-CH" w:eastAsia="ja-JP"/>
              </w:rPr>
              <w:t> </w:t>
            </w:r>
            <w:r w:rsidRPr="00EE13AA">
              <w:rPr>
                <w:lang w:val="fr-CH"/>
              </w:rPr>
              <w:t>UIT-R</w:t>
            </w:r>
            <w:r w:rsidRPr="00EE13AA">
              <w:rPr>
                <w:lang w:val="fr-CH" w:eastAsia="ja-JP"/>
              </w:rPr>
              <w:t xml:space="preserve"> M.2291-0, I.</w:t>
            </w:r>
            <w:r w:rsidR="001C7013" w:rsidRPr="00EE13AA">
              <w:rPr>
                <w:lang w:val="fr-CH" w:eastAsia="ja-JP"/>
              </w:rPr>
              <w:t> </w:t>
            </w:r>
            <w:r w:rsidRPr="00EE13AA">
              <w:rPr>
                <w:lang w:val="fr-CH"/>
              </w:rPr>
              <w:t>UIT</w:t>
            </w:r>
            <w:r w:rsidR="001C7013" w:rsidRPr="00EE13AA">
              <w:rPr>
                <w:lang w:val="fr-CH"/>
              </w:rPr>
              <w:noBreakHyphen/>
            </w:r>
            <w:r w:rsidRPr="00EE13AA">
              <w:rPr>
                <w:lang w:val="fr-CH"/>
              </w:rPr>
              <w:t>R</w:t>
            </w:r>
            <w:r w:rsidRPr="00EE13AA">
              <w:rPr>
                <w:lang w:val="fr-CH" w:eastAsia="ja-JP"/>
              </w:rPr>
              <w:t xml:space="preserve"> M.2377, Rec.</w:t>
            </w:r>
            <w:r w:rsidR="001C7013" w:rsidRPr="00EE13AA">
              <w:rPr>
                <w:lang w:val="fr-CH" w:eastAsia="ja-JP"/>
              </w:rPr>
              <w:t> </w:t>
            </w:r>
            <w:r w:rsidRPr="00EE13AA">
              <w:rPr>
                <w:lang w:val="fr-CH"/>
              </w:rPr>
              <w:t>UIT-R</w:t>
            </w:r>
            <w:r w:rsidRPr="00EE13AA">
              <w:rPr>
                <w:lang w:val="fr-CH" w:eastAsia="ja-JP"/>
              </w:rPr>
              <w:t xml:space="preserve"> M.1874-1, I.</w:t>
            </w:r>
            <w:r w:rsidR="001C7013" w:rsidRPr="00EE13AA">
              <w:rPr>
                <w:lang w:val="fr-CH" w:eastAsia="ja-JP"/>
              </w:rPr>
              <w:t> </w:t>
            </w:r>
            <w:r w:rsidRPr="00EE13AA">
              <w:rPr>
                <w:lang w:val="fr-CH"/>
              </w:rPr>
              <w:t>UIT-R</w:t>
            </w:r>
            <w:r w:rsidRPr="00EE13AA">
              <w:rPr>
                <w:lang w:val="fr-CH" w:eastAsia="ja-JP"/>
              </w:rPr>
              <w:t xml:space="preserve"> M.2321-0, Rec.</w:t>
            </w:r>
            <w:r w:rsidR="001C7013" w:rsidRPr="00EE13AA">
              <w:rPr>
                <w:lang w:val="fr-CH" w:eastAsia="ja-JP"/>
              </w:rPr>
              <w:t> </w:t>
            </w:r>
            <w:r w:rsidRPr="00EE13AA">
              <w:rPr>
                <w:lang w:val="fr-CH"/>
              </w:rPr>
              <w:t>UIT-R</w:t>
            </w:r>
            <w:r w:rsidRPr="00EE13AA">
              <w:rPr>
                <w:lang w:val="fr-CH" w:eastAsia="ja-JP"/>
              </w:rPr>
              <w:t xml:space="preserve"> F.1105-3</w:t>
            </w:r>
          </w:p>
        </w:tc>
      </w:tr>
      <w:tr w:rsidR="00C00643" w:rsidRPr="00F9410F" w:rsidTr="007E2FF1">
        <w:trPr>
          <w:cantSplit/>
          <w:jc w:val="center"/>
        </w:trPr>
        <w:tc>
          <w:tcPr>
            <w:tcW w:w="1413" w:type="dxa"/>
          </w:tcPr>
          <w:p w:rsidR="00C00643" w:rsidRPr="00EE13AA" w:rsidRDefault="00C00643" w:rsidP="00EE13AA">
            <w:pPr>
              <w:pStyle w:val="Tabletext"/>
              <w:jc w:val="center"/>
              <w:rPr>
                <w:lang w:val="es-ES" w:eastAsia="ja-JP"/>
              </w:rPr>
            </w:pPr>
            <w:r w:rsidRPr="00EE13AA">
              <w:rPr>
                <w:lang w:val="es-ES"/>
              </w:rPr>
              <w:t>5</w:t>
            </w:r>
            <w:r w:rsidRPr="00EE13AA">
              <w:rPr>
                <w:lang w:val="es-ES" w:eastAsia="ja-JP"/>
              </w:rPr>
              <w:t>6-1</w:t>
            </w:r>
          </w:p>
        </w:tc>
        <w:tc>
          <w:tcPr>
            <w:tcW w:w="2693" w:type="dxa"/>
          </w:tcPr>
          <w:p w:rsidR="00C00643" w:rsidRPr="00EE13AA" w:rsidRDefault="00C00643" w:rsidP="00EE13AA">
            <w:pPr>
              <w:pStyle w:val="Tabletext"/>
              <w:jc w:val="left"/>
              <w:rPr>
                <w:lang w:val="es-ES"/>
              </w:rPr>
            </w:pPr>
            <w:r w:rsidRPr="00EE13AA">
              <w:rPr>
                <w:lang w:val="es-ES"/>
              </w:rPr>
              <w:t>Denominación de las telecomunicaciones móviles internacionales</w:t>
            </w:r>
          </w:p>
        </w:tc>
        <w:tc>
          <w:tcPr>
            <w:tcW w:w="3402" w:type="dxa"/>
          </w:tcPr>
          <w:p w:rsidR="00C00643" w:rsidRPr="00EE13AA" w:rsidRDefault="00C00643" w:rsidP="00EE13AA">
            <w:pPr>
              <w:pStyle w:val="Tabletext"/>
              <w:jc w:val="left"/>
              <w:rPr>
                <w:lang w:val="es-ES" w:eastAsia="ja-JP"/>
              </w:rPr>
            </w:pPr>
            <w:r w:rsidRPr="00EE13AA">
              <w:rPr>
                <w:lang w:val="es-ES" w:eastAsia="ja-JP"/>
              </w:rPr>
              <w:t xml:space="preserve">La Comisión de Estudio 5 ha elaborado los estudios relacionados con las IMT, con arreglo al alcance de la presente Resolución. </w:t>
            </w:r>
          </w:p>
          <w:p w:rsidR="00C00643" w:rsidRPr="00EE13AA" w:rsidRDefault="00C00643" w:rsidP="00EE13AA">
            <w:pPr>
              <w:pStyle w:val="Tabletext"/>
              <w:jc w:val="left"/>
              <w:rPr>
                <w:caps/>
                <w:lang w:val="es-ES" w:eastAsia="ja-JP"/>
              </w:rPr>
            </w:pPr>
            <w:r w:rsidRPr="00EE13AA">
              <w:rPr>
                <w:lang w:val="es-ES" w:eastAsia="ja-JP"/>
              </w:rPr>
              <w:t>Se ha elaborado una nueva versión de la Resolución (véase el Doc. 5/1004).</w:t>
            </w:r>
          </w:p>
        </w:tc>
        <w:tc>
          <w:tcPr>
            <w:tcW w:w="2131" w:type="dxa"/>
            <w:vMerge w:val="restart"/>
          </w:tcPr>
          <w:p w:rsidR="00C00643" w:rsidRPr="00EE13AA" w:rsidRDefault="00C00643" w:rsidP="00EE13AA">
            <w:pPr>
              <w:pStyle w:val="Tabletext"/>
              <w:jc w:val="left"/>
              <w:rPr>
                <w:lang w:val="es-ES" w:eastAsia="ja-JP"/>
              </w:rPr>
            </w:pPr>
            <w:r w:rsidRPr="00EE13AA">
              <w:rPr>
                <w:lang w:val="es-ES" w:eastAsia="ja-JP"/>
              </w:rPr>
              <w:t>Los resultados típicos son:</w:t>
            </w:r>
          </w:p>
          <w:p w:rsidR="00C00643" w:rsidRPr="00EE13AA" w:rsidRDefault="00C00643" w:rsidP="00EE13AA">
            <w:pPr>
              <w:pStyle w:val="Tabletext"/>
              <w:jc w:val="left"/>
              <w:rPr>
                <w:lang w:val="es-ES" w:eastAsia="ja-JP"/>
              </w:rPr>
            </w:pPr>
            <w:r w:rsidRPr="00EE13AA">
              <w:rPr>
                <w:lang w:val="es-ES" w:eastAsia="ja-JP"/>
              </w:rPr>
              <w:t xml:space="preserve">Rec. </w:t>
            </w:r>
            <w:r w:rsidRPr="00EE13AA">
              <w:rPr>
                <w:lang w:val="es-ES"/>
              </w:rPr>
              <w:t>UIT-R</w:t>
            </w:r>
            <w:r w:rsidRPr="00EE13AA">
              <w:rPr>
                <w:lang w:val="es-ES" w:eastAsia="ja-JP"/>
              </w:rPr>
              <w:t xml:space="preserve"> M.2083-0, Rec. </w:t>
            </w:r>
            <w:r w:rsidRPr="00EE13AA">
              <w:rPr>
                <w:lang w:val="fr-CH"/>
              </w:rPr>
              <w:t>UIT-R</w:t>
            </w:r>
            <w:r w:rsidRPr="00EE13AA">
              <w:rPr>
                <w:lang w:val="fr-CH" w:eastAsia="ja-JP"/>
              </w:rPr>
              <w:t xml:space="preserve"> M.1457-11, Rec. </w:t>
            </w:r>
            <w:r w:rsidRPr="00EE13AA">
              <w:rPr>
                <w:lang w:val="fr-CH"/>
              </w:rPr>
              <w:t>UIT-R</w:t>
            </w:r>
            <w:r w:rsidRPr="00EE13AA">
              <w:rPr>
                <w:lang w:val="fr-CH" w:eastAsia="ja-JP"/>
              </w:rPr>
              <w:t xml:space="preserve"> M.1457-12, Rec. </w:t>
            </w:r>
            <w:r w:rsidRPr="00EE13AA">
              <w:rPr>
                <w:lang w:val="es-ES"/>
              </w:rPr>
              <w:t>UIT-R</w:t>
            </w:r>
            <w:r w:rsidRPr="00EE13AA">
              <w:rPr>
                <w:lang w:val="es-ES" w:eastAsia="ja-JP"/>
              </w:rPr>
              <w:t xml:space="preserve"> M.2012-1, Rec. </w:t>
            </w:r>
            <w:r w:rsidRPr="00EE13AA">
              <w:rPr>
                <w:lang w:val="es-ES"/>
              </w:rPr>
              <w:t>UIT-R</w:t>
            </w:r>
            <w:r w:rsidRPr="00EE13AA">
              <w:rPr>
                <w:lang w:val="es-ES" w:eastAsia="ja-JP"/>
              </w:rPr>
              <w:t xml:space="preserve"> M.2012-2. </w:t>
            </w:r>
          </w:p>
        </w:tc>
      </w:tr>
      <w:tr w:rsidR="00C00643" w:rsidRPr="00F9410F" w:rsidTr="007E2FF1">
        <w:trPr>
          <w:cantSplit/>
          <w:jc w:val="center"/>
        </w:trPr>
        <w:tc>
          <w:tcPr>
            <w:tcW w:w="1413" w:type="dxa"/>
          </w:tcPr>
          <w:p w:rsidR="00C00643" w:rsidRPr="00EE13AA" w:rsidRDefault="00C00643" w:rsidP="00EE13AA">
            <w:pPr>
              <w:pStyle w:val="Tabletext"/>
              <w:jc w:val="center"/>
              <w:rPr>
                <w:lang w:val="es-ES"/>
              </w:rPr>
            </w:pPr>
            <w:r w:rsidRPr="00EE13AA">
              <w:rPr>
                <w:lang w:val="es-ES"/>
              </w:rPr>
              <w:t>5</w:t>
            </w:r>
            <w:r w:rsidRPr="00EE13AA">
              <w:rPr>
                <w:lang w:val="es-ES" w:eastAsia="ja-JP"/>
              </w:rPr>
              <w:t>7-1</w:t>
            </w:r>
          </w:p>
        </w:tc>
        <w:tc>
          <w:tcPr>
            <w:tcW w:w="2693" w:type="dxa"/>
          </w:tcPr>
          <w:p w:rsidR="00C00643" w:rsidRPr="00EE13AA" w:rsidRDefault="00C00643" w:rsidP="007E2FF1">
            <w:pPr>
              <w:pStyle w:val="Tabletext"/>
              <w:jc w:val="left"/>
              <w:rPr>
                <w:lang w:val="es-ES"/>
              </w:rPr>
            </w:pPr>
            <w:r w:rsidRPr="00EE13AA">
              <w:rPr>
                <w:lang w:val="es-ES"/>
              </w:rPr>
              <w:t>Principios para el proceso de desarrollo de las IMT</w:t>
            </w:r>
            <w:r w:rsidR="007E2FF1">
              <w:rPr>
                <w:lang w:val="es-ES"/>
              </w:rPr>
              <w:noBreakHyphen/>
            </w:r>
            <w:r w:rsidRPr="00EE13AA">
              <w:rPr>
                <w:lang w:val="es-ES"/>
              </w:rPr>
              <w:t>Avanzadas</w:t>
            </w:r>
          </w:p>
        </w:tc>
        <w:tc>
          <w:tcPr>
            <w:tcW w:w="3402" w:type="dxa"/>
          </w:tcPr>
          <w:p w:rsidR="00C00643" w:rsidRPr="00EE13AA" w:rsidRDefault="00C00643" w:rsidP="00EE13AA">
            <w:pPr>
              <w:pStyle w:val="Tabletext"/>
              <w:jc w:val="left"/>
              <w:rPr>
                <w:lang w:val="es-ES" w:eastAsia="ja-JP"/>
              </w:rPr>
            </w:pPr>
            <w:r w:rsidRPr="00EE13AA">
              <w:rPr>
                <w:lang w:val="es-ES" w:eastAsia="ja-JP"/>
              </w:rPr>
              <w:t>La Comisión de Estudio 5 ha elaborado los estudios relacionados con las IMT, con arreglo al alcance de la presente Resolución.</w:t>
            </w:r>
          </w:p>
          <w:p w:rsidR="00C00643" w:rsidRPr="00EE13AA" w:rsidRDefault="00C00643" w:rsidP="007E2FF1">
            <w:pPr>
              <w:pStyle w:val="Tabletext"/>
              <w:jc w:val="left"/>
              <w:rPr>
                <w:caps/>
                <w:lang w:val="es-ES" w:eastAsia="ja-JP"/>
              </w:rPr>
            </w:pPr>
            <w:r w:rsidRPr="00EE13AA">
              <w:rPr>
                <w:lang w:val="es-ES" w:eastAsia="ja-JP"/>
              </w:rPr>
              <w:t>Se ha elaborado una nueva Resolución sobre los principios que se aplicarán en el desarrollo futuro de las IMT (véase el Doc.</w:t>
            </w:r>
            <w:r w:rsidR="007E2FF1">
              <w:rPr>
                <w:lang w:val="es-ES" w:eastAsia="ja-JP"/>
              </w:rPr>
              <w:t> </w:t>
            </w:r>
            <w:r w:rsidRPr="00EE13AA">
              <w:rPr>
                <w:lang w:val="es-ES" w:eastAsia="ja-JP"/>
              </w:rPr>
              <w:t>5/1004).</w:t>
            </w:r>
          </w:p>
        </w:tc>
        <w:tc>
          <w:tcPr>
            <w:tcW w:w="2131" w:type="dxa"/>
            <w:vMerge/>
          </w:tcPr>
          <w:p w:rsidR="00C00643" w:rsidRPr="00EE13AA" w:rsidRDefault="00C00643" w:rsidP="00EE13AA">
            <w:pPr>
              <w:pStyle w:val="Tabletext"/>
              <w:jc w:val="left"/>
              <w:rPr>
                <w:caps/>
                <w:lang w:val="es-ES" w:eastAsia="ja-JP"/>
              </w:rPr>
            </w:pPr>
          </w:p>
        </w:tc>
      </w:tr>
    </w:tbl>
    <w:p w:rsidR="007E2FF1" w:rsidRDefault="007E2FF1"/>
    <w:tbl>
      <w:tblPr>
        <w:tblStyle w:val="TableGrid"/>
        <w:tblW w:w="9644" w:type="dxa"/>
        <w:jc w:val="center"/>
        <w:tblLayout w:type="fixed"/>
        <w:tblLook w:val="04A0" w:firstRow="1" w:lastRow="0" w:firstColumn="1" w:lastColumn="0" w:noHBand="0" w:noVBand="1"/>
      </w:tblPr>
      <w:tblGrid>
        <w:gridCol w:w="1413"/>
        <w:gridCol w:w="2693"/>
        <w:gridCol w:w="3402"/>
        <w:gridCol w:w="2136"/>
      </w:tblGrid>
      <w:tr w:rsidR="007E2FF1" w:rsidRPr="00F9410F" w:rsidTr="007E2FF1">
        <w:trPr>
          <w:cantSplit/>
          <w:jc w:val="center"/>
        </w:trPr>
        <w:tc>
          <w:tcPr>
            <w:tcW w:w="1413" w:type="dxa"/>
          </w:tcPr>
          <w:p w:rsidR="007E2FF1" w:rsidRPr="00F9410F" w:rsidRDefault="007E2FF1" w:rsidP="00E02FE9">
            <w:pPr>
              <w:pStyle w:val="Tablehead"/>
              <w:rPr>
                <w:lang w:val="es-ES" w:eastAsia="ja-JP"/>
              </w:rPr>
            </w:pPr>
            <w:r w:rsidRPr="00F9410F">
              <w:rPr>
                <w:lang w:val="es-ES" w:eastAsia="ja-JP"/>
              </w:rPr>
              <w:lastRenderedPageBreak/>
              <w:t>Resolución UIT-R</w:t>
            </w:r>
          </w:p>
        </w:tc>
        <w:tc>
          <w:tcPr>
            <w:tcW w:w="2693" w:type="dxa"/>
          </w:tcPr>
          <w:p w:rsidR="007E2FF1" w:rsidRPr="00F9410F" w:rsidRDefault="007E2FF1" w:rsidP="00E02FE9">
            <w:pPr>
              <w:pStyle w:val="Tablehead"/>
              <w:rPr>
                <w:lang w:val="es-ES" w:eastAsia="ja-JP"/>
              </w:rPr>
            </w:pPr>
            <w:r w:rsidRPr="00F9410F">
              <w:rPr>
                <w:lang w:val="es-ES" w:eastAsia="ja-JP"/>
              </w:rPr>
              <w:t>Título</w:t>
            </w:r>
          </w:p>
        </w:tc>
        <w:tc>
          <w:tcPr>
            <w:tcW w:w="3402" w:type="dxa"/>
          </w:tcPr>
          <w:p w:rsidR="007E2FF1" w:rsidRPr="00F9410F" w:rsidRDefault="007E2FF1" w:rsidP="00E02FE9">
            <w:pPr>
              <w:pStyle w:val="Tablehead"/>
              <w:rPr>
                <w:lang w:val="es-ES" w:eastAsia="ja-JP"/>
              </w:rPr>
            </w:pPr>
            <w:r w:rsidRPr="00F9410F">
              <w:rPr>
                <w:lang w:val="es-ES" w:eastAsia="ja-JP"/>
              </w:rPr>
              <w:t>Situación de los estudios</w:t>
            </w:r>
          </w:p>
        </w:tc>
        <w:tc>
          <w:tcPr>
            <w:tcW w:w="2136" w:type="dxa"/>
          </w:tcPr>
          <w:p w:rsidR="007E2FF1" w:rsidRPr="00F9410F" w:rsidRDefault="007E2FF1" w:rsidP="00E02FE9">
            <w:pPr>
              <w:pStyle w:val="Tablehead"/>
              <w:rPr>
                <w:lang w:val="es-ES" w:eastAsia="ja-JP"/>
              </w:rPr>
            </w:pPr>
            <w:r w:rsidRPr="00F9410F">
              <w:rPr>
                <w:lang w:val="es-ES" w:eastAsia="ja-JP"/>
              </w:rPr>
              <w:t>Resultados</w:t>
            </w:r>
          </w:p>
        </w:tc>
      </w:tr>
      <w:tr w:rsidR="00C00643" w:rsidRPr="00F9410F" w:rsidTr="007E2FF1">
        <w:trPr>
          <w:cantSplit/>
          <w:jc w:val="center"/>
        </w:trPr>
        <w:tc>
          <w:tcPr>
            <w:tcW w:w="1413" w:type="dxa"/>
          </w:tcPr>
          <w:p w:rsidR="00C00643" w:rsidRPr="00EE13AA" w:rsidRDefault="00C00643" w:rsidP="00EE13AA">
            <w:pPr>
              <w:pStyle w:val="Tabletext"/>
              <w:jc w:val="center"/>
              <w:rPr>
                <w:lang w:val="es-ES"/>
              </w:rPr>
            </w:pPr>
            <w:r w:rsidRPr="00EE13AA">
              <w:rPr>
                <w:lang w:val="es-ES"/>
              </w:rPr>
              <w:t>5</w:t>
            </w:r>
            <w:r w:rsidRPr="00EE13AA">
              <w:rPr>
                <w:lang w:val="es-ES" w:eastAsia="ja-JP"/>
              </w:rPr>
              <w:t>8</w:t>
            </w:r>
          </w:p>
        </w:tc>
        <w:tc>
          <w:tcPr>
            <w:tcW w:w="2693" w:type="dxa"/>
          </w:tcPr>
          <w:p w:rsidR="00C00643" w:rsidRPr="00EE13AA" w:rsidRDefault="00C00643" w:rsidP="00EE13AA">
            <w:pPr>
              <w:pStyle w:val="Tabletext"/>
              <w:jc w:val="left"/>
              <w:rPr>
                <w:lang w:val="es-ES"/>
              </w:rPr>
            </w:pPr>
            <w:r w:rsidRPr="00EE13AA">
              <w:rPr>
                <w:lang w:val="es-ES"/>
              </w:rPr>
              <w:t>Estudios sobre la implantación y utilización de sistemas de radiocomunicaciones inteligentes</w:t>
            </w:r>
          </w:p>
        </w:tc>
        <w:tc>
          <w:tcPr>
            <w:tcW w:w="3402" w:type="dxa"/>
          </w:tcPr>
          <w:p w:rsidR="00C00643" w:rsidRPr="00EE13AA" w:rsidRDefault="00C00643" w:rsidP="00EE13AA">
            <w:pPr>
              <w:pStyle w:val="Tabletext"/>
              <w:jc w:val="left"/>
              <w:rPr>
                <w:caps/>
                <w:lang w:val="es-ES" w:eastAsia="ja-JP"/>
              </w:rPr>
            </w:pPr>
            <w:r w:rsidRPr="00EE13AA">
              <w:rPr>
                <w:color w:val="000000"/>
                <w:lang w:val="es-ES"/>
              </w:rPr>
              <w:t>En colaboración con la Cuestión UIT-R 241/5, la Comisión de Estudio</w:t>
            </w:r>
            <w:r w:rsidR="001C7013" w:rsidRPr="00EE13AA">
              <w:rPr>
                <w:color w:val="000000"/>
                <w:lang w:val="es-ES"/>
              </w:rPr>
              <w:t> </w:t>
            </w:r>
            <w:r w:rsidRPr="00EE13AA">
              <w:rPr>
                <w:lang w:val="es-ES" w:eastAsia="ja-JP"/>
              </w:rPr>
              <w:t>5</w:t>
            </w:r>
            <w:r w:rsidRPr="00EE13AA">
              <w:rPr>
                <w:color w:val="000000"/>
                <w:lang w:val="es-ES"/>
              </w:rPr>
              <w:t xml:space="preserve"> ha finalizado un nuevo Informe sobre sistemas de radiocomunicaciones inteligentes en el servicio </w:t>
            </w:r>
            <w:r w:rsidRPr="00EE13AA">
              <w:rPr>
                <w:color w:val="000000"/>
                <w:lang w:val="es-ES" w:eastAsia="ja-JP"/>
              </w:rPr>
              <w:t>móvil terrestre.</w:t>
            </w:r>
          </w:p>
        </w:tc>
        <w:tc>
          <w:tcPr>
            <w:tcW w:w="2136" w:type="dxa"/>
          </w:tcPr>
          <w:p w:rsidR="00C00643" w:rsidRPr="00EE13AA" w:rsidRDefault="00C00643" w:rsidP="00EE13AA">
            <w:pPr>
              <w:pStyle w:val="Tabletext"/>
              <w:jc w:val="left"/>
              <w:rPr>
                <w:lang w:val="es-ES" w:eastAsia="ja-JP"/>
              </w:rPr>
            </w:pPr>
            <w:r w:rsidRPr="00EE13AA">
              <w:rPr>
                <w:lang w:val="es-ES" w:eastAsia="ja-JP"/>
              </w:rPr>
              <w:t xml:space="preserve">I. </w:t>
            </w:r>
            <w:r w:rsidRPr="00EE13AA">
              <w:rPr>
                <w:lang w:val="es-ES"/>
              </w:rPr>
              <w:t>UIT-R</w:t>
            </w:r>
            <w:r w:rsidRPr="00EE13AA">
              <w:rPr>
                <w:lang w:val="es-ES" w:eastAsia="ja-JP"/>
              </w:rPr>
              <w:t xml:space="preserve"> M.2330-0</w:t>
            </w:r>
          </w:p>
        </w:tc>
      </w:tr>
      <w:tr w:rsidR="00C00643" w:rsidRPr="00740256" w:rsidTr="007E2FF1">
        <w:trPr>
          <w:cantSplit/>
          <w:jc w:val="center"/>
        </w:trPr>
        <w:tc>
          <w:tcPr>
            <w:tcW w:w="1413" w:type="dxa"/>
          </w:tcPr>
          <w:p w:rsidR="00C00643" w:rsidRPr="00EE13AA" w:rsidDel="00BB22C0" w:rsidRDefault="00C00643" w:rsidP="00EE13AA">
            <w:pPr>
              <w:pStyle w:val="Tabletext"/>
              <w:jc w:val="center"/>
              <w:rPr>
                <w:lang w:val="es-ES" w:eastAsia="ja-JP"/>
              </w:rPr>
            </w:pPr>
            <w:r w:rsidRPr="00EE13AA">
              <w:rPr>
                <w:lang w:val="es-ES"/>
              </w:rPr>
              <w:t>5</w:t>
            </w:r>
            <w:r w:rsidRPr="00EE13AA">
              <w:rPr>
                <w:lang w:val="es-ES" w:eastAsia="ja-JP"/>
              </w:rPr>
              <w:t>9</w:t>
            </w:r>
          </w:p>
        </w:tc>
        <w:tc>
          <w:tcPr>
            <w:tcW w:w="2693" w:type="dxa"/>
          </w:tcPr>
          <w:p w:rsidR="00C00643" w:rsidRPr="00EE13AA" w:rsidRDefault="00C00643" w:rsidP="00EE13AA">
            <w:pPr>
              <w:pStyle w:val="Tabletext"/>
              <w:jc w:val="left"/>
              <w:rPr>
                <w:rFonts w:eastAsia="MS PGothic"/>
                <w:lang w:val="es-ES" w:eastAsia="ja-JP"/>
              </w:rPr>
            </w:pPr>
            <w:r w:rsidRPr="00EE13AA">
              <w:rPr>
                <w:rFonts w:eastAsia="MS PGothic"/>
                <w:lang w:val="es-ES" w:eastAsia="ja-JP"/>
              </w:rPr>
              <w:t>Estudios sobre disponibilidad de bandas de frecuencias y/o gamas de sintonía para la armonización a nivel mundial y/o regional y condiciones para su utilización por los sistemas electrónicos terrenales de periodismo electrónico</w:t>
            </w:r>
          </w:p>
        </w:tc>
        <w:tc>
          <w:tcPr>
            <w:tcW w:w="3402" w:type="dxa"/>
          </w:tcPr>
          <w:p w:rsidR="00C00643" w:rsidRPr="00EE13AA" w:rsidRDefault="00C00643" w:rsidP="00EE13AA">
            <w:pPr>
              <w:pStyle w:val="Tabletext"/>
              <w:jc w:val="left"/>
              <w:rPr>
                <w:lang w:val="es-ES" w:eastAsia="ja-JP"/>
              </w:rPr>
            </w:pPr>
            <w:r w:rsidRPr="00EE13AA">
              <w:rPr>
                <w:lang w:val="es-ES" w:eastAsia="ja-JP"/>
              </w:rPr>
              <w:t>La Comisión de Estudio 5 ha actualizado las Recomendaciones sobre las características del periodismo electrónico en el servicio fijo y móvil y ha elaborado un nuevo Informe sobre cuestiones relativas a la compartición y la compatibilidad entre el periodismo electrónico y otros sistemas.</w:t>
            </w:r>
          </w:p>
        </w:tc>
        <w:tc>
          <w:tcPr>
            <w:tcW w:w="2136" w:type="dxa"/>
          </w:tcPr>
          <w:p w:rsidR="00C00643" w:rsidRPr="00EE13AA" w:rsidRDefault="00C00643" w:rsidP="00EE13AA">
            <w:pPr>
              <w:pStyle w:val="Tabletext"/>
              <w:jc w:val="left"/>
              <w:rPr>
                <w:caps/>
                <w:lang w:val="fr-CH" w:eastAsia="ja-JP"/>
              </w:rPr>
            </w:pPr>
            <w:r w:rsidRPr="00EE13AA">
              <w:rPr>
                <w:lang w:val="fr-CH" w:eastAsia="ja-JP"/>
              </w:rPr>
              <w:t xml:space="preserve">Rec. </w:t>
            </w:r>
            <w:r w:rsidRPr="00EE13AA">
              <w:rPr>
                <w:lang w:val="fr-CH"/>
              </w:rPr>
              <w:t>UIT-R</w:t>
            </w:r>
            <w:r w:rsidRPr="00EE13AA">
              <w:rPr>
                <w:lang w:val="fr-CH" w:eastAsia="ja-JP"/>
              </w:rPr>
              <w:t xml:space="preserve"> F.1777-1, Rec. </w:t>
            </w:r>
            <w:r w:rsidRPr="00EE13AA">
              <w:rPr>
                <w:lang w:val="fr-CH"/>
              </w:rPr>
              <w:t>UIT-R</w:t>
            </w:r>
            <w:r w:rsidRPr="00EE13AA">
              <w:rPr>
                <w:lang w:val="fr-CH" w:eastAsia="ja-JP"/>
              </w:rPr>
              <w:t xml:space="preserve"> M.1824-1, I.</w:t>
            </w:r>
            <w:r w:rsidR="001C7013" w:rsidRPr="00EE13AA">
              <w:rPr>
                <w:lang w:val="fr-CH" w:eastAsia="ja-JP"/>
              </w:rPr>
              <w:t> </w:t>
            </w:r>
            <w:r w:rsidRPr="00EE13AA">
              <w:rPr>
                <w:lang w:val="fr-CH"/>
              </w:rPr>
              <w:t>UIT-R</w:t>
            </w:r>
            <w:r w:rsidRPr="00EE13AA">
              <w:rPr>
                <w:lang w:val="fr-CH" w:eastAsia="ja-JP"/>
              </w:rPr>
              <w:t xml:space="preserve"> F.2379</w:t>
            </w:r>
          </w:p>
        </w:tc>
      </w:tr>
      <w:tr w:rsidR="00C00643" w:rsidRPr="00F9410F" w:rsidTr="007E2FF1">
        <w:trPr>
          <w:cantSplit/>
          <w:jc w:val="center"/>
        </w:trPr>
        <w:tc>
          <w:tcPr>
            <w:tcW w:w="1413" w:type="dxa"/>
          </w:tcPr>
          <w:p w:rsidR="00C00643" w:rsidRPr="00EE13AA" w:rsidRDefault="00C00643" w:rsidP="00EE13AA">
            <w:pPr>
              <w:pStyle w:val="Tabletext"/>
              <w:jc w:val="center"/>
              <w:rPr>
                <w:lang w:val="es-ES"/>
              </w:rPr>
            </w:pPr>
            <w:r w:rsidRPr="00EE13AA">
              <w:rPr>
                <w:lang w:val="es-ES" w:eastAsia="ja-JP"/>
              </w:rPr>
              <w:t>60</w:t>
            </w:r>
          </w:p>
        </w:tc>
        <w:tc>
          <w:tcPr>
            <w:tcW w:w="2693" w:type="dxa"/>
          </w:tcPr>
          <w:p w:rsidR="00C00643" w:rsidRPr="00EE13AA" w:rsidRDefault="00C00643" w:rsidP="00EE13AA">
            <w:pPr>
              <w:pStyle w:val="Tabletext"/>
              <w:jc w:val="left"/>
              <w:rPr>
                <w:lang w:val="es-ES"/>
              </w:rPr>
            </w:pPr>
            <w:r w:rsidRPr="00EE13AA">
              <w:rPr>
                <w:lang w:val="es-ES"/>
              </w:rPr>
              <w:t>Reducción del consumo de energía para la protección del medio ambiente y la reducción del cambio climático mediante la utilización de tecnologías y sistemas de radiocomunicaciones/TIC</w:t>
            </w:r>
          </w:p>
        </w:tc>
        <w:tc>
          <w:tcPr>
            <w:tcW w:w="5538" w:type="dxa"/>
            <w:gridSpan w:val="2"/>
          </w:tcPr>
          <w:p w:rsidR="00C00643" w:rsidRPr="00EE13AA" w:rsidRDefault="00C00643" w:rsidP="00EE13AA">
            <w:pPr>
              <w:pStyle w:val="Tabletext"/>
              <w:jc w:val="left"/>
              <w:rPr>
                <w:caps/>
                <w:lang w:val="es-ES" w:eastAsia="ja-JP"/>
              </w:rPr>
            </w:pPr>
            <w:r w:rsidRPr="00EE13AA">
              <w:rPr>
                <w:color w:val="000000"/>
                <w:lang w:val="es-ES" w:eastAsia="ja-JP"/>
              </w:rPr>
              <w:t>Pese a que no ha habido propuestas o resultados dedicados específicamente a este tema, la Comisión de Estudio 5 ha incorporado a distintos Informes y Recomendaciones los últimos avances tecnológicos que podrían reducir el consumo de energía (véase también la Nota 1).</w:t>
            </w:r>
          </w:p>
        </w:tc>
      </w:tr>
      <w:tr w:rsidR="00C00643" w:rsidRPr="00F9410F" w:rsidTr="007E2FF1">
        <w:trPr>
          <w:cantSplit/>
          <w:jc w:val="center"/>
        </w:trPr>
        <w:tc>
          <w:tcPr>
            <w:tcW w:w="1413" w:type="dxa"/>
            <w:tcBorders>
              <w:bottom w:val="single" w:sz="4" w:space="0" w:color="auto"/>
            </w:tcBorders>
          </w:tcPr>
          <w:p w:rsidR="00C00643" w:rsidRPr="00EE13AA" w:rsidRDefault="00C00643" w:rsidP="00EE13AA">
            <w:pPr>
              <w:pStyle w:val="Tabletext"/>
              <w:jc w:val="center"/>
              <w:rPr>
                <w:lang w:val="es-ES" w:eastAsia="ja-JP"/>
              </w:rPr>
            </w:pPr>
            <w:r w:rsidRPr="00EE13AA">
              <w:rPr>
                <w:lang w:val="es-ES" w:eastAsia="ja-JP"/>
              </w:rPr>
              <w:t>62</w:t>
            </w:r>
          </w:p>
        </w:tc>
        <w:tc>
          <w:tcPr>
            <w:tcW w:w="2693" w:type="dxa"/>
            <w:tcBorders>
              <w:bottom w:val="single" w:sz="4" w:space="0" w:color="auto"/>
            </w:tcBorders>
          </w:tcPr>
          <w:p w:rsidR="00C00643" w:rsidRPr="00EE13AA" w:rsidRDefault="00C00643" w:rsidP="00EE13AA">
            <w:pPr>
              <w:pStyle w:val="Tabletext"/>
              <w:jc w:val="left"/>
              <w:rPr>
                <w:rFonts w:eastAsia="MS PGothic"/>
                <w:lang w:val="es-ES" w:eastAsia="ja-JP"/>
              </w:rPr>
            </w:pPr>
            <w:r w:rsidRPr="00EE13AA">
              <w:rPr>
                <w:rFonts w:eastAsia="MS PGothic"/>
                <w:lang w:val="es-ES" w:eastAsia="ja-JP"/>
              </w:rPr>
              <w:t>Estudios sobre pruebas de conformidad con las Recomendaciones UIT-R e interfuncionamiento de los equipos y sistemas de radiocomunicaciones</w:t>
            </w:r>
          </w:p>
        </w:tc>
        <w:tc>
          <w:tcPr>
            <w:tcW w:w="5538" w:type="dxa"/>
            <w:gridSpan w:val="2"/>
            <w:tcBorders>
              <w:bottom w:val="single" w:sz="4" w:space="0" w:color="auto"/>
            </w:tcBorders>
          </w:tcPr>
          <w:p w:rsidR="00C00643" w:rsidRPr="00EE13AA" w:rsidRDefault="00C00643" w:rsidP="00EE13AA">
            <w:pPr>
              <w:pStyle w:val="Tabletext"/>
              <w:jc w:val="left"/>
              <w:rPr>
                <w:lang w:val="es-ES" w:eastAsia="ja-JP"/>
              </w:rPr>
            </w:pPr>
            <w:r w:rsidRPr="00EE13AA">
              <w:rPr>
                <w:lang w:val="es-ES" w:eastAsia="ja-JP"/>
              </w:rPr>
              <w:t>Pese a que la Comisión de Estudio 5 no recibió contribuciones específicas de las reuniones del GT, uno de los Grupos de Trabajo, a saber el GT 5B, debatió su pertinencia para el alcance de la presente Resolución. El resultado de dichos debates se resume en la Nota 2.</w:t>
            </w:r>
          </w:p>
        </w:tc>
      </w:tr>
      <w:tr w:rsidR="007E2FF1" w:rsidRPr="00F9410F" w:rsidTr="007E2FF1">
        <w:trPr>
          <w:cantSplit/>
          <w:jc w:val="center"/>
        </w:trPr>
        <w:tc>
          <w:tcPr>
            <w:tcW w:w="1413" w:type="dxa"/>
            <w:tcBorders>
              <w:bottom w:val="single" w:sz="4" w:space="0" w:color="auto"/>
            </w:tcBorders>
          </w:tcPr>
          <w:p w:rsidR="00C00643" w:rsidRPr="00EE13AA" w:rsidRDefault="00C00643" w:rsidP="00EE13AA">
            <w:pPr>
              <w:pStyle w:val="Tabletext"/>
              <w:jc w:val="center"/>
              <w:rPr>
                <w:lang w:val="es-ES" w:eastAsia="ja-JP"/>
              </w:rPr>
            </w:pPr>
            <w:r w:rsidRPr="00EE13AA">
              <w:rPr>
                <w:lang w:val="es-ES" w:eastAsia="ja-JP"/>
              </w:rPr>
              <w:t>12-1</w:t>
            </w:r>
          </w:p>
        </w:tc>
        <w:tc>
          <w:tcPr>
            <w:tcW w:w="2693" w:type="dxa"/>
            <w:tcBorders>
              <w:bottom w:val="single" w:sz="4" w:space="0" w:color="auto"/>
            </w:tcBorders>
          </w:tcPr>
          <w:p w:rsidR="00C00643" w:rsidRPr="00EE13AA" w:rsidRDefault="00C00643" w:rsidP="00EE13AA">
            <w:pPr>
              <w:pStyle w:val="Tabletext"/>
              <w:jc w:val="left"/>
              <w:rPr>
                <w:lang w:val="es-ES"/>
              </w:rPr>
            </w:pPr>
            <w:r w:rsidRPr="00EE13AA">
              <w:rPr>
                <w:color w:val="000000"/>
                <w:lang w:val="es-ES"/>
              </w:rPr>
              <w:t>Manuales y publicaciones especiales para el desarrollo de los servicios de Radiocomunicaciones</w:t>
            </w:r>
          </w:p>
        </w:tc>
        <w:tc>
          <w:tcPr>
            <w:tcW w:w="5538" w:type="dxa"/>
            <w:gridSpan w:val="2"/>
            <w:tcBorders>
              <w:bottom w:val="single" w:sz="4" w:space="0" w:color="auto"/>
            </w:tcBorders>
          </w:tcPr>
          <w:p w:rsidR="00C00643" w:rsidRPr="00EE13AA" w:rsidRDefault="00C00643" w:rsidP="00740256">
            <w:pPr>
              <w:pStyle w:val="Tabletext"/>
              <w:jc w:val="left"/>
              <w:rPr>
                <w:lang w:val="es-ES" w:eastAsia="ja-JP"/>
              </w:rPr>
            </w:pPr>
            <w:r w:rsidRPr="00EE13AA">
              <w:rPr>
                <w:lang w:val="es-ES" w:eastAsia="ja-JP"/>
              </w:rPr>
              <w:t>Durante el presente per</w:t>
            </w:r>
            <w:r w:rsidR="00740256">
              <w:rPr>
                <w:lang w:val="es-ES" w:eastAsia="ja-JP"/>
              </w:rPr>
              <w:t>i</w:t>
            </w:r>
            <w:r w:rsidRPr="00EE13AA">
              <w:rPr>
                <w:lang w:val="es-ES" w:eastAsia="ja-JP"/>
              </w:rPr>
              <w:t>odo de estudios, los grupos subordinados de la Comisión de Estudio 5 han redactado los siguientes manuales:</w:t>
            </w:r>
          </w:p>
          <w:p w:rsidR="00C00643" w:rsidRPr="00EE13AA" w:rsidRDefault="00C00643" w:rsidP="00EE13AA">
            <w:pPr>
              <w:pStyle w:val="Tabletext"/>
              <w:ind w:left="284" w:hanging="284"/>
              <w:jc w:val="left"/>
              <w:rPr>
                <w:lang w:val="es-ES" w:eastAsia="ja-JP"/>
              </w:rPr>
            </w:pPr>
            <w:r w:rsidRPr="00EE13AA">
              <w:rPr>
                <w:lang w:val="es-ES" w:eastAsia="ja-JP"/>
              </w:rPr>
              <w:t>–</w:t>
            </w:r>
            <w:r w:rsidRPr="00EE13AA">
              <w:rPr>
                <w:lang w:val="es-ES" w:eastAsia="ja-JP"/>
              </w:rPr>
              <w:tab/>
            </w:r>
            <w:r w:rsidRPr="00EE13AA">
              <w:rPr>
                <w:color w:val="000000"/>
                <w:lang w:val="es-ES"/>
              </w:rPr>
              <w:t>Directrices para los debates bilaterales/multilaterales sobre la utilización por los sistemas del servicio fijo de la gama de frecuencias 1 350 MHz-43,5 GHz</w:t>
            </w:r>
            <w:r w:rsidRPr="00EE13AA">
              <w:rPr>
                <w:lang w:val="es-ES" w:eastAsia="ja-JP"/>
              </w:rPr>
              <w:t xml:space="preserve"> (GT 5C);</w:t>
            </w:r>
          </w:p>
          <w:p w:rsidR="00C00643" w:rsidRPr="00EE13AA" w:rsidRDefault="00C00643" w:rsidP="00EE13AA">
            <w:pPr>
              <w:pStyle w:val="Tabletext"/>
              <w:jc w:val="left"/>
              <w:rPr>
                <w:lang w:val="es-ES" w:eastAsia="ja-JP"/>
              </w:rPr>
            </w:pPr>
            <w:r w:rsidRPr="00EE13AA">
              <w:rPr>
                <w:lang w:val="es-ES" w:eastAsia="ja-JP"/>
              </w:rPr>
              <w:t>–</w:t>
            </w:r>
            <w:r w:rsidRPr="00EE13AA">
              <w:rPr>
                <w:lang w:val="es-ES" w:eastAsia="ja-JP"/>
              </w:rPr>
              <w:tab/>
            </w:r>
            <w:r w:rsidRPr="00EE13AA">
              <w:rPr>
                <w:color w:val="000000"/>
                <w:lang w:val="es-ES"/>
              </w:rPr>
              <w:t xml:space="preserve">Tendencias mundiales de las </w:t>
            </w:r>
            <w:r w:rsidRPr="00EE13AA">
              <w:rPr>
                <w:lang w:val="es-ES" w:eastAsia="ja-JP"/>
              </w:rPr>
              <w:t>IMT (GT 5D);</w:t>
            </w:r>
          </w:p>
          <w:p w:rsidR="00C00643" w:rsidRPr="00EE13AA" w:rsidRDefault="00C00643" w:rsidP="00EE13AA">
            <w:pPr>
              <w:pStyle w:val="Tabletext"/>
              <w:ind w:left="284" w:hanging="284"/>
              <w:jc w:val="left"/>
              <w:rPr>
                <w:lang w:val="es-ES" w:eastAsia="ja-JP"/>
              </w:rPr>
            </w:pPr>
            <w:r w:rsidRPr="00EE13AA">
              <w:rPr>
                <w:lang w:val="es-ES" w:eastAsia="ja-JP"/>
              </w:rPr>
              <w:t>–</w:t>
            </w:r>
            <w:r w:rsidRPr="00EE13AA">
              <w:rPr>
                <w:lang w:val="es-ES" w:eastAsia="ja-JP"/>
              </w:rPr>
              <w:tab/>
              <w:t>Versión revisada del manual sobre servicios de aficionados y de aficionados por satélite (GT 5A).</w:t>
            </w:r>
          </w:p>
        </w:tc>
      </w:tr>
      <w:tr w:rsidR="007E2FF1" w:rsidRPr="00F9410F" w:rsidTr="007E2FF1">
        <w:trPr>
          <w:cantSplit/>
          <w:jc w:val="center"/>
        </w:trPr>
        <w:tc>
          <w:tcPr>
            <w:tcW w:w="9644" w:type="dxa"/>
            <w:gridSpan w:val="4"/>
            <w:tcBorders>
              <w:top w:val="single" w:sz="4" w:space="0" w:color="auto"/>
              <w:left w:val="nil"/>
              <w:bottom w:val="nil"/>
              <w:right w:val="nil"/>
            </w:tcBorders>
          </w:tcPr>
          <w:p w:rsidR="007E2FF1" w:rsidRPr="00974DFF" w:rsidRDefault="007E2FF1" w:rsidP="007E2FF1">
            <w:pPr>
              <w:pStyle w:val="Tablelegend"/>
              <w:spacing w:before="240"/>
              <w:rPr>
                <w:sz w:val="18"/>
                <w:szCs w:val="18"/>
                <w:lang w:val="es-ES" w:eastAsia="ja-JP"/>
              </w:rPr>
            </w:pPr>
            <w:r w:rsidRPr="00974DFF">
              <w:rPr>
                <w:sz w:val="18"/>
                <w:szCs w:val="18"/>
                <w:lang w:val="es-ES" w:eastAsia="ja-JP"/>
              </w:rPr>
              <w:t>NOTA 1:</w:t>
            </w:r>
          </w:p>
          <w:p w:rsidR="007E2FF1" w:rsidRPr="00974DFF" w:rsidRDefault="007E2FF1" w:rsidP="007E2FF1">
            <w:pPr>
              <w:pStyle w:val="Tablelegend"/>
              <w:ind w:left="567" w:hanging="567"/>
              <w:rPr>
                <w:sz w:val="18"/>
                <w:szCs w:val="18"/>
                <w:lang w:val="es-ES"/>
              </w:rPr>
            </w:pPr>
            <w:r w:rsidRPr="00974DFF">
              <w:rPr>
                <w:sz w:val="18"/>
                <w:szCs w:val="18"/>
                <w:lang w:val="es-ES"/>
              </w:rPr>
              <w:t>–</w:t>
            </w:r>
            <w:r w:rsidRPr="00974DFF">
              <w:rPr>
                <w:sz w:val="18"/>
                <w:szCs w:val="18"/>
                <w:lang w:val="es-ES"/>
              </w:rPr>
              <w:tab/>
              <w:t>Los sistemas aeronáuticos y marítimos están diseñados para acelerar el paso de aeronaves y barcos de un puerto a otro de manera segura a fin de reducir el tiempo de vuelo/travesía y, así, reducir la cantidad de carburante consumido durante ese vuelo/travesía. Dado que este ahorro de carburante/energía es notablemente mayor que cualquier otro que pueda resultar del aumento de la eficacia energética de los equipos de radiocomunicaciones utilizado para facilitar tales vuelos/travesías, parece más prudente concentrarse en el diseño de sistemas destinados a acelerar aún más el paso de aeronaves/barcos, en lugar de en la eficacia energética de los equipos de radiocomunicaciones.</w:t>
            </w:r>
          </w:p>
          <w:p w:rsidR="007E2FF1" w:rsidRPr="00974DFF" w:rsidRDefault="007E2FF1" w:rsidP="007E2FF1">
            <w:pPr>
              <w:pStyle w:val="Tablelegend"/>
              <w:ind w:left="567" w:hanging="567"/>
              <w:rPr>
                <w:sz w:val="18"/>
                <w:szCs w:val="18"/>
                <w:lang w:val="es-ES"/>
              </w:rPr>
            </w:pPr>
            <w:r w:rsidRPr="00974DFF">
              <w:rPr>
                <w:sz w:val="18"/>
                <w:szCs w:val="18"/>
                <w:lang w:val="es-ES"/>
              </w:rPr>
              <w:t>–</w:t>
            </w:r>
            <w:r w:rsidRPr="00974DFF">
              <w:rPr>
                <w:sz w:val="18"/>
                <w:szCs w:val="18"/>
                <w:lang w:val="es-ES"/>
              </w:rPr>
              <w:tab/>
              <w:t>Cuando la aviación busca utilizar sistemas de bajo consumo energético alimentados con carburante, surge el dilema, pues para diseñar un sistema robusto con tal alimentación se ha de sacrificar la eficacia espectral.</w:t>
            </w:r>
          </w:p>
          <w:p w:rsidR="007E2FF1" w:rsidRPr="00974DFF" w:rsidRDefault="007E2FF1" w:rsidP="007E2FF1">
            <w:pPr>
              <w:pStyle w:val="Tablelegend"/>
              <w:ind w:left="567" w:hanging="567"/>
              <w:rPr>
                <w:sz w:val="18"/>
                <w:szCs w:val="18"/>
                <w:lang w:val="es-ES" w:eastAsia="ja-JP"/>
              </w:rPr>
            </w:pPr>
            <w:r w:rsidRPr="00974DFF">
              <w:rPr>
                <w:sz w:val="18"/>
                <w:szCs w:val="18"/>
                <w:lang w:val="es-ES"/>
              </w:rPr>
              <w:t>–</w:t>
            </w:r>
            <w:r w:rsidRPr="00974DFF">
              <w:rPr>
                <w:sz w:val="18"/>
                <w:szCs w:val="18"/>
                <w:lang w:val="es-ES"/>
              </w:rPr>
              <w:tab/>
              <w:t>En algunos casos, la introducción de sistemas ecológicos, como los parques eólicos o los barcos parcialmente a vela, es necesario instalar equipos adicionales para detectar la presencia de esos sistemas o para paliar sus efectos en los sistemas de radionavegación aeronáutica y marítima.</w:t>
            </w:r>
          </w:p>
        </w:tc>
      </w:tr>
      <w:tr w:rsidR="00EE13AA" w:rsidRPr="00F9410F" w:rsidTr="007E2FF1">
        <w:trPr>
          <w:cantSplit/>
          <w:jc w:val="center"/>
        </w:trPr>
        <w:tc>
          <w:tcPr>
            <w:tcW w:w="9644" w:type="dxa"/>
            <w:gridSpan w:val="4"/>
            <w:tcBorders>
              <w:top w:val="nil"/>
              <w:left w:val="nil"/>
              <w:bottom w:val="nil"/>
              <w:right w:val="nil"/>
            </w:tcBorders>
          </w:tcPr>
          <w:p w:rsidR="00974DFF" w:rsidRPr="00974DFF" w:rsidRDefault="00974DFF" w:rsidP="00974DFF">
            <w:pPr>
              <w:spacing w:before="40" w:after="40"/>
              <w:jc w:val="left"/>
              <w:rPr>
                <w:sz w:val="18"/>
                <w:szCs w:val="18"/>
                <w:lang w:val="es-ES"/>
              </w:rPr>
            </w:pPr>
            <w:r w:rsidRPr="00974DFF">
              <w:rPr>
                <w:sz w:val="18"/>
                <w:szCs w:val="18"/>
                <w:lang w:val="es-ES" w:eastAsia="ja-JP"/>
              </w:rPr>
              <w:lastRenderedPageBreak/>
              <w:t>NOTA 2:</w:t>
            </w:r>
            <w:r w:rsidRPr="00974DFF">
              <w:rPr>
                <w:sz w:val="18"/>
                <w:szCs w:val="18"/>
                <w:lang w:val="es-ES"/>
              </w:rPr>
              <w:t xml:space="preserve"> El trabajo del GT 5B</w:t>
            </w:r>
            <w:r w:rsidRPr="00974DFF">
              <w:rPr>
                <w:sz w:val="18"/>
                <w:szCs w:val="18"/>
                <w:lang w:val="es-ES" w:eastAsia="ja-JP"/>
              </w:rPr>
              <w:t xml:space="preserve"> en el ámbito de los servicios marítimo y móvil aeronáutico </w:t>
            </w:r>
            <w:r w:rsidRPr="00974DFF">
              <w:rPr>
                <w:sz w:val="18"/>
                <w:szCs w:val="18"/>
                <w:lang w:val="es-ES"/>
              </w:rPr>
              <w:t>está estrechamente relacionado con el de los siguientes tres organismos de las Naciones Unidas:</w:t>
            </w:r>
          </w:p>
          <w:p w:rsidR="00974DFF" w:rsidRPr="00974DFF" w:rsidRDefault="00974DFF" w:rsidP="00974DFF">
            <w:pPr>
              <w:pStyle w:val="Tablelegend"/>
              <w:rPr>
                <w:sz w:val="18"/>
                <w:szCs w:val="18"/>
                <w:lang w:val="es-ES"/>
              </w:rPr>
            </w:pPr>
            <w:r w:rsidRPr="00974DFF">
              <w:rPr>
                <w:sz w:val="18"/>
                <w:szCs w:val="18"/>
                <w:lang w:val="es-ES"/>
              </w:rPr>
              <w:t>–</w:t>
            </w:r>
            <w:r w:rsidRPr="00974DFF">
              <w:rPr>
                <w:sz w:val="18"/>
                <w:szCs w:val="18"/>
                <w:lang w:val="es-ES"/>
              </w:rPr>
              <w:tab/>
              <w:t>Organización de Aviación Civil Internacional</w:t>
            </w:r>
          </w:p>
          <w:p w:rsidR="00974DFF" w:rsidRPr="00974DFF" w:rsidRDefault="00974DFF" w:rsidP="00974DFF">
            <w:pPr>
              <w:pStyle w:val="Tablelegend"/>
              <w:rPr>
                <w:sz w:val="18"/>
                <w:szCs w:val="18"/>
                <w:lang w:val="es-ES" w:eastAsia="ja-JP"/>
              </w:rPr>
            </w:pPr>
            <w:r w:rsidRPr="00974DFF">
              <w:rPr>
                <w:sz w:val="18"/>
                <w:szCs w:val="18"/>
                <w:lang w:val="es-ES"/>
              </w:rPr>
              <w:t>–</w:t>
            </w:r>
            <w:r w:rsidRPr="00974DFF">
              <w:rPr>
                <w:sz w:val="18"/>
                <w:szCs w:val="18"/>
                <w:lang w:val="es-ES"/>
              </w:rPr>
              <w:tab/>
              <w:t>Organización Marítima Internacional</w:t>
            </w:r>
          </w:p>
          <w:p w:rsidR="00974DFF" w:rsidRPr="00974DFF" w:rsidRDefault="00974DFF" w:rsidP="00974DFF">
            <w:pPr>
              <w:pStyle w:val="Tablelegend"/>
              <w:rPr>
                <w:sz w:val="18"/>
                <w:szCs w:val="18"/>
                <w:lang w:val="es-ES"/>
              </w:rPr>
            </w:pPr>
            <w:r w:rsidRPr="00974DFF">
              <w:rPr>
                <w:sz w:val="18"/>
                <w:szCs w:val="18"/>
                <w:lang w:val="es-ES"/>
              </w:rPr>
              <w:t>–</w:t>
            </w:r>
            <w:r w:rsidRPr="00974DFF">
              <w:rPr>
                <w:sz w:val="18"/>
                <w:szCs w:val="18"/>
                <w:lang w:val="es-ES"/>
              </w:rPr>
              <w:tab/>
              <w:t>Organización Meteorológica Mundial.</w:t>
            </w:r>
          </w:p>
          <w:p w:rsidR="00974DFF" w:rsidRPr="00974DFF" w:rsidRDefault="00974DFF" w:rsidP="00974DFF">
            <w:pPr>
              <w:pStyle w:val="Tablelegend"/>
              <w:rPr>
                <w:sz w:val="18"/>
                <w:szCs w:val="18"/>
                <w:lang w:val="es-ES"/>
              </w:rPr>
            </w:pPr>
            <w:r w:rsidRPr="00974DFF">
              <w:rPr>
                <w:sz w:val="18"/>
                <w:szCs w:val="18"/>
                <w:lang w:val="es-ES"/>
              </w:rPr>
              <w:t>Estas organizaciones son de alcance mundial, por lo que están interesadas en garantizar que sus sistemas son compatibles a escala global y, por ello, poseen mecanismos bien definidos de elaboración de normas y prácticas recomendadas mundialmente armonizadas. Estas normas y prácticas recomendadas, cuando tratan de sistemas de radiocomunicaciones, tienen en cuenta el Reglamento de Radiocomunicaciones de la UIT y garantizan la conformidad de dichos sistemas con el mismo.</w:t>
            </w:r>
          </w:p>
          <w:p w:rsidR="00EE13AA" w:rsidRPr="00EE13AA" w:rsidRDefault="00974DFF" w:rsidP="00974DFF">
            <w:pPr>
              <w:rPr>
                <w:lang w:val="es-ES" w:eastAsia="ja-JP"/>
              </w:rPr>
            </w:pPr>
            <w:r w:rsidRPr="00974DFF">
              <w:rPr>
                <w:sz w:val="18"/>
                <w:szCs w:val="18"/>
                <w:lang w:val="es-ES"/>
              </w:rPr>
              <w:t>Además, dado que esos sistemas se utilizan cotidianamente para garantizar la seguridad de la vida humana y las propiedades, existe un marco reglamentario importante y se realizan pruebas de conformidad para garantizar el cumplimiento de dichas normas y prácticas recomendadas.</w:t>
            </w:r>
          </w:p>
        </w:tc>
      </w:tr>
    </w:tbl>
    <w:p w:rsidR="00EE13AA" w:rsidRDefault="00EE13AA">
      <w:r>
        <w:br w:type="page"/>
      </w:r>
    </w:p>
    <w:p w:rsidR="00C00643" w:rsidRPr="00F9410F" w:rsidRDefault="003C1E9D" w:rsidP="007E2FF1">
      <w:pPr>
        <w:pStyle w:val="AnnexNo"/>
        <w:rPr>
          <w:lang w:val="es-ES"/>
        </w:rPr>
      </w:pPr>
      <w:r>
        <w:rPr>
          <w:lang w:val="es-ES"/>
        </w:rPr>
        <w:lastRenderedPageBreak/>
        <w:t>Anexo 4</w:t>
      </w:r>
      <w:r w:rsidR="007E2FF1">
        <w:rPr>
          <w:lang w:val="es-ES"/>
        </w:rPr>
        <w:br/>
      </w:r>
      <w:r w:rsidR="00C00643" w:rsidRPr="00F9410F">
        <w:rPr>
          <w:lang w:val="es-ES"/>
        </w:rPr>
        <w:t>(</w:t>
      </w:r>
      <w:r w:rsidR="007E2FF1" w:rsidRPr="00F9410F">
        <w:rPr>
          <w:caps w:val="0"/>
          <w:lang w:val="es-ES"/>
        </w:rPr>
        <w:t>a título informativo</w:t>
      </w:r>
      <w:r w:rsidR="00C00643" w:rsidRPr="00F9410F">
        <w:rPr>
          <w:lang w:val="es-ES"/>
        </w:rPr>
        <w:t>)</w:t>
      </w:r>
    </w:p>
    <w:p w:rsidR="00C00643" w:rsidRPr="00F9410F" w:rsidRDefault="00C00643" w:rsidP="007E2FF1">
      <w:pPr>
        <w:pStyle w:val="Annextitle"/>
        <w:rPr>
          <w:lang w:val="es-ES" w:eastAsia="ja-JP"/>
        </w:rPr>
      </w:pPr>
      <w:r w:rsidRPr="00F9410F">
        <w:rPr>
          <w:lang w:val="es-ES"/>
        </w:rPr>
        <w:t>Resumen de la situación de los estudios solicitados en las Resoluciones/Recomendaciones de la CMR</w:t>
      </w:r>
      <w:r w:rsidR="007E2FF1">
        <w:rPr>
          <w:lang w:val="es-ES"/>
        </w:rPr>
        <w:br/>
      </w:r>
      <w:r w:rsidRPr="00F9410F">
        <w:rPr>
          <w:lang w:val="es-ES"/>
        </w:rPr>
        <w:t>(salvo las relativas a los puntos del orden del día de la CMR</w:t>
      </w:r>
      <w:r w:rsidRPr="00F9410F">
        <w:rPr>
          <w:lang w:val="es-ES"/>
        </w:rPr>
        <w:noBreakHyphen/>
        <w:t>15</w:t>
      </w:r>
      <w:r w:rsidRPr="00F9410F">
        <w:rPr>
          <w:lang w:val="es-ES" w:eastAsia="ja-JP"/>
        </w:rPr>
        <w:t>)</w:t>
      </w:r>
    </w:p>
    <w:p w:rsidR="00C00643" w:rsidRPr="00F9410F" w:rsidRDefault="00C00643" w:rsidP="00C00643">
      <w:pPr>
        <w:pStyle w:val="Heading1"/>
        <w:spacing w:before="480"/>
        <w:rPr>
          <w:lang w:val="es-ES"/>
        </w:rPr>
      </w:pPr>
      <w:r w:rsidRPr="00F9410F">
        <w:rPr>
          <w:lang w:val="es-ES" w:eastAsia="ja-JP"/>
        </w:rPr>
        <w:t>1</w:t>
      </w:r>
      <w:r w:rsidRPr="00F9410F">
        <w:rPr>
          <w:lang w:val="es-ES"/>
        </w:rPr>
        <w:tab/>
        <w:t>Resolución 145 (Rev.CMR</w:t>
      </w:r>
      <w:r w:rsidRPr="00F9410F">
        <w:rPr>
          <w:lang w:val="es-ES"/>
        </w:rPr>
        <w:noBreakHyphen/>
      </w:r>
      <w:r w:rsidRPr="00F9410F">
        <w:rPr>
          <w:lang w:val="es-ES" w:eastAsia="ja-JP"/>
        </w:rPr>
        <w:t>12</w:t>
      </w:r>
      <w:r w:rsidRPr="00F9410F">
        <w:rPr>
          <w:lang w:val="es-ES"/>
        </w:rPr>
        <w:t xml:space="preserve">): </w:t>
      </w:r>
      <w:r w:rsidRPr="00F9410F">
        <w:rPr>
          <w:rFonts w:eastAsia="SimSun"/>
          <w:lang w:val="es-ES"/>
        </w:rPr>
        <w:t>Utilización de las bandas 27,9</w:t>
      </w:r>
      <w:r w:rsidRPr="00F9410F">
        <w:rPr>
          <w:rFonts w:eastAsia="SimSun"/>
          <w:lang w:val="es-ES"/>
        </w:rPr>
        <w:noBreakHyphen/>
        <w:t>28,2 GHz y 31-31,3 GHz por estaciones en plataformas a gran altitud en el servicio fijo</w:t>
      </w:r>
    </w:p>
    <w:p w:rsidR="00C00643" w:rsidRPr="00F9410F" w:rsidRDefault="00C00643" w:rsidP="00C00643">
      <w:pPr>
        <w:spacing w:before="0"/>
        <w:rPr>
          <w:rFonts w:eastAsia="SimSun"/>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00643" w:rsidRPr="00F9410F" w:rsidTr="002F1E53">
        <w:trPr>
          <w:jc w:val="center"/>
        </w:trPr>
        <w:tc>
          <w:tcPr>
            <w:tcW w:w="9526" w:type="dxa"/>
          </w:tcPr>
          <w:p w:rsidR="00C00643" w:rsidRPr="007E2FF1" w:rsidRDefault="00C00643" w:rsidP="007E2FF1">
            <w:pPr>
              <w:rPr>
                <w:rFonts w:eastAsia="MS Mincho"/>
                <w:i/>
                <w:iCs/>
                <w:sz w:val="20"/>
                <w:lang w:val="en-US"/>
              </w:rPr>
            </w:pPr>
            <w:r w:rsidRPr="007E2FF1">
              <w:rPr>
                <w:rFonts w:eastAsia="MS Mincho"/>
                <w:i/>
                <w:iCs/>
                <w:sz w:val="20"/>
                <w:lang w:val="en-US"/>
              </w:rPr>
              <w:t>invita al UIT-R</w:t>
            </w:r>
          </w:p>
        </w:tc>
      </w:tr>
      <w:tr w:rsidR="00C00643" w:rsidRPr="00F9410F" w:rsidTr="002F1E53">
        <w:trPr>
          <w:jc w:val="center"/>
        </w:trPr>
        <w:tc>
          <w:tcPr>
            <w:tcW w:w="9526" w:type="dxa"/>
          </w:tcPr>
          <w:p w:rsidR="00C00643" w:rsidRPr="007E2FF1" w:rsidRDefault="00C00643" w:rsidP="007E2FF1">
            <w:pPr>
              <w:rPr>
                <w:rFonts w:eastAsia="MS Mincho"/>
                <w:sz w:val="20"/>
              </w:rPr>
            </w:pPr>
            <w:r w:rsidRPr="007E2FF1">
              <w:rPr>
                <w:rFonts w:eastAsia="MS Mincho"/>
                <w:sz w:val="20"/>
              </w:rPr>
              <w:t xml:space="preserve">1 </w:t>
            </w:r>
            <w:r w:rsidR="007E2FF1" w:rsidRPr="007E2FF1">
              <w:rPr>
                <w:rFonts w:eastAsia="MS Mincho"/>
                <w:sz w:val="20"/>
              </w:rPr>
              <w:tab/>
            </w:r>
            <w:r w:rsidRPr="007E2FF1">
              <w:rPr>
                <w:rFonts w:eastAsia="MS Mincho"/>
                <w:sz w:val="20"/>
              </w:rPr>
              <w:t xml:space="preserve">a que continúe realizando estudios sobre las técnicas adecuadas de reducción de la interferencia para las situaciones a las que se hace referencia en el </w:t>
            </w:r>
            <w:r w:rsidRPr="007E2FF1">
              <w:rPr>
                <w:rFonts w:eastAsia="MS Mincho"/>
                <w:i/>
                <w:iCs/>
                <w:sz w:val="20"/>
              </w:rPr>
              <w:t>considerando j)</w:t>
            </w:r>
            <w:r w:rsidRPr="007E2FF1">
              <w:rPr>
                <w:rFonts w:eastAsia="MS Mincho"/>
                <w:sz w:val="20"/>
              </w:rPr>
              <w:t xml:space="preserve">; </w:t>
            </w:r>
          </w:p>
          <w:p w:rsidR="00C00643" w:rsidRPr="007E2FF1" w:rsidRDefault="00C00643" w:rsidP="007E2FF1">
            <w:pPr>
              <w:rPr>
                <w:rFonts w:eastAsia="MS Mincho"/>
                <w:sz w:val="20"/>
              </w:rPr>
            </w:pPr>
            <w:r w:rsidRPr="007E2FF1">
              <w:rPr>
                <w:rFonts w:eastAsia="MS Mincho"/>
                <w:sz w:val="20"/>
              </w:rPr>
              <w:t xml:space="preserve">2 </w:t>
            </w:r>
            <w:r w:rsidR="007E2FF1">
              <w:rPr>
                <w:rFonts w:eastAsia="MS Mincho"/>
                <w:sz w:val="20"/>
              </w:rPr>
              <w:tab/>
            </w:r>
            <w:r w:rsidRPr="007E2FF1">
              <w:rPr>
                <w:rFonts w:eastAsia="MS Mincho"/>
                <w:sz w:val="20"/>
              </w:rPr>
              <w:t>a que establezca criterios de protección para el servicio móvil con atribuciones a título primario en las bandas de frecuencias 27,9-28,2 GHz y 31-31,3 GHz, contra las HAPS del servicio fijo.</w:t>
            </w:r>
          </w:p>
        </w:tc>
      </w:tr>
    </w:tbl>
    <w:p w:rsidR="00C00643" w:rsidRPr="00F9410F" w:rsidRDefault="00C00643" w:rsidP="00740256">
      <w:pPr>
        <w:overflowPunct/>
        <w:autoSpaceDE/>
        <w:autoSpaceDN/>
        <w:adjustRightInd/>
        <w:spacing w:beforeLines="50"/>
        <w:textAlignment w:val="auto"/>
        <w:rPr>
          <w:bCs/>
          <w:color w:val="000000"/>
          <w:szCs w:val="24"/>
          <w:lang w:val="es-ES" w:eastAsia="ja-JP"/>
        </w:rPr>
      </w:pPr>
      <w:r w:rsidRPr="00F9410F">
        <w:rPr>
          <w:bCs/>
          <w:color w:val="000000"/>
          <w:szCs w:val="24"/>
          <w:lang w:val="es-ES" w:eastAsia="ja-JP"/>
        </w:rPr>
        <w:t>Desde la CMR-07, no se han recibido contribuciones relacionadas específicamente con estos temas de estudio. Por lo tanto, no ha habido avances en los estudios solicitados. No obstante, en la reciente reunión del Grupo de Trabajo 5C se presentó información sobre los sistemas HAPS en general, cuyo examen proseguirá durante el siguiente per</w:t>
      </w:r>
      <w:r w:rsidR="00740256">
        <w:rPr>
          <w:bCs/>
          <w:color w:val="000000"/>
          <w:szCs w:val="24"/>
          <w:lang w:val="es-ES" w:eastAsia="ja-JP"/>
        </w:rPr>
        <w:t>i</w:t>
      </w:r>
      <w:r w:rsidRPr="00F9410F">
        <w:rPr>
          <w:bCs/>
          <w:color w:val="000000"/>
          <w:szCs w:val="24"/>
          <w:lang w:val="es-ES" w:eastAsia="ja-JP"/>
        </w:rPr>
        <w:t xml:space="preserve">odo de estudios. </w:t>
      </w:r>
    </w:p>
    <w:p w:rsidR="00C00643" w:rsidRPr="00F9410F" w:rsidRDefault="00C00643" w:rsidP="00C00643">
      <w:pPr>
        <w:pStyle w:val="Heading1"/>
        <w:rPr>
          <w:lang w:val="es-ES" w:eastAsia="zh-CN"/>
        </w:rPr>
      </w:pPr>
      <w:r w:rsidRPr="00F9410F">
        <w:rPr>
          <w:lang w:val="es-ES" w:eastAsia="ja-JP"/>
        </w:rPr>
        <w:t>2</w:t>
      </w:r>
      <w:r w:rsidRPr="00F9410F">
        <w:rPr>
          <w:lang w:val="es-ES" w:eastAsia="ja-JP"/>
        </w:rPr>
        <w:tab/>
      </w:r>
      <w:r w:rsidRPr="00F9410F">
        <w:rPr>
          <w:lang w:val="es-ES" w:eastAsia="zh-CN"/>
        </w:rPr>
        <w:t>Resolución 212 (Rev.CMR-07): Introducción de las telecomunicaciones móviles internacionales (IMT) en las bandas 1 885</w:t>
      </w:r>
      <w:r w:rsidRPr="00F9410F">
        <w:rPr>
          <w:lang w:val="es-ES" w:eastAsia="zh-CN"/>
        </w:rPr>
        <w:noBreakHyphen/>
        <w:t>2 025 MHz y 2 110</w:t>
      </w:r>
      <w:r w:rsidRPr="00F9410F">
        <w:rPr>
          <w:lang w:val="es-ES" w:eastAsia="zh-CN"/>
        </w:rPr>
        <w:noBreakHyphen/>
        <w:t>2 200 MHz</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F9410F" w:rsidRDefault="00C00643" w:rsidP="002F1E53">
            <w:pPr>
              <w:pStyle w:val="Call"/>
              <w:rPr>
                <w:rFonts w:eastAsia="SimSun"/>
                <w:sz w:val="20"/>
                <w:lang w:val="es-ES" w:eastAsia="zh-CN"/>
              </w:rPr>
            </w:pPr>
            <w:r w:rsidRPr="00F9410F">
              <w:rPr>
                <w:rFonts w:eastAsia="SimSun"/>
                <w:sz w:val="20"/>
                <w:lang w:val="es-ES" w:eastAsia="zh-CN"/>
              </w:rPr>
              <w:t>invita al UIT</w:t>
            </w:r>
            <w:r w:rsidRPr="00F9410F">
              <w:rPr>
                <w:rFonts w:eastAsia="SimSun"/>
                <w:sz w:val="20"/>
                <w:lang w:val="es-ES" w:eastAsia="zh-CN"/>
              </w:rPr>
              <w:noBreakHyphen/>
              <w:t>R</w:t>
            </w:r>
          </w:p>
        </w:tc>
      </w:tr>
      <w:tr w:rsidR="00C00643" w:rsidRPr="00F9410F" w:rsidTr="002F1E53">
        <w:tc>
          <w:tcPr>
            <w:tcW w:w="9837" w:type="dxa"/>
          </w:tcPr>
          <w:p w:rsidR="00C00643" w:rsidRPr="007E2FF1" w:rsidRDefault="00C00643" w:rsidP="007E2FF1">
            <w:pPr>
              <w:rPr>
                <w:b/>
                <w:color w:val="000000"/>
                <w:sz w:val="20"/>
                <w:lang w:val="es-ES" w:eastAsia="ja-JP"/>
              </w:rPr>
            </w:pPr>
            <w:r w:rsidRPr="007E2FF1">
              <w:rPr>
                <w:sz w:val="20"/>
                <w:lang w:val="es-ES"/>
              </w:rPr>
              <w:t>a que continúe sus estudios para la elaboración de características técnicas apropiadas y aceptables de las IMT, que f</w:t>
            </w:r>
            <w:bookmarkStart w:id="17" w:name="_GoBack"/>
            <w:bookmarkEnd w:id="17"/>
            <w:r w:rsidRPr="007E2FF1">
              <w:rPr>
                <w:sz w:val="20"/>
                <w:lang w:val="es-ES"/>
              </w:rPr>
              <w:t>aciliten la utilización y la itinerancia a nivel mundial, y con objeto asimismo de que las IMT respondan también a las necesidades de telecomunicación de los países en desarrollo y de las zonas rurales</w:t>
            </w:r>
            <w:r w:rsidRPr="007E2FF1">
              <w:rPr>
                <w:rFonts w:eastAsia="SimSun"/>
                <w:color w:val="000000"/>
                <w:sz w:val="20"/>
                <w:lang w:val="es-ES" w:eastAsia="zh-CN"/>
              </w:rPr>
              <w:t>.</w:t>
            </w:r>
          </w:p>
        </w:tc>
      </w:tr>
    </w:tbl>
    <w:p w:rsidR="00C00643" w:rsidRPr="00F9410F" w:rsidRDefault="00C00643" w:rsidP="00C00643">
      <w:pPr>
        <w:rPr>
          <w:lang w:val="es-ES" w:eastAsia="ja-JP"/>
        </w:rPr>
      </w:pPr>
      <w:r w:rsidRPr="00F9410F">
        <w:rPr>
          <w:lang w:val="es-ES" w:eastAsia="ja-JP"/>
        </w:rPr>
        <w:t>En esta categoría de estudios, se han elaborado o revisado las siguientes Recomendaciones UIT-R relativas a aquellas características técnicas adecuadas o aceptables para las IMT que facilitarán y/o asegurarán los requisitos enunciados en la Resolución:</w:t>
      </w:r>
    </w:p>
    <w:p w:rsidR="00C00643" w:rsidRPr="007E2FF1" w:rsidRDefault="00C00643" w:rsidP="00C00643">
      <w:pPr>
        <w:pStyle w:val="enumlev1"/>
      </w:pPr>
      <w:r w:rsidRPr="00F9410F">
        <w:rPr>
          <w:lang w:val="es-ES" w:eastAsia="ja-JP"/>
        </w:rPr>
        <w:t>−</w:t>
      </w:r>
      <w:r w:rsidRPr="00F9410F">
        <w:rPr>
          <w:lang w:val="es-ES" w:eastAsia="ja-JP"/>
        </w:rPr>
        <w:tab/>
        <w:t>Elaboración de las Recomendaciones UIT</w:t>
      </w:r>
      <w:r w:rsidRPr="00F9410F">
        <w:rPr>
          <w:lang w:val="es-ES" w:eastAsia="ja-JP"/>
        </w:rPr>
        <w:noBreakHyphen/>
        <w:t xml:space="preserve">R M.2070 y UIT-R M.2071 </w:t>
      </w:r>
      <w:r w:rsidR="00FE0686" w:rsidRPr="007E2FF1">
        <w:t>«</w:t>
      </w:r>
      <w:r w:rsidRPr="007E2FF1">
        <w:t>Características genéricas de las emisiones no deseadas procedentes de estaciones base/estaciones móviles que utilizan las interfaces radioeléctricas terrenales de las IMT-Avanzadas</w:t>
      </w:r>
      <w:r w:rsidR="00FE0686" w:rsidRPr="007E2FF1">
        <w:t>»</w:t>
      </w:r>
      <w:r w:rsidRPr="007E2FF1">
        <w:t>.</w:t>
      </w:r>
    </w:p>
    <w:p w:rsidR="00C00643" w:rsidRPr="00F9410F" w:rsidRDefault="00C00643" w:rsidP="00C00643">
      <w:pPr>
        <w:pStyle w:val="enumlev1"/>
        <w:rPr>
          <w:lang w:val="es-ES" w:eastAsia="ja-JP"/>
        </w:rPr>
      </w:pPr>
      <w:r w:rsidRPr="00F9410F">
        <w:rPr>
          <w:lang w:val="es-ES" w:eastAsia="ja-JP"/>
        </w:rPr>
        <w:t>−</w:t>
      </w:r>
      <w:r w:rsidRPr="00F9410F">
        <w:rPr>
          <w:lang w:val="es-ES" w:eastAsia="ja-JP"/>
        </w:rPr>
        <w:tab/>
        <w:t>Revisión de las Recomendaciones UIT</w:t>
      </w:r>
      <w:r w:rsidRPr="00F9410F">
        <w:rPr>
          <w:lang w:val="es-ES" w:eastAsia="ja-JP"/>
        </w:rPr>
        <w:noBreakHyphen/>
        <w:t xml:space="preserve">R M.1457, </w:t>
      </w:r>
      <w:r w:rsidRPr="00F9410F">
        <w:rPr>
          <w:rFonts w:eastAsia="SimSun"/>
          <w:bCs/>
          <w:color w:val="000000"/>
          <w:szCs w:val="24"/>
          <w:lang w:val="es-ES" w:eastAsia="zh-CN"/>
        </w:rPr>
        <w:t>UIT</w:t>
      </w:r>
      <w:r w:rsidRPr="00F9410F">
        <w:rPr>
          <w:rFonts w:eastAsia="SimSun"/>
          <w:bCs/>
          <w:color w:val="000000"/>
          <w:szCs w:val="24"/>
          <w:lang w:val="es-ES" w:eastAsia="zh-CN"/>
        </w:rPr>
        <w:noBreakHyphen/>
        <w:t xml:space="preserve">R </w:t>
      </w:r>
      <w:r w:rsidRPr="00F9410F">
        <w:rPr>
          <w:lang w:val="es-ES" w:eastAsia="ja-JP"/>
        </w:rPr>
        <w:t xml:space="preserve">M.1579, </w:t>
      </w:r>
      <w:r w:rsidRPr="00F9410F">
        <w:rPr>
          <w:rFonts w:eastAsia="SimSun"/>
          <w:bCs/>
          <w:color w:val="000000"/>
          <w:szCs w:val="24"/>
          <w:lang w:val="es-ES" w:eastAsia="zh-CN"/>
        </w:rPr>
        <w:t>UIT</w:t>
      </w:r>
      <w:r w:rsidRPr="00F9410F">
        <w:rPr>
          <w:rFonts w:eastAsia="SimSun"/>
          <w:bCs/>
          <w:color w:val="000000"/>
          <w:szCs w:val="24"/>
          <w:lang w:val="es-ES" w:eastAsia="zh-CN"/>
        </w:rPr>
        <w:noBreakHyphen/>
        <w:t xml:space="preserve">R </w:t>
      </w:r>
      <w:r w:rsidRPr="00F9410F">
        <w:rPr>
          <w:lang w:val="es-ES" w:eastAsia="ja-JP"/>
        </w:rPr>
        <w:t xml:space="preserve">M.1580, </w:t>
      </w:r>
      <w:r w:rsidRPr="00F9410F">
        <w:rPr>
          <w:rFonts w:eastAsia="SimSun"/>
          <w:bCs/>
          <w:color w:val="000000"/>
          <w:szCs w:val="24"/>
          <w:lang w:val="es-ES" w:eastAsia="zh-CN"/>
        </w:rPr>
        <w:t>UIT</w:t>
      </w:r>
      <w:r w:rsidRPr="00F9410F">
        <w:rPr>
          <w:rFonts w:eastAsia="SimSun"/>
          <w:bCs/>
          <w:color w:val="000000"/>
          <w:szCs w:val="24"/>
          <w:lang w:val="es-ES" w:eastAsia="zh-CN"/>
        </w:rPr>
        <w:noBreakHyphen/>
        <w:t xml:space="preserve">R </w:t>
      </w:r>
      <w:r w:rsidRPr="00F9410F">
        <w:rPr>
          <w:lang w:val="es-ES" w:eastAsia="ja-JP"/>
        </w:rPr>
        <w:t xml:space="preserve">M.1581 y UIT-R M.2012. </w:t>
      </w:r>
    </w:p>
    <w:p w:rsidR="00C00643" w:rsidRPr="00F9410F" w:rsidRDefault="00C00643" w:rsidP="00C00643">
      <w:pPr>
        <w:rPr>
          <w:lang w:val="es-ES" w:eastAsia="ja-JP"/>
        </w:rPr>
      </w:pPr>
      <w:r w:rsidRPr="00F9410F">
        <w:rPr>
          <w:lang w:val="es-ES" w:eastAsia="ja-JP"/>
        </w:rPr>
        <w:t>Los estudios destinados a la mejora de las características técnicas de las IMT proseguirán con arreglo a las Cuestiones revisadas UIT</w:t>
      </w:r>
      <w:r w:rsidRPr="00F9410F">
        <w:rPr>
          <w:lang w:val="es-ES" w:eastAsia="ja-JP"/>
        </w:rPr>
        <w:noBreakHyphen/>
        <w:t>R 229/5 y UIT</w:t>
      </w:r>
      <w:r w:rsidRPr="00F9410F">
        <w:rPr>
          <w:lang w:val="es-ES" w:eastAsia="ja-JP"/>
        </w:rPr>
        <w:noBreakHyphen/>
        <w:t>R 77/5.</w:t>
      </w:r>
    </w:p>
    <w:p w:rsidR="00C00643" w:rsidRPr="00F9410F" w:rsidRDefault="00C00643" w:rsidP="007E2FF1">
      <w:pPr>
        <w:pStyle w:val="Heading1"/>
        <w:rPr>
          <w:lang w:val="es-ES" w:eastAsia="zh-CN"/>
        </w:rPr>
      </w:pPr>
      <w:r w:rsidRPr="00F9410F">
        <w:rPr>
          <w:lang w:val="es-ES" w:eastAsia="ja-JP"/>
        </w:rPr>
        <w:lastRenderedPageBreak/>
        <w:t>3</w:t>
      </w:r>
      <w:r w:rsidRPr="00F9410F">
        <w:rPr>
          <w:lang w:val="es-ES" w:eastAsia="zh-CN"/>
        </w:rPr>
        <w:tab/>
        <w:t>Resolución 221 (Rev.CMR</w:t>
      </w:r>
      <w:r w:rsidRPr="00F9410F">
        <w:rPr>
          <w:lang w:val="es-ES" w:eastAsia="zh-CN"/>
        </w:rPr>
        <w:noBreakHyphen/>
        <w:t>07): Utilización de estaciones en plataformas a gran altitud que proporcionan IMT en las bandas 1 885</w:t>
      </w:r>
      <w:r w:rsidRPr="00F9410F">
        <w:rPr>
          <w:lang w:val="es-ES" w:eastAsia="zh-CN"/>
        </w:rPr>
        <w:noBreakHyphen/>
        <w:t>1 980 MHz, 2 010</w:t>
      </w:r>
      <w:r w:rsidRPr="00F9410F">
        <w:rPr>
          <w:lang w:val="es-ES" w:eastAsia="zh-CN"/>
        </w:rPr>
        <w:noBreakHyphen/>
        <w:t>2 025 MHz y 2 110</w:t>
      </w:r>
      <w:r w:rsidRPr="00F9410F">
        <w:rPr>
          <w:lang w:val="es-ES" w:eastAsia="zh-CN"/>
        </w:rPr>
        <w:noBreakHyphen/>
        <w:t>2 170 MHz en las Regiones 1 y 3, y 1 885</w:t>
      </w:r>
      <w:r w:rsidRPr="00F9410F">
        <w:rPr>
          <w:lang w:val="es-ES" w:eastAsia="zh-CN"/>
        </w:rPr>
        <w:noBreakHyphen/>
        <w:t>1 980 MHz y 2 110</w:t>
      </w:r>
      <w:r w:rsidRPr="00F9410F">
        <w:rPr>
          <w:lang w:val="es-ES" w:eastAsia="zh-CN"/>
        </w:rPr>
        <w:noBreakHyphen/>
        <w:t>2 160 MHz en la Región 2</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629" w:type="dxa"/>
          </w:tcPr>
          <w:p w:rsidR="00C00643" w:rsidRPr="00F9410F" w:rsidRDefault="00C00643" w:rsidP="002F1E53">
            <w:pPr>
              <w:pStyle w:val="Call"/>
              <w:rPr>
                <w:rFonts w:eastAsia="SimSun"/>
                <w:sz w:val="20"/>
                <w:lang w:val="es-ES" w:eastAsia="zh-CN"/>
              </w:rPr>
            </w:pPr>
            <w:r w:rsidRPr="00F9410F">
              <w:rPr>
                <w:rFonts w:eastAsia="SimSun"/>
                <w:sz w:val="20"/>
                <w:lang w:val="es-ES" w:eastAsia="zh-CN"/>
              </w:rPr>
              <w:t>invita al UIT-R</w:t>
            </w:r>
          </w:p>
        </w:tc>
      </w:tr>
      <w:tr w:rsidR="00C00643" w:rsidRPr="00F9410F" w:rsidTr="002F1E53">
        <w:tc>
          <w:tcPr>
            <w:tcW w:w="9629" w:type="dxa"/>
          </w:tcPr>
          <w:p w:rsidR="00C00643" w:rsidRPr="00F9410F" w:rsidRDefault="00C00643" w:rsidP="002F1E53">
            <w:pPr>
              <w:overflowPunct/>
              <w:autoSpaceDE/>
              <w:autoSpaceDN/>
              <w:adjustRightInd/>
              <w:spacing w:after="120"/>
              <w:textAlignment w:val="auto"/>
              <w:rPr>
                <w:rFonts w:eastAsia="SimSun"/>
                <w:color w:val="000000"/>
                <w:sz w:val="20"/>
                <w:lang w:val="es-ES" w:eastAsia="zh-CN"/>
              </w:rPr>
            </w:pPr>
            <w:r w:rsidRPr="00F9410F">
              <w:rPr>
                <w:rFonts w:eastAsia="SimSun"/>
                <w:color w:val="000000"/>
                <w:sz w:val="20"/>
                <w:lang w:val="es-ES" w:eastAsia="zh-CN"/>
              </w:rPr>
              <w:t>a elaborar con carácter urgente una Recomendación UIT</w:t>
            </w:r>
            <w:r w:rsidRPr="00F9410F">
              <w:rPr>
                <w:rFonts w:eastAsia="SimSun"/>
                <w:color w:val="000000"/>
                <w:sz w:val="20"/>
                <w:lang w:val="es-ES" w:eastAsia="zh-CN"/>
              </w:rPr>
              <w:noBreakHyphen/>
              <w:t>R que ofrezca orientaciones técnicas para facilitar las consultas con las administraciones vecinas.</w:t>
            </w:r>
          </w:p>
        </w:tc>
      </w:tr>
    </w:tbl>
    <w:p w:rsidR="00C00643" w:rsidRPr="00F9410F" w:rsidRDefault="00C00643" w:rsidP="007E2FF1">
      <w:pPr>
        <w:rPr>
          <w:bCs/>
          <w:lang w:val="es-ES" w:eastAsia="ja-JP"/>
        </w:rPr>
      </w:pPr>
      <w:r w:rsidRPr="00F9410F">
        <w:rPr>
          <w:lang w:val="es-ES" w:eastAsia="ko-KR"/>
        </w:rPr>
        <w:t>Para este tema, no se han presentado contribuciones en las reuniones de los Grupos de Trabajo pertinentes después de la CMR</w:t>
      </w:r>
      <w:r w:rsidRPr="00F9410F">
        <w:rPr>
          <w:lang w:val="es-ES" w:eastAsia="ko-KR"/>
        </w:rPr>
        <w:noBreakHyphen/>
        <w:t>03. Por lo tanto, no se ha registrado ningún avance</w:t>
      </w:r>
      <w:r w:rsidRPr="00F9410F">
        <w:rPr>
          <w:bCs/>
          <w:lang w:val="es-ES" w:eastAsia="ja-JP"/>
        </w:rPr>
        <w:t xml:space="preserve"> en estos 12 años.</w:t>
      </w:r>
    </w:p>
    <w:p w:rsidR="00C00643" w:rsidRPr="00F9410F" w:rsidRDefault="00C00643" w:rsidP="007E2FF1">
      <w:pPr>
        <w:pStyle w:val="Heading1"/>
        <w:rPr>
          <w:lang w:val="es-ES" w:eastAsia="zh-CN"/>
        </w:rPr>
      </w:pPr>
      <w:r w:rsidRPr="00F9410F">
        <w:rPr>
          <w:lang w:val="es-ES" w:eastAsia="ja-JP"/>
        </w:rPr>
        <w:t>4</w:t>
      </w:r>
      <w:r w:rsidRPr="00F9410F">
        <w:rPr>
          <w:lang w:val="es-ES" w:eastAsia="zh-CN"/>
        </w:rPr>
        <w:tab/>
        <w:t>Resolución </w:t>
      </w:r>
      <w:r w:rsidRPr="007E2FF1">
        <w:t>223</w:t>
      </w:r>
      <w:r w:rsidRPr="00F9410F">
        <w:rPr>
          <w:lang w:val="es-ES" w:eastAsia="zh-CN"/>
        </w:rPr>
        <w:t xml:space="preserve"> (Rev.CMR</w:t>
      </w:r>
      <w:r w:rsidRPr="00F9410F">
        <w:rPr>
          <w:lang w:val="es-ES" w:eastAsia="zh-CN"/>
        </w:rPr>
        <w:noBreakHyphen/>
        <w:t>12): Bandas de frecuencias adicionales identificadas para las IMT</w:t>
      </w:r>
    </w:p>
    <w:p w:rsidR="00C00643" w:rsidRPr="00F9410F" w:rsidRDefault="00C00643" w:rsidP="00C00643">
      <w:pPr>
        <w:spacing w:before="0"/>
        <w:rPr>
          <w:lang w:val="es-E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rPr>
          <w:jc w:val="center"/>
        </w:trPr>
        <w:tc>
          <w:tcPr>
            <w:tcW w:w="9638" w:type="dxa"/>
          </w:tcPr>
          <w:p w:rsidR="00C00643" w:rsidRPr="00F9410F" w:rsidRDefault="00C00643" w:rsidP="002F1E53">
            <w:pPr>
              <w:pStyle w:val="Call"/>
              <w:rPr>
                <w:rFonts w:eastAsia="SimSun"/>
                <w:sz w:val="20"/>
                <w:lang w:val="es-ES" w:eastAsia="zh-CN"/>
              </w:rPr>
            </w:pPr>
            <w:r w:rsidRPr="00F9410F">
              <w:rPr>
                <w:rFonts w:eastAsia="SimSun"/>
                <w:sz w:val="20"/>
                <w:lang w:val="es-ES" w:eastAsia="zh-CN"/>
              </w:rPr>
              <w:t>invita al UIT-R:</w:t>
            </w:r>
          </w:p>
        </w:tc>
      </w:tr>
      <w:tr w:rsidR="00C00643" w:rsidRPr="00F9410F" w:rsidTr="002F1E53">
        <w:trPr>
          <w:jc w:val="center"/>
        </w:trPr>
        <w:tc>
          <w:tcPr>
            <w:tcW w:w="9638" w:type="dxa"/>
          </w:tcPr>
          <w:p w:rsidR="00C00643" w:rsidRPr="007E2FF1" w:rsidRDefault="00C00643" w:rsidP="007E2FF1">
            <w:pPr>
              <w:rPr>
                <w:sz w:val="20"/>
                <w:lang w:val="es-ES"/>
              </w:rPr>
            </w:pPr>
            <w:r w:rsidRPr="007E2FF1">
              <w:rPr>
                <w:sz w:val="20"/>
                <w:lang w:val="es-ES"/>
              </w:rPr>
              <w:t>1</w:t>
            </w:r>
            <w:r w:rsidR="007E2FF1">
              <w:rPr>
                <w:sz w:val="20"/>
                <w:lang w:val="es-ES"/>
              </w:rPr>
              <w:tab/>
            </w:r>
            <w:r w:rsidRPr="007E2FF1">
              <w:rPr>
                <w:sz w:val="20"/>
                <w:lang w:val="es-ES"/>
              </w:rPr>
              <w:t xml:space="preserve">a que estudie las consecuencias de la compartición de las IMT con otras aplicaciones y servicios en la banda 2300-2400 MHz y la introducción, compartición y disposiciones de frecuencias de las IMT en la banda 2300-2 400 MHz; </w:t>
            </w:r>
          </w:p>
          <w:p w:rsidR="00C00643" w:rsidRPr="007E2FF1" w:rsidRDefault="00C00643" w:rsidP="00CB7217">
            <w:pPr>
              <w:rPr>
                <w:sz w:val="20"/>
                <w:lang w:val="es-ES"/>
              </w:rPr>
            </w:pPr>
            <w:r w:rsidRPr="007E2FF1">
              <w:rPr>
                <w:sz w:val="20"/>
                <w:lang w:val="es-ES"/>
              </w:rPr>
              <w:t>2</w:t>
            </w:r>
            <w:r w:rsidR="007E2FF1">
              <w:rPr>
                <w:sz w:val="20"/>
                <w:lang w:val="es-ES"/>
              </w:rPr>
              <w:tab/>
            </w:r>
            <w:r w:rsidRPr="007E2FF1">
              <w:rPr>
                <w:sz w:val="20"/>
                <w:lang w:val="es-ES"/>
              </w:rPr>
              <w:t xml:space="preserve">a que elabore disposiciones de frecuencias armonizadas para el funcionamiento del componente terrenal de las IMT en la banda 2300-2400 MHz, teniendo en cuenta los resultados de los estudios de compartición; </w:t>
            </w:r>
          </w:p>
          <w:p w:rsidR="00C00643" w:rsidRPr="007E2FF1" w:rsidRDefault="00C00643" w:rsidP="00CB7217">
            <w:pPr>
              <w:rPr>
                <w:sz w:val="20"/>
                <w:lang w:val="es-ES"/>
              </w:rPr>
            </w:pPr>
            <w:r w:rsidRPr="007E2FF1">
              <w:rPr>
                <w:sz w:val="20"/>
                <w:lang w:val="es-ES"/>
              </w:rPr>
              <w:t>3</w:t>
            </w:r>
            <w:r w:rsidR="007E2FF1">
              <w:rPr>
                <w:sz w:val="20"/>
                <w:lang w:val="es-ES"/>
              </w:rPr>
              <w:tab/>
            </w:r>
            <w:r w:rsidRPr="007E2FF1">
              <w:rPr>
                <w:sz w:val="20"/>
                <w:lang w:val="es-ES"/>
              </w:rPr>
              <w:t xml:space="preserve">a que continúe sus estudios sobre las mejoras de las IMT, incluido el suministro de aplicaciones basadas en el Protocolo Internet (IP), que puedan requerir recursos de radiocomunicaciones no equilibrados entre las estaciones móviles y de base; </w:t>
            </w:r>
          </w:p>
          <w:p w:rsidR="00C00643" w:rsidRPr="007E2FF1" w:rsidRDefault="00C00643" w:rsidP="00CB7217">
            <w:pPr>
              <w:rPr>
                <w:sz w:val="20"/>
                <w:lang w:val="es-ES"/>
              </w:rPr>
            </w:pPr>
            <w:r w:rsidRPr="007E2FF1">
              <w:rPr>
                <w:sz w:val="20"/>
                <w:lang w:val="es-ES"/>
              </w:rPr>
              <w:t>4</w:t>
            </w:r>
            <w:r w:rsidR="007E2FF1">
              <w:rPr>
                <w:sz w:val="20"/>
                <w:lang w:val="es-ES"/>
              </w:rPr>
              <w:tab/>
            </w:r>
            <w:r w:rsidRPr="007E2FF1">
              <w:rPr>
                <w:sz w:val="20"/>
                <w:lang w:val="es-ES"/>
              </w:rPr>
              <w:t xml:space="preserve">a que continúe dando orientaciones para garantizar que las IMT puedan atender a las necesidades de telecomunicaciones de los países en desarrollo y de las zonas rurales en el contexto de los estudios mencionados más arriba; </w:t>
            </w:r>
          </w:p>
          <w:p w:rsidR="00C00643" w:rsidRPr="00F9410F" w:rsidRDefault="00C00643" w:rsidP="00CB7217">
            <w:pPr>
              <w:rPr>
                <w:rFonts w:eastAsia="SimSun"/>
                <w:color w:val="000000"/>
                <w:sz w:val="20"/>
                <w:lang w:val="es-ES" w:eastAsia="zh-CN"/>
              </w:rPr>
            </w:pPr>
            <w:r w:rsidRPr="007E2FF1">
              <w:rPr>
                <w:sz w:val="20"/>
                <w:lang w:val="es-ES"/>
              </w:rPr>
              <w:t>5</w:t>
            </w:r>
            <w:r w:rsidR="007E2FF1">
              <w:rPr>
                <w:sz w:val="20"/>
                <w:lang w:val="es-ES"/>
              </w:rPr>
              <w:tab/>
            </w:r>
            <w:r w:rsidRPr="007E2FF1">
              <w:rPr>
                <w:sz w:val="20"/>
                <w:lang w:val="es-ES"/>
              </w:rPr>
              <w:t>a que incluya estas disposiciones de frecuencias y los resultados de los citados estudios en una o en varias Recomendaciones del UIT-R.</w:t>
            </w:r>
          </w:p>
        </w:tc>
      </w:tr>
    </w:tbl>
    <w:p w:rsidR="00C00643" w:rsidRPr="00F9410F" w:rsidRDefault="00C00643" w:rsidP="007E2FF1">
      <w:pPr>
        <w:rPr>
          <w:lang w:val="es-ES" w:eastAsia="ja-JP"/>
        </w:rPr>
      </w:pPr>
      <w:r w:rsidRPr="00F9410F">
        <w:rPr>
          <w:lang w:val="es-ES" w:eastAsia="ja-JP"/>
        </w:rPr>
        <w:t xml:space="preserve">Los estudios identificados en los </w:t>
      </w:r>
      <w:r w:rsidRPr="00F9410F">
        <w:rPr>
          <w:i/>
          <w:lang w:val="es-ES" w:eastAsia="ja-JP"/>
        </w:rPr>
        <w:t>invita al UIT-R</w:t>
      </w:r>
      <w:r w:rsidRPr="00F9410F">
        <w:rPr>
          <w:lang w:val="es-ES" w:eastAsia="ja-JP"/>
        </w:rPr>
        <w:t xml:space="preserve"> 1, 2 y 5 ya han dado como resultado las disposiciones de frecuencias para la banda 2 300-2 400 MHz incluidas en la Recomendación UIT-R M.1036-4. Además, se han realizado los avances siguientes en relación con los estudios de compartición y coexistencia:</w:t>
      </w:r>
    </w:p>
    <w:p w:rsidR="00C00643" w:rsidRPr="00F9410F" w:rsidRDefault="007E2FF1" w:rsidP="007E2FF1">
      <w:pPr>
        <w:pStyle w:val="enumlev1"/>
        <w:rPr>
          <w:bCs/>
          <w:szCs w:val="24"/>
          <w:lang w:val="es-ES" w:eastAsia="ja-JP"/>
        </w:rPr>
      </w:pPr>
      <w:r>
        <w:rPr>
          <w:bCs/>
          <w:szCs w:val="24"/>
          <w:lang w:val="es-ES" w:eastAsia="ja-JP"/>
        </w:rPr>
        <w:t>–</w:t>
      </w:r>
      <w:r>
        <w:rPr>
          <w:bCs/>
          <w:szCs w:val="24"/>
          <w:lang w:val="es-ES" w:eastAsia="ja-JP"/>
        </w:rPr>
        <w:tab/>
      </w:r>
      <w:r w:rsidR="00C00643" w:rsidRPr="00F9410F">
        <w:rPr>
          <w:bCs/>
          <w:szCs w:val="24"/>
          <w:lang w:val="es-ES" w:eastAsia="ja-JP"/>
        </w:rPr>
        <w:t>revisión del Informe UIT-R M.</w:t>
      </w:r>
      <w:r w:rsidR="00C00643" w:rsidRPr="00F9410F">
        <w:rPr>
          <w:rFonts w:eastAsia="MS Mincho"/>
          <w:bCs/>
          <w:szCs w:val="24"/>
          <w:lang w:val="es-ES" w:eastAsia="ja-JP"/>
        </w:rPr>
        <w:t>2039 y elaboración del Informe UIT-R M.2292, que aborda las c</w:t>
      </w:r>
      <w:r w:rsidR="00C00643" w:rsidRPr="00F9410F">
        <w:rPr>
          <w:lang w:val="es-ES"/>
        </w:rPr>
        <w:t>aracterísticas de los sistemas IMT-2000 terrenales o los sistemas IMT-Avanzados terrenales para compartición de frecuencias/análisis de interferencias</w:t>
      </w:r>
      <w:r w:rsidR="00C00643" w:rsidRPr="00F9410F">
        <w:rPr>
          <w:rFonts w:eastAsia="MS Mincho"/>
          <w:bCs/>
          <w:szCs w:val="24"/>
          <w:lang w:val="es-ES" w:eastAsia="ja-JP"/>
        </w:rPr>
        <w:t>.</w:t>
      </w:r>
    </w:p>
    <w:p w:rsidR="00C00643" w:rsidRPr="00F9410F" w:rsidRDefault="007E2FF1" w:rsidP="007E2FF1">
      <w:pPr>
        <w:pStyle w:val="enumlev1"/>
        <w:rPr>
          <w:bCs/>
          <w:szCs w:val="24"/>
          <w:lang w:val="es-ES" w:eastAsia="ja-JP"/>
        </w:rPr>
      </w:pPr>
      <w:r>
        <w:rPr>
          <w:rFonts w:eastAsia="MS Mincho"/>
          <w:bCs/>
          <w:szCs w:val="24"/>
          <w:lang w:val="es-ES" w:eastAsia="ja-JP"/>
        </w:rPr>
        <w:t>–</w:t>
      </w:r>
      <w:r w:rsidR="00CB7217">
        <w:rPr>
          <w:rFonts w:eastAsia="MS Mincho"/>
          <w:bCs/>
          <w:szCs w:val="24"/>
          <w:lang w:val="es-ES" w:eastAsia="ja-JP"/>
        </w:rPr>
        <w:tab/>
      </w:r>
      <w:r w:rsidR="00C00643" w:rsidRPr="00F9410F">
        <w:rPr>
          <w:rFonts w:eastAsia="MS Mincho"/>
          <w:bCs/>
          <w:szCs w:val="24"/>
          <w:lang w:val="es-ES" w:eastAsia="ja-JP"/>
        </w:rPr>
        <w:t>Elaboración del Informe UIT</w:t>
      </w:r>
      <w:r w:rsidR="00C00643" w:rsidRPr="00F9410F">
        <w:rPr>
          <w:bCs/>
          <w:szCs w:val="24"/>
          <w:lang w:val="es-ES" w:eastAsia="ja-JP"/>
        </w:rPr>
        <w:t>-R M.2374 sobre coexistencia de dos redes de TDT en la banda de frecuencias 2 300</w:t>
      </w:r>
      <w:r w:rsidR="00C00643" w:rsidRPr="00F9410F">
        <w:rPr>
          <w:bCs/>
          <w:szCs w:val="24"/>
          <w:lang w:val="es-ES" w:eastAsia="ja-JP"/>
        </w:rPr>
        <w:noBreakHyphen/>
        <w:t>2 400 MHz.</w:t>
      </w:r>
    </w:p>
    <w:p w:rsidR="00C00643" w:rsidRPr="00F9410F" w:rsidRDefault="00C00643" w:rsidP="00C00643">
      <w:pPr>
        <w:tabs>
          <w:tab w:val="clear" w:pos="1134"/>
          <w:tab w:val="clear" w:pos="1871"/>
          <w:tab w:val="clear" w:pos="2268"/>
        </w:tabs>
        <w:overflowPunct/>
        <w:autoSpaceDE/>
        <w:autoSpaceDN/>
        <w:adjustRightInd/>
        <w:textAlignment w:val="auto"/>
        <w:rPr>
          <w:szCs w:val="24"/>
          <w:lang w:val="es-ES" w:eastAsia="ja-JP"/>
        </w:rPr>
      </w:pPr>
      <w:r w:rsidRPr="00F9410F">
        <w:rPr>
          <w:bCs/>
          <w:color w:val="000000"/>
          <w:szCs w:val="24"/>
          <w:lang w:val="es-ES" w:eastAsia="ja-JP"/>
        </w:rPr>
        <w:t xml:space="preserve">El estudio sobre la mejora de las IMT, incluidas las aplicaciones basadas en el IP, identificado en el </w:t>
      </w:r>
      <w:r w:rsidRPr="00F9410F">
        <w:rPr>
          <w:bCs/>
          <w:i/>
          <w:iCs/>
          <w:color w:val="000000"/>
          <w:szCs w:val="24"/>
          <w:lang w:val="es-ES" w:eastAsia="ja-JP"/>
        </w:rPr>
        <w:t>invita al UIT</w:t>
      </w:r>
      <w:r w:rsidRPr="00F9410F">
        <w:rPr>
          <w:bCs/>
          <w:i/>
          <w:iCs/>
          <w:color w:val="000000"/>
          <w:szCs w:val="24"/>
          <w:lang w:val="es-ES" w:eastAsia="ja-JP"/>
        </w:rPr>
        <w:noBreakHyphen/>
        <w:t>R</w:t>
      </w:r>
      <w:r w:rsidRPr="00F9410F">
        <w:rPr>
          <w:bCs/>
          <w:color w:val="000000"/>
          <w:szCs w:val="24"/>
          <w:lang w:val="es-ES" w:eastAsia="ja-JP"/>
        </w:rPr>
        <w:t> 3 se ha abordado con la elaboración de nuevas versiones de las Recomendaciones UIT</w:t>
      </w:r>
      <w:r w:rsidRPr="00F9410F">
        <w:rPr>
          <w:bCs/>
          <w:color w:val="000000"/>
          <w:szCs w:val="24"/>
          <w:lang w:val="es-ES" w:eastAsia="ja-JP"/>
        </w:rPr>
        <w:noBreakHyphen/>
        <w:t>R M.1457 y UIT-R M.2012.</w:t>
      </w:r>
    </w:p>
    <w:p w:rsidR="00C00643" w:rsidRPr="00F9410F" w:rsidRDefault="00C00643" w:rsidP="00C00643">
      <w:pPr>
        <w:tabs>
          <w:tab w:val="clear" w:pos="1134"/>
          <w:tab w:val="clear" w:pos="1871"/>
          <w:tab w:val="clear" w:pos="2268"/>
        </w:tabs>
        <w:overflowPunct/>
        <w:autoSpaceDE/>
        <w:autoSpaceDN/>
        <w:adjustRightInd/>
        <w:textAlignment w:val="auto"/>
        <w:rPr>
          <w:b/>
          <w:szCs w:val="24"/>
          <w:lang w:val="es-ES" w:eastAsia="ja-JP"/>
        </w:rPr>
      </w:pPr>
      <w:r w:rsidRPr="00F9410F">
        <w:rPr>
          <w:bCs/>
          <w:color w:val="000000"/>
          <w:szCs w:val="24"/>
          <w:lang w:val="es-ES" w:eastAsia="ja-JP"/>
        </w:rPr>
        <w:t xml:space="preserve">El estudio identificado en el </w:t>
      </w:r>
      <w:r w:rsidRPr="00F9410F">
        <w:rPr>
          <w:bCs/>
          <w:i/>
          <w:iCs/>
          <w:color w:val="000000"/>
          <w:szCs w:val="24"/>
          <w:lang w:val="es-ES" w:eastAsia="ja-JP"/>
        </w:rPr>
        <w:t>invita al UIT</w:t>
      </w:r>
      <w:r w:rsidRPr="00F9410F">
        <w:rPr>
          <w:bCs/>
          <w:i/>
          <w:iCs/>
          <w:color w:val="000000"/>
          <w:szCs w:val="24"/>
          <w:lang w:val="es-ES" w:eastAsia="ja-JP"/>
        </w:rPr>
        <w:noBreakHyphen/>
        <w:t>R</w:t>
      </w:r>
      <w:r w:rsidRPr="00F9410F">
        <w:rPr>
          <w:bCs/>
          <w:color w:val="000000"/>
          <w:szCs w:val="24"/>
          <w:lang w:val="es-ES" w:eastAsia="ja-JP"/>
        </w:rPr>
        <w:t> 4 también ha avanzado notablemente, y ha dado lugar al Manual del UIT-R sobre Tendencias mundiales de las IMT en el marco de la Cuestión UIT</w:t>
      </w:r>
      <w:r w:rsidRPr="00F9410F">
        <w:rPr>
          <w:bCs/>
          <w:color w:val="000000"/>
          <w:szCs w:val="24"/>
          <w:lang w:val="es-ES" w:eastAsia="ja-JP"/>
        </w:rPr>
        <w:noBreakHyphen/>
        <w:t>R 77/5.</w:t>
      </w:r>
    </w:p>
    <w:p w:rsidR="00C00643" w:rsidRPr="00F9410F" w:rsidRDefault="00C00643" w:rsidP="00CB7217">
      <w:pPr>
        <w:pStyle w:val="H1"/>
        <w:rPr>
          <w:lang w:val="es-ES" w:eastAsia="zh-CN"/>
        </w:rPr>
      </w:pPr>
      <w:r w:rsidRPr="00F9410F">
        <w:rPr>
          <w:lang w:val="es-ES" w:eastAsia="ja-JP"/>
        </w:rPr>
        <w:lastRenderedPageBreak/>
        <w:t>5</w:t>
      </w:r>
      <w:r w:rsidRPr="00F9410F">
        <w:rPr>
          <w:lang w:val="es-ES" w:eastAsia="zh-CN"/>
        </w:rPr>
        <w:tab/>
        <w:t>Resolución 224 (Rev.CMR</w:t>
      </w:r>
      <w:r w:rsidRPr="00F9410F">
        <w:rPr>
          <w:lang w:val="es-ES" w:eastAsia="zh-CN"/>
        </w:rPr>
        <w:noBreakHyphen/>
        <w:t xml:space="preserve">12): Bandas de frecuencias para la </w:t>
      </w:r>
      <w:r w:rsidRPr="00CB7217">
        <w:t>componente</w:t>
      </w:r>
      <w:r w:rsidRPr="00F9410F">
        <w:rPr>
          <w:lang w:val="es-ES" w:eastAsia="zh-CN"/>
        </w:rPr>
        <w:t xml:space="preserve"> terrenal de las Telecomunicaciones Móviles Internacionales por debajo de 1 GHz</w:t>
      </w:r>
    </w:p>
    <w:p w:rsidR="00C00643" w:rsidRPr="00F9410F" w:rsidRDefault="00C00643" w:rsidP="00C00643">
      <w:pPr>
        <w:rPr>
          <w:szCs w:val="24"/>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CB7217" w:rsidRDefault="00C00643" w:rsidP="002F1E53">
            <w:pPr>
              <w:pStyle w:val="Call"/>
              <w:rPr>
                <w:rFonts w:eastAsia="SimSun"/>
                <w:sz w:val="20"/>
                <w:lang w:val="es-ES" w:eastAsia="zh-CN"/>
              </w:rPr>
            </w:pPr>
            <w:r w:rsidRPr="00CB7217">
              <w:rPr>
                <w:sz w:val="20"/>
                <w:lang w:val="es-ES"/>
              </w:rPr>
              <w:t>invita al UIT-R</w:t>
            </w:r>
          </w:p>
        </w:tc>
      </w:tr>
      <w:tr w:rsidR="00C00643" w:rsidRPr="00F9410F" w:rsidTr="002F1E53">
        <w:tc>
          <w:tcPr>
            <w:tcW w:w="9837" w:type="dxa"/>
          </w:tcPr>
          <w:p w:rsidR="00C00643" w:rsidRPr="00CB7217" w:rsidRDefault="00C00643" w:rsidP="00687C78">
            <w:pPr>
              <w:overflowPunct/>
              <w:autoSpaceDE/>
              <w:autoSpaceDN/>
              <w:adjustRightInd/>
              <w:spacing w:before="60" w:after="120"/>
              <w:textAlignment w:val="auto"/>
              <w:rPr>
                <w:sz w:val="20"/>
                <w:lang w:val="es-ES"/>
              </w:rPr>
            </w:pPr>
            <w:r w:rsidRPr="00CB7217">
              <w:rPr>
                <w:sz w:val="20"/>
                <w:lang w:val="es-ES"/>
              </w:rPr>
              <w:t>1</w:t>
            </w:r>
            <w:r w:rsidR="00CB7217" w:rsidRPr="00CB7217">
              <w:rPr>
                <w:sz w:val="20"/>
                <w:lang w:val="es-ES"/>
              </w:rPr>
              <w:tab/>
            </w:r>
            <w:r w:rsidRPr="00CB7217">
              <w:rPr>
                <w:sz w:val="20"/>
                <w:lang w:val="es-ES"/>
              </w:rPr>
              <w:t>a que continúe estudiando la posible utilización de la banda 790-862 MHz en la Región 1 y la Región</w:t>
            </w:r>
            <w:r w:rsidR="00687C78">
              <w:rPr>
                <w:sz w:val="20"/>
                <w:lang w:val="es-ES"/>
              </w:rPr>
              <w:t> </w:t>
            </w:r>
            <w:r w:rsidRPr="00CB7217">
              <w:rPr>
                <w:sz w:val="20"/>
                <w:lang w:val="es-ES"/>
              </w:rPr>
              <w:t xml:space="preserve">3, de la banda 698-806 MHz en la Región 2 y en las administraciones mencionadas en el número 5.313A en la Región 3 por nuevas aplicaciones móviles y de radiodifusión, lo que incluye las repercusiones sobre el Acuerdo GE06, según proceda, como indica el reconociendo f) y a elaborar Recomendaciones del UIT-R sobre cómo proteger los servicios a los cuales están atribuidas esas bandas, incluido el servicio de radiodifusión y, en particular, el Plan GE06 actualizado y sus futuras versiones; </w:t>
            </w:r>
          </w:p>
          <w:p w:rsidR="00C00643" w:rsidRPr="00CB7217" w:rsidRDefault="00C00643" w:rsidP="00CB7217">
            <w:pPr>
              <w:autoSpaceDN/>
              <w:spacing w:after="120"/>
              <w:textAlignment w:val="auto"/>
              <w:rPr>
                <w:sz w:val="20"/>
                <w:lang w:val="es-ES"/>
              </w:rPr>
            </w:pPr>
            <w:r w:rsidRPr="00CB7217">
              <w:rPr>
                <w:sz w:val="20"/>
                <w:lang w:val="es-ES"/>
              </w:rPr>
              <w:t>2</w:t>
            </w:r>
            <w:r w:rsidR="00CB7217" w:rsidRPr="00CB7217">
              <w:rPr>
                <w:sz w:val="20"/>
                <w:lang w:val="es-ES"/>
              </w:rPr>
              <w:tab/>
            </w:r>
            <w:r w:rsidRPr="00CB7217">
              <w:rPr>
                <w:sz w:val="20"/>
                <w:lang w:val="es-ES"/>
              </w:rPr>
              <w:t xml:space="preserve">a que estudie la compatibilidad en las bandas de frecuencias mencionadas en el invita al UIT-R 1, entre sistemas móviles con características técnicas diferentes y dé orientación respecto a cualquier repercusión que las nuevas consideraciones puedan tener en las configuraciones del espectro; </w:t>
            </w:r>
          </w:p>
          <w:p w:rsidR="00C00643" w:rsidRPr="00CB7217" w:rsidRDefault="00C00643" w:rsidP="00CB7217">
            <w:pPr>
              <w:autoSpaceDN/>
              <w:spacing w:after="120"/>
              <w:textAlignment w:val="auto"/>
              <w:rPr>
                <w:rFonts w:eastAsia="SimSun"/>
                <w:color w:val="000000"/>
                <w:sz w:val="20"/>
                <w:lang w:val="es-ES" w:eastAsia="zh-CN"/>
              </w:rPr>
            </w:pPr>
            <w:r w:rsidRPr="00CB7217">
              <w:rPr>
                <w:sz w:val="20"/>
                <w:lang w:val="es-ES"/>
              </w:rPr>
              <w:t>3</w:t>
            </w:r>
            <w:r w:rsidR="00CB7217" w:rsidRPr="00CB7217">
              <w:rPr>
                <w:sz w:val="20"/>
                <w:lang w:val="es-ES"/>
              </w:rPr>
              <w:tab/>
            </w:r>
            <w:r w:rsidRPr="00CB7217">
              <w:rPr>
                <w:sz w:val="20"/>
                <w:lang w:val="es-ES"/>
              </w:rPr>
              <w:t>a que incluya los resultados de los estudios mencionados en el invita al UIT-R 2 y especialmente las medidas de armonización relativas a las IMT en una o varias Recomendaciones del UIT-R en 2015 a más tardar</w:t>
            </w:r>
          </w:p>
        </w:tc>
      </w:tr>
    </w:tbl>
    <w:p w:rsidR="00C00643" w:rsidRPr="00F9410F" w:rsidRDefault="00C00643" w:rsidP="00C00643">
      <w:pPr>
        <w:rPr>
          <w:bCs/>
          <w:color w:val="000000"/>
          <w:szCs w:val="24"/>
          <w:u w:val="single"/>
          <w:lang w:val="es-ES" w:eastAsia="ja-JP"/>
        </w:rPr>
      </w:pPr>
      <w:r w:rsidRPr="00F9410F">
        <w:rPr>
          <w:bCs/>
          <w:color w:val="000000"/>
          <w:szCs w:val="24"/>
          <w:lang w:val="es-ES" w:eastAsia="ja-JP"/>
        </w:rPr>
        <w:t>No se han presentado contribuciones directamente relacionadas con esta cuestión en las reuniones del Grupo de Trabajo 5D tras la CMR-07. En consecuencia, no ha habido avances en los estudios solicitados.</w:t>
      </w:r>
    </w:p>
    <w:p w:rsidR="00C00643" w:rsidRPr="00F9410F" w:rsidRDefault="00C00643" w:rsidP="00C00643">
      <w:pPr>
        <w:pStyle w:val="Heading1"/>
        <w:rPr>
          <w:lang w:val="es-ES"/>
        </w:rPr>
      </w:pPr>
      <w:r w:rsidRPr="00F9410F">
        <w:rPr>
          <w:lang w:val="es-ES" w:eastAsia="ja-JP"/>
        </w:rPr>
        <w:t>6</w:t>
      </w:r>
      <w:r w:rsidRPr="00F9410F">
        <w:rPr>
          <w:lang w:val="es-ES" w:eastAsia="ja-JP"/>
        </w:rPr>
        <w:tab/>
      </w:r>
      <w:r w:rsidRPr="00F9410F">
        <w:rPr>
          <w:lang w:val="es-ES"/>
        </w:rPr>
        <w:t>Resolución 229 (</w:t>
      </w:r>
      <w:r w:rsidR="00CB7217">
        <w:rPr>
          <w:lang w:val="es-ES"/>
        </w:rPr>
        <w:t>Rev.</w:t>
      </w:r>
      <w:r w:rsidRPr="00F9410F">
        <w:rPr>
          <w:lang w:val="es-ES"/>
        </w:rPr>
        <w:t>CMR</w:t>
      </w:r>
      <w:r w:rsidRPr="00F9410F">
        <w:rPr>
          <w:lang w:val="es-ES"/>
        </w:rPr>
        <w:noBreakHyphen/>
        <w:t>12) – Utilización de las bandas 5 150-5 250 MHz, 5 250</w:t>
      </w:r>
      <w:r w:rsidRPr="00F9410F">
        <w:rPr>
          <w:lang w:val="es-ES"/>
        </w:rPr>
        <w:noBreakHyphen/>
        <w:t>5 350 MHz y 5 470</w:t>
      </w:r>
      <w:r w:rsidRPr="00F9410F">
        <w:rPr>
          <w:lang w:val="es-ES"/>
        </w:rPr>
        <w:noBreakHyphen/>
        <w:t>5 725 MHz por el servicio móvil para la implementación de sistemas de acceso inalámbrico, incluidas las redes radioeléctricas de área local</w:t>
      </w:r>
    </w:p>
    <w:p w:rsidR="00C00643" w:rsidRPr="00F9410F" w:rsidRDefault="00C00643" w:rsidP="00C00643">
      <w:pPr>
        <w:spacing w:before="0"/>
        <w:rPr>
          <w:lang w:val="es-ES"/>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00643" w:rsidRPr="00F9410F" w:rsidTr="002F1E53">
        <w:trPr>
          <w:jc w:val="center"/>
        </w:trPr>
        <w:tc>
          <w:tcPr>
            <w:tcW w:w="9638" w:type="dxa"/>
          </w:tcPr>
          <w:p w:rsidR="00C00643" w:rsidRPr="00CB7217" w:rsidRDefault="00C00643" w:rsidP="00CB7217">
            <w:pPr>
              <w:pStyle w:val="Call"/>
              <w:widowControl w:val="0"/>
              <w:jc w:val="both"/>
              <w:rPr>
                <w:sz w:val="20"/>
                <w:lang w:val="es-ES"/>
              </w:rPr>
            </w:pPr>
            <w:r w:rsidRPr="00CB7217">
              <w:rPr>
                <w:sz w:val="20"/>
                <w:lang w:val="es-ES"/>
              </w:rPr>
              <w:t>invita al UIT-R</w:t>
            </w:r>
          </w:p>
        </w:tc>
      </w:tr>
      <w:tr w:rsidR="00C00643" w:rsidRPr="00F9410F" w:rsidTr="002F1E53">
        <w:trPr>
          <w:jc w:val="center"/>
        </w:trPr>
        <w:tc>
          <w:tcPr>
            <w:tcW w:w="9638" w:type="dxa"/>
          </w:tcPr>
          <w:p w:rsidR="00C00643" w:rsidRPr="00CB7217" w:rsidRDefault="00CB7217" w:rsidP="00687C78">
            <w:pPr>
              <w:overflowPunct/>
              <w:autoSpaceDE/>
              <w:autoSpaceDN/>
              <w:adjustRightInd/>
              <w:spacing w:before="60" w:after="120"/>
              <w:textAlignment w:val="auto"/>
              <w:rPr>
                <w:sz w:val="20"/>
                <w:lang w:val="es-ES"/>
              </w:rPr>
            </w:pPr>
            <w:r w:rsidRPr="00CB7217">
              <w:rPr>
                <w:sz w:val="20"/>
                <w:lang w:val="es-ES"/>
              </w:rPr>
              <w:t>1</w:t>
            </w:r>
            <w:r w:rsidRPr="00CB7217">
              <w:rPr>
                <w:sz w:val="20"/>
                <w:lang w:val="es-ES"/>
              </w:rPr>
              <w:tab/>
            </w:r>
            <w:r w:rsidR="00C00643" w:rsidRPr="00CB7217">
              <w:rPr>
                <w:sz w:val="20"/>
                <w:lang w:val="es-ES"/>
              </w:rPr>
              <w:t>a proseguir el trabajo sobre mecanismos reglamentarios y otras técnicas de atenuación, con el fin de evitar las incompatibilidades que pudieran resultar de la interferencia combinada al SFS en la banda 5</w:t>
            </w:r>
            <w:r w:rsidR="00687C78">
              <w:rPr>
                <w:sz w:val="20"/>
                <w:lang w:val="es-ES"/>
              </w:rPr>
              <w:t> </w:t>
            </w:r>
            <w:r w:rsidR="00C00643" w:rsidRPr="00CB7217">
              <w:rPr>
                <w:sz w:val="20"/>
                <w:lang w:val="es-ES"/>
              </w:rPr>
              <w:t>150</w:t>
            </w:r>
            <w:r w:rsidR="00687C78">
              <w:rPr>
                <w:sz w:val="20"/>
                <w:lang w:val="es-ES"/>
              </w:rPr>
              <w:noBreakHyphen/>
            </w:r>
            <w:r w:rsidR="00C00643" w:rsidRPr="00CB7217">
              <w:rPr>
                <w:sz w:val="20"/>
                <w:lang w:val="es-ES"/>
              </w:rPr>
              <w:t>5</w:t>
            </w:r>
            <w:r w:rsidR="00687C78">
              <w:rPr>
                <w:sz w:val="20"/>
                <w:lang w:val="es-ES"/>
              </w:rPr>
              <w:t> </w:t>
            </w:r>
            <w:r w:rsidR="00C00643" w:rsidRPr="00CB7217">
              <w:rPr>
                <w:sz w:val="20"/>
                <w:lang w:val="es-ES"/>
              </w:rPr>
              <w:t>250</w:t>
            </w:r>
            <w:r w:rsidR="00687C78">
              <w:rPr>
                <w:sz w:val="20"/>
                <w:lang w:val="es-ES"/>
              </w:rPr>
              <w:t> </w:t>
            </w:r>
            <w:r w:rsidR="00C00643" w:rsidRPr="00CB7217">
              <w:rPr>
                <w:sz w:val="20"/>
                <w:lang w:val="es-ES"/>
              </w:rPr>
              <w:t xml:space="preserve">MHz como resultado de una posible proliferación del número de WAS, incluidas las RLAN; </w:t>
            </w:r>
          </w:p>
          <w:p w:rsidR="00C00643" w:rsidRPr="00CB7217" w:rsidRDefault="00C00643" w:rsidP="00CB7217">
            <w:pPr>
              <w:overflowPunct/>
              <w:autoSpaceDE/>
              <w:autoSpaceDN/>
              <w:adjustRightInd/>
              <w:spacing w:before="60" w:after="120"/>
              <w:textAlignment w:val="auto"/>
              <w:rPr>
                <w:sz w:val="20"/>
                <w:lang w:val="es-ES"/>
              </w:rPr>
            </w:pPr>
            <w:r w:rsidRPr="00CB7217">
              <w:rPr>
                <w:sz w:val="20"/>
                <w:lang w:val="es-ES"/>
              </w:rPr>
              <w:t>2</w:t>
            </w:r>
            <w:r w:rsidR="00CB7217" w:rsidRPr="00CB7217">
              <w:rPr>
                <w:sz w:val="20"/>
                <w:lang w:val="es-ES"/>
              </w:rPr>
              <w:tab/>
            </w:r>
            <w:r w:rsidRPr="00CB7217">
              <w:rPr>
                <w:sz w:val="20"/>
                <w:lang w:val="es-ES"/>
              </w:rPr>
              <w:t xml:space="preserve">a proseguir los estudios sobre técnicas de reducción de la interferencia, con el fin de proteger al SETS contra las estaciones del servicio móvil; </w:t>
            </w:r>
          </w:p>
          <w:p w:rsidR="00C00643" w:rsidRPr="00F9410F" w:rsidRDefault="00C00643" w:rsidP="00CB7217">
            <w:pPr>
              <w:overflowPunct/>
              <w:autoSpaceDE/>
              <w:autoSpaceDN/>
              <w:adjustRightInd/>
              <w:spacing w:before="60" w:after="120"/>
              <w:textAlignment w:val="auto"/>
              <w:rPr>
                <w:rFonts w:eastAsia="SimSun"/>
                <w:color w:val="000000"/>
                <w:sz w:val="20"/>
                <w:lang w:val="es-ES" w:eastAsia="zh-CN"/>
              </w:rPr>
            </w:pPr>
            <w:r w:rsidRPr="00CB7217">
              <w:rPr>
                <w:sz w:val="20"/>
                <w:lang w:val="es-ES"/>
              </w:rPr>
              <w:t>3</w:t>
            </w:r>
            <w:r w:rsidR="00CB7217" w:rsidRPr="00CB7217">
              <w:rPr>
                <w:sz w:val="20"/>
                <w:lang w:val="es-ES"/>
              </w:rPr>
              <w:tab/>
            </w:r>
            <w:r w:rsidRPr="00CB7217">
              <w:rPr>
                <w:sz w:val="20"/>
                <w:lang w:val="es-ES"/>
              </w:rPr>
              <w:t>a proseguir los estudios sobre métodos de prueba y procedimientos adecuados para aplicar la selección dinámica de frecuencias, teniendo en cuenta la experiencia práctica</w:t>
            </w:r>
            <w:r w:rsidRPr="00CB7217">
              <w:rPr>
                <w:rFonts w:eastAsia="SimSun"/>
                <w:color w:val="000000"/>
                <w:sz w:val="20"/>
                <w:lang w:val="es-ES" w:eastAsia="zh-CN"/>
              </w:rPr>
              <w:t>.</w:t>
            </w:r>
          </w:p>
        </w:tc>
      </w:tr>
    </w:tbl>
    <w:p w:rsidR="00C00643" w:rsidRPr="00F9410F" w:rsidRDefault="00C00643" w:rsidP="00CB7217">
      <w:pPr>
        <w:rPr>
          <w:lang w:val="es-ES" w:eastAsia="ja-JP"/>
        </w:rPr>
      </w:pPr>
      <w:r w:rsidRPr="00F9410F">
        <w:rPr>
          <w:lang w:val="es-ES" w:eastAsia="ja-JP"/>
        </w:rPr>
        <w:t>No ha habido avances específicamente relacionados con los temas de estudio solicitados. En cuanto que estudio general en el marco de la Cuestión UIT</w:t>
      </w:r>
      <w:r w:rsidRPr="00F9410F">
        <w:rPr>
          <w:lang w:val="es-ES" w:eastAsia="ja-JP"/>
        </w:rPr>
        <w:noBreakHyphen/>
        <w:t>R 212/5, se ha actualizado la Recomendación</w:t>
      </w:r>
      <w:r w:rsidR="00CB7217">
        <w:rPr>
          <w:lang w:val="es-ES" w:eastAsia="ja-JP"/>
        </w:rPr>
        <w:t> </w:t>
      </w:r>
      <w:r w:rsidRPr="00F9410F">
        <w:rPr>
          <w:lang w:val="es-ES" w:eastAsia="ja-JP"/>
        </w:rPr>
        <w:t xml:space="preserve">UIT-R M.1450, a la que se hace referencia en la presente Resolución. </w:t>
      </w:r>
    </w:p>
    <w:p w:rsidR="00C00643" w:rsidRPr="00F9410F" w:rsidRDefault="00C00643" w:rsidP="00C00643">
      <w:pPr>
        <w:pStyle w:val="Heading1"/>
        <w:rPr>
          <w:lang w:val="es-ES" w:eastAsia="zh-CN"/>
        </w:rPr>
      </w:pPr>
      <w:r w:rsidRPr="00F9410F">
        <w:rPr>
          <w:lang w:val="es-ES" w:eastAsia="ja-JP"/>
        </w:rPr>
        <w:t>7</w:t>
      </w:r>
      <w:r w:rsidRPr="00F9410F">
        <w:rPr>
          <w:lang w:val="es-ES" w:eastAsia="zh-CN"/>
        </w:rPr>
        <w:tab/>
        <w:t>Resolución 331 (Rev.CMR</w:t>
      </w:r>
      <w:r w:rsidRPr="00F9410F">
        <w:rPr>
          <w:lang w:val="es-ES" w:eastAsia="zh-CN"/>
        </w:rPr>
        <w:noBreakHyphen/>
      </w:r>
      <w:r w:rsidRPr="00F9410F">
        <w:rPr>
          <w:lang w:val="es-ES" w:eastAsia="ja-JP"/>
        </w:rPr>
        <w:t>12</w:t>
      </w:r>
      <w:r w:rsidRPr="00F9410F">
        <w:rPr>
          <w:lang w:val="es-ES" w:eastAsia="zh-CN"/>
        </w:rPr>
        <w:t>)</w:t>
      </w:r>
      <w:r w:rsidRPr="00F9410F">
        <w:rPr>
          <w:lang w:val="es-ES" w:eastAsia="ja-JP"/>
        </w:rPr>
        <w:t xml:space="preserve">: </w:t>
      </w:r>
      <w:r w:rsidRPr="00F9410F">
        <w:rPr>
          <w:lang w:val="es-ES"/>
        </w:rPr>
        <w:t>Explotación del Sistema Mundial de Socorro y Seguridad Marítimos</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CB7217" w:rsidRDefault="00C00643" w:rsidP="00CB7217">
            <w:pPr>
              <w:pStyle w:val="Call"/>
              <w:widowControl w:val="0"/>
              <w:jc w:val="both"/>
              <w:rPr>
                <w:sz w:val="20"/>
                <w:lang w:val="es-ES"/>
              </w:rPr>
            </w:pPr>
            <w:r w:rsidRPr="00CB7217">
              <w:rPr>
                <w:sz w:val="20"/>
                <w:lang w:val="es-ES"/>
              </w:rPr>
              <w:t>encarga al UIT-R</w:t>
            </w:r>
          </w:p>
        </w:tc>
      </w:tr>
      <w:tr w:rsidR="00C00643" w:rsidRPr="00F9410F" w:rsidTr="002F1E53">
        <w:tc>
          <w:tcPr>
            <w:tcW w:w="9837" w:type="dxa"/>
          </w:tcPr>
          <w:p w:rsidR="00C00643" w:rsidRPr="00CB7217" w:rsidRDefault="00C00643" w:rsidP="00CB7217">
            <w:pPr>
              <w:rPr>
                <w:rFonts w:eastAsia="SimSun"/>
                <w:color w:val="000000"/>
                <w:sz w:val="20"/>
                <w:lang w:val="es-ES" w:eastAsia="zh-CN"/>
              </w:rPr>
            </w:pPr>
            <w:r w:rsidRPr="00CB7217">
              <w:rPr>
                <w:sz w:val="20"/>
                <w:lang w:val="es-ES"/>
              </w:rPr>
              <w:t>que supervise la evolución y las modificaciones del SMSSM, y siga desarrollando técnicas y sistemas pertinentes para el SMSSM,</w:t>
            </w:r>
          </w:p>
        </w:tc>
      </w:tr>
    </w:tbl>
    <w:p w:rsidR="00C00643" w:rsidRPr="00F9410F" w:rsidRDefault="00C00643" w:rsidP="00CB7217">
      <w:pPr>
        <w:rPr>
          <w:lang w:val="es-ES"/>
        </w:rPr>
      </w:pPr>
      <w:r w:rsidRPr="00F9410F">
        <w:rPr>
          <w:lang w:val="es-ES" w:eastAsia="ja-JP"/>
        </w:rPr>
        <w:t>En relación con este tema, se actualizaron las Recomendaciones UIT</w:t>
      </w:r>
      <w:r w:rsidRPr="00F9410F">
        <w:rPr>
          <w:lang w:val="es-ES"/>
        </w:rPr>
        <w:t>-R M.1371 y UIT-R M.690 y ya se han publicado en el sitio web de la UIT las nuevas versiones de ambas.</w:t>
      </w:r>
    </w:p>
    <w:p w:rsidR="00C00643" w:rsidRPr="00F9410F" w:rsidRDefault="00C00643" w:rsidP="00CB7217">
      <w:pPr>
        <w:rPr>
          <w:lang w:val="es-ES" w:eastAsia="ja-JP"/>
        </w:rPr>
      </w:pPr>
      <w:r w:rsidRPr="00F9410F">
        <w:rPr>
          <w:lang w:val="es-ES" w:eastAsia="ja-JP"/>
        </w:rPr>
        <w:lastRenderedPageBreak/>
        <w:t>Además, también se han revisado las Recomendaciones UIT</w:t>
      </w:r>
      <w:r w:rsidRPr="00F9410F">
        <w:rPr>
          <w:lang w:val="es-ES"/>
        </w:rPr>
        <w:t>-R M.493 y UIT-R M.541.</w:t>
      </w:r>
    </w:p>
    <w:p w:rsidR="00C00643" w:rsidRPr="00F9410F" w:rsidRDefault="00C00643" w:rsidP="00CB7217">
      <w:pPr>
        <w:pStyle w:val="Heading1"/>
        <w:rPr>
          <w:lang w:val="es-ES" w:eastAsia="zh-CN"/>
        </w:rPr>
      </w:pPr>
      <w:r w:rsidRPr="00F9410F">
        <w:rPr>
          <w:lang w:val="es-ES" w:eastAsia="ja-JP"/>
        </w:rPr>
        <w:t>8</w:t>
      </w:r>
      <w:r w:rsidRPr="00F9410F">
        <w:rPr>
          <w:lang w:val="es-ES" w:eastAsia="ja-JP"/>
        </w:rPr>
        <w:tab/>
      </w:r>
      <w:r w:rsidRPr="00F9410F">
        <w:rPr>
          <w:lang w:val="es-ES"/>
        </w:rPr>
        <w:t>Resolución</w:t>
      </w:r>
      <w:r w:rsidRPr="00F9410F">
        <w:rPr>
          <w:lang w:val="es-ES" w:eastAsia="zh-CN"/>
        </w:rPr>
        <w:t xml:space="preserve"> 356 (CMR</w:t>
      </w:r>
      <w:r w:rsidRPr="00F9410F">
        <w:rPr>
          <w:lang w:val="es-ES" w:eastAsia="zh-CN"/>
        </w:rPr>
        <w:noBreakHyphen/>
        <w:t>07)</w:t>
      </w:r>
      <w:r w:rsidRPr="00F9410F">
        <w:rPr>
          <w:lang w:val="es-ES" w:eastAsia="ja-JP"/>
        </w:rPr>
        <w:t xml:space="preserve">: </w:t>
      </w:r>
      <w:r w:rsidRPr="00F9410F">
        <w:rPr>
          <w:lang w:val="es-ES"/>
        </w:rPr>
        <w:t>Registro de la UIT sobre información del servicio marítimo</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CB7217" w:rsidRDefault="00C00643" w:rsidP="00CB7217">
            <w:pPr>
              <w:pStyle w:val="Call"/>
              <w:widowControl w:val="0"/>
              <w:jc w:val="both"/>
              <w:rPr>
                <w:sz w:val="20"/>
                <w:lang w:val="es-ES"/>
              </w:rPr>
            </w:pPr>
            <w:r w:rsidRPr="00CB7217">
              <w:rPr>
                <w:sz w:val="20"/>
                <w:lang w:val="es-ES"/>
              </w:rPr>
              <w:t>invita al UIT-R</w:t>
            </w:r>
          </w:p>
        </w:tc>
      </w:tr>
      <w:tr w:rsidR="00C00643" w:rsidRPr="00F9410F" w:rsidTr="002F1E53">
        <w:tc>
          <w:tcPr>
            <w:tcW w:w="9837" w:type="dxa"/>
          </w:tcPr>
          <w:p w:rsidR="00C00643" w:rsidRPr="00CB7217" w:rsidRDefault="00C00643" w:rsidP="002F1E53">
            <w:pPr>
              <w:overflowPunct/>
              <w:autoSpaceDE/>
              <w:autoSpaceDN/>
              <w:adjustRightInd/>
              <w:spacing w:after="120"/>
              <w:textAlignment w:val="auto"/>
              <w:rPr>
                <w:rFonts w:eastAsia="SimSun"/>
                <w:color w:val="000000"/>
                <w:sz w:val="20"/>
                <w:lang w:val="es-ES" w:eastAsia="zh-CN"/>
              </w:rPr>
            </w:pPr>
            <w:r w:rsidRPr="00CB7217">
              <w:rPr>
                <w:rFonts w:eastAsia="SimSun"/>
                <w:color w:val="000000"/>
                <w:sz w:val="20"/>
                <w:lang w:val="es-ES" w:eastAsia="zh-CN"/>
              </w:rPr>
              <w:t xml:space="preserve"> </w:t>
            </w:r>
            <w:r w:rsidRPr="00CB7217">
              <w:rPr>
                <w:sz w:val="20"/>
                <w:lang w:val="es-ES"/>
              </w:rPr>
              <w:t>a celebrar consultas con las administraciones, la Organización Marítima Internacional (OMI), la Organización de la Aviación Civil Internacional (OACI), la Asociación Internacional de Señalización Marítima (IALA), la Organización Hidrográfica Internacional (OHI) a fin de identificar elementos para su incorporación a los sistemas de información en línea de la UIT</w:t>
            </w:r>
          </w:p>
        </w:tc>
      </w:tr>
    </w:tbl>
    <w:p w:rsidR="00C00643" w:rsidRPr="00F9410F" w:rsidRDefault="00C00643" w:rsidP="00CB7217">
      <w:pPr>
        <w:rPr>
          <w:szCs w:val="24"/>
          <w:lang w:val="es-ES" w:eastAsia="ja-JP"/>
        </w:rPr>
      </w:pPr>
      <w:r w:rsidRPr="00CB7217">
        <w:t>Se propuso incluir funciones adicionales en la base de datos MARS para albergar y buscar</w:t>
      </w:r>
      <w:r w:rsidRPr="00F9410F">
        <w:rPr>
          <w:szCs w:val="24"/>
          <w:lang w:val="es-ES" w:eastAsia="ja-JP"/>
        </w:rPr>
        <w:t xml:space="preserve"> identidades notificadas de </w:t>
      </w:r>
      <w:r w:rsidRPr="00F9410F">
        <w:rPr>
          <w:lang w:val="es-ES"/>
        </w:rPr>
        <w:t>transceptores portátiles de ondas métricas con LLSD y GSNN. Se ha considerado la nota al Director de la BR, en la que se sugería que se tomarán las medidas apropiadas</w:t>
      </w:r>
      <w:r w:rsidRPr="00F9410F">
        <w:rPr>
          <w:szCs w:val="24"/>
          <w:lang w:val="es-ES" w:eastAsia="ja-JP"/>
        </w:rPr>
        <w:t>.</w:t>
      </w:r>
    </w:p>
    <w:p w:rsidR="00C00643" w:rsidRPr="00F9410F" w:rsidRDefault="00C00643" w:rsidP="00C00643">
      <w:pPr>
        <w:pStyle w:val="Heading1"/>
        <w:rPr>
          <w:lang w:val="es-ES"/>
        </w:rPr>
      </w:pPr>
      <w:r w:rsidRPr="00F9410F">
        <w:rPr>
          <w:lang w:val="es-ES" w:eastAsia="ja-JP"/>
        </w:rPr>
        <w:t>9</w:t>
      </w:r>
      <w:r w:rsidRPr="00F9410F">
        <w:rPr>
          <w:lang w:val="es-ES" w:eastAsia="ja-JP"/>
        </w:rPr>
        <w:tab/>
      </w:r>
      <w:r w:rsidR="00CB7217" w:rsidRPr="00F9410F">
        <w:rPr>
          <w:lang w:val="es-ES"/>
        </w:rPr>
        <w:t>Resolución</w:t>
      </w:r>
      <w:r w:rsidR="00CB7217" w:rsidRPr="00F9410F">
        <w:rPr>
          <w:rFonts w:eastAsia="SimSun"/>
          <w:color w:val="000000"/>
          <w:lang w:val="es-ES" w:eastAsia="zh-CN"/>
        </w:rPr>
        <w:t xml:space="preserve"> </w:t>
      </w:r>
      <w:r w:rsidRPr="00F9410F">
        <w:rPr>
          <w:rFonts w:eastAsia="SimSun"/>
          <w:color w:val="000000"/>
          <w:lang w:val="es-ES" w:eastAsia="zh-CN"/>
        </w:rPr>
        <w:t>35</w:t>
      </w:r>
      <w:r w:rsidRPr="00F9410F">
        <w:rPr>
          <w:color w:val="000000"/>
          <w:lang w:val="es-ES" w:eastAsia="ja-JP"/>
        </w:rPr>
        <w:t>9</w:t>
      </w:r>
      <w:r w:rsidRPr="00F9410F">
        <w:rPr>
          <w:rFonts w:eastAsia="SimSun"/>
          <w:color w:val="000000"/>
          <w:lang w:val="es-ES" w:eastAsia="zh-CN"/>
        </w:rPr>
        <w:t xml:space="preserve"> (CMR-</w:t>
      </w:r>
      <w:r w:rsidRPr="00F9410F">
        <w:rPr>
          <w:color w:val="000000"/>
          <w:lang w:val="es-ES" w:eastAsia="ja-JP"/>
        </w:rPr>
        <w:t>12</w:t>
      </w:r>
      <w:r w:rsidRPr="00F9410F">
        <w:rPr>
          <w:rFonts w:eastAsia="SimSun"/>
          <w:color w:val="000000"/>
          <w:lang w:val="es-ES" w:eastAsia="zh-CN"/>
        </w:rPr>
        <w:t>)</w:t>
      </w:r>
      <w:r w:rsidRPr="00F9410F">
        <w:rPr>
          <w:color w:val="000000"/>
          <w:lang w:val="es-ES" w:eastAsia="ja-JP"/>
        </w:rPr>
        <w:t xml:space="preserve">: </w:t>
      </w:r>
      <w:r w:rsidRPr="00F9410F">
        <w:rPr>
          <w:lang w:val="es-ES"/>
        </w:rPr>
        <w:t>Considerar la aplicación de disposiciones reglamentarias para modernizar del sistema mundial de socorro y seguridad marítimos y los estudios relacionados con la navegación electrónica</w:t>
      </w:r>
    </w:p>
    <w:p w:rsidR="00C00643" w:rsidRPr="00F9410F" w:rsidRDefault="00C00643" w:rsidP="00C00643">
      <w:pPr>
        <w:pStyle w:val="Tablefin"/>
        <w:keepNext/>
        <w:rPr>
          <w:lang w:val="es-ES" w:eastAsia="ja-JP"/>
        </w:rPr>
      </w:pPr>
    </w:p>
    <w:tbl>
      <w:tblPr>
        <w:tblStyle w:val="TableGrid"/>
        <w:tblW w:w="0" w:type="auto"/>
        <w:tblLook w:val="04A0" w:firstRow="1" w:lastRow="0" w:firstColumn="1" w:lastColumn="0" w:noHBand="0" w:noVBand="1"/>
      </w:tblPr>
      <w:tblGrid>
        <w:gridCol w:w="9629"/>
      </w:tblGrid>
      <w:tr w:rsidR="00C00643" w:rsidRPr="00F9410F" w:rsidTr="002F1E53">
        <w:tc>
          <w:tcPr>
            <w:tcW w:w="9629" w:type="dxa"/>
          </w:tcPr>
          <w:p w:rsidR="00C00643" w:rsidRPr="00CB7217" w:rsidRDefault="00C00643" w:rsidP="002F1E53">
            <w:pPr>
              <w:pStyle w:val="Call"/>
              <w:rPr>
                <w:rFonts w:eastAsia="Times New Roman"/>
                <w:sz w:val="20"/>
                <w:lang w:val="es-ES"/>
              </w:rPr>
            </w:pPr>
            <w:r w:rsidRPr="00CB7217">
              <w:rPr>
                <w:rFonts w:eastAsia="Times New Roman"/>
                <w:sz w:val="20"/>
                <w:lang w:val="es-ES"/>
              </w:rPr>
              <w:t>invita al UIT-R</w:t>
            </w:r>
          </w:p>
        </w:tc>
      </w:tr>
      <w:tr w:rsidR="00C00643" w:rsidRPr="00F9410F" w:rsidTr="002F1E53">
        <w:tc>
          <w:tcPr>
            <w:tcW w:w="9629" w:type="dxa"/>
          </w:tcPr>
          <w:p w:rsidR="00C00643" w:rsidRPr="00CB7217" w:rsidRDefault="00C00643" w:rsidP="002F1E53">
            <w:pPr>
              <w:jc w:val="left"/>
              <w:rPr>
                <w:sz w:val="20"/>
                <w:lang w:val="es-ES" w:eastAsia="ja-JP"/>
              </w:rPr>
            </w:pPr>
            <w:r w:rsidRPr="00CB7217">
              <w:rPr>
                <w:sz w:val="20"/>
                <w:lang w:val="es-ES"/>
              </w:rPr>
              <w:t>a llevar a cabo estudios, con carácter de urgencia y teniendo en cuenta las actividades de la Organización Marítima Internacional (OMI), a fin de determinar los requisitos de espectro para la modernización del SMSSM y la implantación de la navegación electrónica y proponer posibles acciones normativa,</w:t>
            </w:r>
          </w:p>
        </w:tc>
      </w:tr>
    </w:tbl>
    <w:p w:rsidR="00C00643" w:rsidRPr="00F9410F" w:rsidRDefault="00C00643" w:rsidP="00CB7217">
      <w:pPr>
        <w:rPr>
          <w:lang w:val="es-ES" w:eastAsia="ja-JP"/>
        </w:rPr>
      </w:pPr>
      <w:r w:rsidRPr="00F9410F">
        <w:rPr>
          <w:lang w:val="es-ES" w:eastAsia="ja-JP"/>
        </w:rPr>
        <w:t xml:space="preserve">No se han recibido contribuciones durante el presente ciclo de estudios de la CMR en el marco de esta Resolución. En consecuencia, no ha habido avances en relación con este tema. </w:t>
      </w:r>
    </w:p>
    <w:p w:rsidR="00C00643" w:rsidRPr="00F9410F" w:rsidRDefault="00C00643" w:rsidP="00CB7217">
      <w:pPr>
        <w:pStyle w:val="Heading1"/>
        <w:rPr>
          <w:lang w:val="es-ES" w:eastAsia="zh-CN"/>
        </w:rPr>
      </w:pPr>
      <w:r w:rsidRPr="00F9410F">
        <w:rPr>
          <w:lang w:val="es-ES" w:eastAsia="ja-JP"/>
        </w:rPr>
        <w:t>10</w:t>
      </w:r>
      <w:r w:rsidRPr="00F9410F">
        <w:rPr>
          <w:lang w:val="es-ES" w:eastAsia="ja-JP"/>
        </w:rPr>
        <w:tab/>
      </w:r>
      <w:r w:rsidRPr="00F9410F">
        <w:rPr>
          <w:lang w:val="es-ES"/>
        </w:rPr>
        <w:t>Resolución</w:t>
      </w:r>
      <w:r w:rsidRPr="00F9410F">
        <w:rPr>
          <w:lang w:val="es-ES" w:eastAsia="zh-CN"/>
        </w:rPr>
        <w:t xml:space="preserve"> 418 (</w:t>
      </w:r>
      <w:r w:rsidRPr="00F9410F">
        <w:rPr>
          <w:lang w:val="es-ES" w:eastAsia="ja-JP"/>
        </w:rPr>
        <w:t>Rev.</w:t>
      </w:r>
      <w:r w:rsidRPr="00F9410F">
        <w:rPr>
          <w:lang w:val="es-ES" w:eastAsia="zh-CN"/>
        </w:rPr>
        <w:t>CMR</w:t>
      </w:r>
      <w:r w:rsidRPr="00F9410F">
        <w:rPr>
          <w:lang w:val="es-ES" w:eastAsia="zh-CN"/>
        </w:rPr>
        <w:noBreakHyphen/>
      </w:r>
      <w:r w:rsidRPr="00F9410F">
        <w:rPr>
          <w:lang w:val="es-ES" w:eastAsia="ja-JP"/>
        </w:rPr>
        <w:t>12</w:t>
      </w:r>
      <w:r w:rsidRPr="00F9410F">
        <w:rPr>
          <w:lang w:val="es-ES" w:eastAsia="zh-CN"/>
        </w:rPr>
        <w:t>)</w:t>
      </w:r>
      <w:r w:rsidRPr="00F9410F">
        <w:rPr>
          <w:lang w:val="es-ES" w:eastAsia="ja-JP"/>
        </w:rPr>
        <w:t xml:space="preserve">: </w:t>
      </w:r>
      <w:r w:rsidRPr="00F9410F">
        <w:rPr>
          <w:lang w:val="es-ES"/>
        </w:rPr>
        <w:t>Utilización de la banda 5</w:t>
      </w:r>
      <w:r w:rsidR="00CB7217">
        <w:rPr>
          <w:lang w:val="es-ES"/>
        </w:rPr>
        <w:t> </w:t>
      </w:r>
      <w:r w:rsidRPr="00CB7217">
        <w:t>091</w:t>
      </w:r>
      <w:r w:rsidR="00CB7217">
        <w:rPr>
          <w:lang w:val="es-ES"/>
        </w:rPr>
        <w:noBreakHyphen/>
      </w:r>
      <w:r w:rsidRPr="00F9410F">
        <w:rPr>
          <w:lang w:val="es-ES"/>
        </w:rPr>
        <w:t>5</w:t>
      </w:r>
      <w:r w:rsidR="00CB7217">
        <w:rPr>
          <w:lang w:val="es-ES"/>
        </w:rPr>
        <w:t> </w:t>
      </w:r>
      <w:r w:rsidRPr="00F9410F">
        <w:rPr>
          <w:lang w:val="es-ES"/>
        </w:rPr>
        <w:t>250</w:t>
      </w:r>
      <w:r w:rsidR="00CB7217">
        <w:rPr>
          <w:lang w:val="es-ES"/>
        </w:rPr>
        <w:t> </w:t>
      </w:r>
      <w:r w:rsidRPr="00F9410F">
        <w:rPr>
          <w:lang w:val="es-ES"/>
        </w:rPr>
        <w:t>MHz por el servicio móvil aeronáutico para aplicaciones de telemedida</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F9410F" w:rsidRDefault="00C00643" w:rsidP="00CB7217">
            <w:pPr>
              <w:pStyle w:val="Call"/>
              <w:rPr>
                <w:rFonts w:eastAsia="SimSun"/>
                <w:sz w:val="20"/>
                <w:lang w:val="es-ES" w:eastAsia="zh-CN"/>
              </w:rPr>
            </w:pPr>
            <w:r w:rsidRPr="00CB7217">
              <w:rPr>
                <w:sz w:val="20"/>
                <w:lang w:val="es-ES"/>
              </w:rPr>
              <w:t>invita al UIT-</w:t>
            </w:r>
            <w:r w:rsidRPr="00F9410F">
              <w:rPr>
                <w:lang w:val="es-ES"/>
              </w:rPr>
              <w:t>R</w:t>
            </w:r>
          </w:p>
        </w:tc>
      </w:tr>
      <w:tr w:rsidR="00C00643" w:rsidRPr="00F9410F" w:rsidTr="002F1E53">
        <w:tc>
          <w:tcPr>
            <w:tcW w:w="9837" w:type="dxa"/>
          </w:tcPr>
          <w:p w:rsidR="00C00643" w:rsidRPr="00F27676" w:rsidRDefault="00C00643" w:rsidP="005C1411">
            <w:pPr>
              <w:rPr>
                <w:rFonts w:eastAsia="SimSun"/>
                <w:color w:val="000000"/>
                <w:sz w:val="20"/>
                <w:lang w:val="es-ES" w:eastAsia="zh-CN"/>
              </w:rPr>
            </w:pPr>
            <w:r w:rsidRPr="00F27676">
              <w:rPr>
                <w:sz w:val="20"/>
                <w:lang w:val="es-ES"/>
              </w:rPr>
              <w:t>a proseguir los estudios sobre las condiciones y modalidades establecidas en el observando a)</w:t>
            </w:r>
          </w:p>
        </w:tc>
      </w:tr>
    </w:tbl>
    <w:p w:rsidR="00C00643" w:rsidRPr="00F9410F" w:rsidRDefault="00C00643" w:rsidP="005C1411">
      <w:pPr>
        <w:rPr>
          <w:lang w:val="es-ES" w:eastAsia="ja-JP"/>
        </w:rPr>
      </w:pPr>
      <w:r w:rsidRPr="00F9410F">
        <w:rPr>
          <w:lang w:val="es-ES" w:eastAsia="ja-JP"/>
        </w:rPr>
        <w:t>Sobre este tema, se han llevado a cabo algunos estudios en relación con el punto 1.7 del orden del día de la CMR-15, incluida la revisión de la Recomendación UIT-R M.1827.</w:t>
      </w:r>
    </w:p>
    <w:p w:rsidR="005C1411" w:rsidRDefault="005C1411">
      <w:pPr>
        <w:tabs>
          <w:tab w:val="clear" w:pos="1134"/>
          <w:tab w:val="clear" w:pos="1871"/>
          <w:tab w:val="clear" w:pos="2268"/>
        </w:tabs>
        <w:overflowPunct/>
        <w:autoSpaceDE/>
        <w:autoSpaceDN/>
        <w:adjustRightInd/>
        <w:spacing w:before="0"/>
        <w:textAlignment w:val="auto"/>
        <w:rPr>
          <w:b/>
          <w:sz w:val="28"/>
          <w:lang w:val="es-ES" w:eastAsia="ja-JP"/>
        </w:rPr>
      </w:pPr>
      <w:r>
        <w:rPr>
          <w:lang w:val="es-ES" w:eastAsia="ja-JP"/>
        </w:rPr>
        <w:br w:type="page"/>
      </w:r>
    </w:p>
    <w:p w:rsidR="00C00643" w:rsidRPr="00F9410F" w:rsidRDefault="00C00643" w:rsidP="00C00643">
      <w:pPr>
        <w:pStyle w:val="Heading1"/>
        <w:rPr>
          <w:lang w:val="es-ES"/>
        </w:rPr>
      </w:pPr>
      <w:r w:rsidRPr="00F9410F">
        <w:rPr>
          <w:lang w:val="es-ES" w:eastAsia="ja-JP"/>
        </w:rPr>
        <w:lastRenderedPageBreak/>
        <w:t>11</w:t>
      </w:r>
      <w:r w:rsidRPr="00F9410F">
        <w:rPr>
          <w:lang w:val="es-ES" w:eastAsia="ja-JP"/>
        </w:rPr>
        <w:tab/>
      </w:r>
      <w:r w:rsidRPr="00F9410F">
        <w:rPr>
          <w:lang w:val="es-ES"/>
        </w:rPr>
        <w:t>Resolución 644 (Rev.CMR</w:t>
      </w:r>
      <w:r w:rsidRPr="00F9410F">
        <w:rPr>
          <w:lang w:val="es-ES"/>
        </w:rPr>
        <w:noBreakHyphen/>
      </w:r>
      <w:r w:rsidRPr="00F9410F">
        <w:rPr>
          <w:lang w:val="es-ES" w:eastAsia="ja-JP"/>
        </w:rPr>
        <w:t>12</w:t>
      </w:r>
      <w:r w:rsidRPr="00F9410F">
        <w:rPr>
          <w:lang w:val="es-ES"/>
        </w:rPr>
        <w:t>) – Recursos de radiocomunicaciones para la alerta temprana, la mitigación de los efectos de las catástrofes y las operaciones de socorro</w:t>
      </w:r>
    </w:p>
    <w:p w:rsidR="00C00643" w:rsidRPr="00F9410F" w:rsidRDefault="00C00643" w:rsidP="00C00643">
      <w:pPr>
        <w:spacing w:before="0"/>
        <w:rPr>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F9410F" w:rsidRDefault="00C00643" w:rsidP="002F1E53">
            <w:pPr>
              <w:pStyle w:val="Call"/>
              <w:rPr>
                <w:rFonts w:eastAsia="SimSun"/>
                <w:sz w:val="20"/>
                <w:lang w:val="es-ES" w:eastAsia="zh-CN"/>
              </w:rPr>
            </w:pPr>
            <w:r w:rsidRPr="00F9410F">
              <w:rPr>
                <w:rFonts w:eastAsia="SimSun"/>
                <w:sz w:val="20"/>
                <w:lang w:val="es-ES" w:eastAsia="zh-CN"/>
              </w:rPr>
              <w:t>resuelve</w:t>
            </w:r>
          </w:p>
        </w:tc>
      </w:tr>
      <w:tr w:rsidR="00C00643" w:rsidRPr="00F9410F" w:rsidTr="002F1E53">
        <w:tc>
          <w:tcPr>
            <w:tcW w:w="9837" w:type="dxa"/>
          </w:tcPr>
          <w:p w:rsidR="00C00643" w:rsidRPr="005C1411" w:rsidRDefault="00C00643" w:rsidP="005C1411">
            <w:pPr>
              <w:spacing w:before="60" w:after="120"/>
              <w:rPr>
                <w:sz w:val="20"/>
                <w:lang w:val="es-ES"/>
              </w:rPr>
            </w:pPr>
            <w:r w:rsidRPr="005C1411">
              <w:rPr>
                <w:sz w:val="20"/>
                <w:lang w:val="es-ES"/>
              </w:rPr>
              <w:t>1</w:t>
            </w:r>
            <w:r w:rsidR="005C1411" w:rsidRPr="005C1411">
              <w:rPr>
                <w:sz w:val="20"/>
                <w:lang w:val="es-ES"/>
              </w:rPr>
              <w:tab/>
            </w:r>
            <w:r w:rsidRPr="005C1411">
              <w:rPr>
                <w:sz w:val="20"/>
                <w:lang w:val="es-ES"/>
              </w:rPr>
              <w:t xml:space="preserve">que el Sector de Radiocomunicaciones de la UIT continúe estudiando, con carácter de urgencia, los aspectos de las radiocomunicaciones/TIC relacionados con la alerta temprana, la mitigación de los efectos de las catástrofes y las operaciones de socorro, tales como los medios de telecomunicaciones descentralizados, apropiados y generalmente disponibles, incluidos las instalaciones terrenales y satelitales de radioaficionados y los terminales de satélite móviles y portátiles, así como la utilización de sistemas de detección pasivos espaciales; </w:t>
            </w:r>
          </w:p>
          <w:p w:rsidR="00C00643" w:rsidRPr="00F9410F" w:rsidRDefault="00C00643" w:rsidP="005C1411">
            <w:pPr>
              <w:spacing w:before="60" w:after="120"/>
              <w:rPr>
                <w:rFonts w:eastAsia="SimSun"/>
                <w:color w:val="000000"/>
                <w:sz w:val="20"/>
                <w:lang w:val="es-ES" w:eastAsia="zh-CN"/>
              </w:rPr>
            </w:pPr>
            <w:r w:rsidRPr="005C1411">
              <w:rPr>
                <w:sz w:val="20"/>
                <w:lang w:val="es-ES"/>
              </w:rPr>
              <w:t>2</w:t>
            </w:r>
            <w:r w:rsidR="005C1411" w:rsidRPr="005C1411">
              <w:rPr>
                <w:sz w:val="20"/>
                <w:lang w:val="es-ES"/>
              </w:rPr>
              <w:tab/>
            </w:r>
            <w:r w:rsidRPr="005C1411">
              <w:rPr>
                <w:sz w:val="20"/>
                <w:lang w:val="es-ES"/>
              </w:rPr>
              <w:t>instar a las Comisiones de Estudio del UIT-R, teniendo en cuenta el alcance de los actuales estudios y actividades enumeradas en el Anexo a la Resolución UIT-R 55 a acelerar su trabajo, particularmente en lo referente a la predicción y detección de catástrofes, la mitigación de las consecuencias de las catástrofes y las operaciones de socorro.</w:t>
            </w:r>
          </w:p>
        </w:tc>
      </w:tr>
    </w:tbl>
    <w:p w:rsidR="00C00643" w:rsidRPr="005C1411" w:rsidRDefault="00C00643" w:rsidP="005C1411">
      <w:r w:rsidRPr="00F9410F">
        <w:rPr>
          <w:lang w:val="es-ES" w:eastAsia="ja-JP"/>
        </w:rPr>
        <w:t>A fin de apoyar los objetivos de esta Resolución, la Comisión de Estudio 5 ha llevado a cabo la labor solicitada en el marco de las Cuestiones UIT</w:t>
      </w:r>
      <w:r w:rsidRPr="00F9410F">
        <w:rPr>
          <w:bCs/>
          <w:lang w:val="es-ES" w:eastAsia="ja-JP"/>
        </w:rPr>
        <w:t xml:space="preserve"> -R 209/5 y UIT-R 248/5, que se han actualizado y que se examinarán durante el siguiente </w:t>
      </w:r>
      <w:r w:rsidR="00740256">
        <w:rPr>
          <w:bCs/>
          <w:lang w:val="es-ES" w:eastAsia="ja-JP"/>
        </w:rPr>
        <w:t>periodo</w:t>
      </w:r>
      <w:r w:rsidRPr="00F9410F">
        <w:rPr>
          <w:bCs/>
          <w:lang w:val="es-ES" w:eastAsia="ja-JP"/>
        </w:rPr>
        <w:t xml:space="preserve"> de estudios. En el presente ciclo de estudios, se ha elaborado, en el marco de la Cuestión UIT-R 248/5, la Recomendación UIT-R F.</w:t>
      </w:r>
      <w:r w:rsidRPr="005C1411">
        <w:t xml:space="preserve">1105 </w:t>
      </w:r>
      <w:r w:rsidR="00FE0686" w:rsidRPr="005C1411">
        <w:t>«</w:t>
      </w:r>
      <w:r w:rsidRPr="005C1411">
        <w:t>Equipo transportable de radiocomunicaciones fijas para operaciones de socorro</w:t>
      </w:r>
      <w:r w:rsidR="00FE0686" w:rsidRPr="005C1411">
        <w:t>»</w:t>
      </w:r>
      <w:r w:rsidRPr="005C1411">
        <w:t>.</w:t>
      </w:r>
    </w:p>
    <w:p w:rsidR="00C00643" w:rsidRPr="00F9410F" w:rsidRDefault="00C00643" w:rsidP="005C1411">
      <w:pPr>
        <w:rPr>
          <w:bCs/>
          <w:lang w:val="es-ES" w:eastAsia="ja-JP"/>
        </w:rPr>
      </w:pPr>
      <w:r w:rsidRPr="00F9410F">
        <w:rPr>
          <w:bCs/>
          <w:lang w:val="es-ES" w:eastAsia="ja-JP"/>
        </w:rPr>
        <w:t xml:space="preserve">En relación también con los sistemas de las IMT, se ha elaborado el Informe UIT-R M.2291 (véase el 4.4.3). Además, conviene señalar que distintas organizaciones externas han desarrollado especificaciones de interfaces radioeléctricas para apoyar la </w:t>
      </w:r>
      <w:r w:rsidRPr="00F9410F">
        <w:rPr>
          <w:lang w:val="es-ES"/>
        </w:rPr>
        <w:t>alerta temprana, la mitigación de catástrofes y las operaciones de socorro, que se han incluido en las nuevas versiones de las Recomendaciones UIT</w:t>
      </w:r>
      <w:r w:rsidRPr="00F9410F">
        <w:rPr>
          <w:bCs/>
          <w:lang w:val="es-ES" w:eastAsia="ja-JP"/>
        </w:rPr>
        <w:t>-R M.1457 y UIT-R M.2012.</w:t>
      </w:r>
    </w:p>
    <w:p w:rsidR="00C00643" w:rsidRPr="00F9410F" w:rsidRDefault="008777FE" w:rsidP="008777FE">
      <w:pPr>
        <w:pStyle w:val="Heading1"/>
        <w:rPr>
          <w:lang w:val="es-ES" w:eastAsia="ja-JP"/>
        </w:rPr>
      </w:pPr>
      <w:r>
        <w:rPr>
          <w:lang w:val="es-ES" w:eastAsia="ja-JP"/>
        </w:rPr>
        <w:t>12</w:t>
      </w:r>
      <w:r w:rsidR="00C00643" w:rsidRPr="00F9410F">
        <w:rPr>
          <w:lang w:val="es-ES" w:eastAsia="ja-JP"/>
        </w:rPr>
        <w:tab/>
      </w:r>
      <w:r w:rsidR="00C00643" w:rsidRPr="00F9410F">
        <w:rPr>
          <w:lang w:val="es-ES"/>
        </w:rPr>
        <w:t>Resolución 703 (</w:t>
      </w:r>
      <w:r w:rsidR="00C00643" w:rsidRPr="00F9410F">
        <w:rPr>
          <w:lang w:val="es-ES" w:eastAsia="ja-JP"/>
        </w:rPr>
        <w:t>Rev.</w:t>
      </w:r>
      <w:r w:rsidR="00C00643" w:rsidRPr="00F9410F">
        <w:rPr>
          <w:lang w:val="es-ES"/>
        </w:rPr>
        <w:t>CMR</w:t>
      </w:r>
      <w:r w:rsidR="00C00643" w:rsidRPr="00F9410F">
        <w:rPr>
          <w:lang w:val="es-ES"/>
        </w:rPr>
        <w:noBreakHyphen/>
        <w:t>07) – Métodos de cálculo y criterios de interferencia recomendados por el UIT-R para la compartición de bandas de frecuencias entre los servicios de radiocomunicación espacial y los servicios de radiocomunicación terrenal o entre servicios de radiocomunicación espacial</w:t>
      </w:r>
    </w:p>
    <w:p w:rsidR="00C00643" w:rsidRPr="00F9410F" w:rsidRDefault="00C00643" w:rsidP="00C00643">
      <w:pPr>
        <w:rPr>
          <w:lang w:val="es-ES" w:eastAsia="ja-JP"/>
        </w:rPr>
      </w:pPr>
    </w:p>
    <w:tbl>
      <w:tblPr>
        <w:tblW w:w="9796"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bottom w:w="15" w:type="dxa"/>
        </w:tblCellMar>
        <w:tblLook w:val="0000" w:firstRow="0" w:lastRow="0" w:firstColumn="0" w:lastColumn="0" w:noHBand="0" w:noVBand="0"/>
      </w:tblPr>
      <w:tblGrid>
        <w:gridCol w:w="9796"/>
      </w:tblGrid>
      <w:tr w:rsidR="00C00643" w:rsidRPr="00F9410F" w:rsidTr="008777FE">
        <w:trPr>
          <w:cantSplit/>
          <w:tblCellSpacing w:w="0" w:type="dxa"/>
          <w:jc w:val="center"/>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F27676" w:rsidRDefault="00C00643" w:rsidP="008777FE">
            <w:pPr>
              <w:pStyle w:val="Call"/>
              <w:rPr>
                <w:sz w:val="20"/>
                <w:lang w:val="es-ES" w:eastAsia="ja-JP"/>
              </w:rPr>
            </w:pPr>
            <w:r w:rsidRPr="00F27676">
              <w:rPr>
                <w:sz w:val="20"/>
                <w:lang w:val="es-ES" w:eastAsia="ja-JP"/>
              </w:rPr>
              <w:t>resuelve</w:t>
            </w:r>
            <w:r w:rsidRPr="00F27676">
              <w:rPr>
                <w:sz w:val="20"/>
                <w:lang w:val="es-ES"/>
              </w:rPr>
              <w:t xml:space="preserve"> </w:t>
            </w:r>
          </w:p>
        </w:tc>
      </w:tr>
      <w:tr w:rsidR="00C00643" w:rsidRPr="00F9410F" w:rsidTr="008777FE">
        <w:trPr>
          <w:cantSplit/>
          <w:tblCellSpacing w:w="0" w:type="dxa"/>
          <w:jc w:val="center"/>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F9410F" w:rsidRDefault="00C00643" w:rsidP="002F1E53">
            <w:pPr>
              <w:tabs>
                <w:tab w:val="clear" w:pos="1134"/>
                <w:tab w:val="clear" w:pos="1871"/>
                <w:tab w:val="clear" w:pos="2268"/>
                <w:tab w:val="left" w:pos="1096"/>
                <w:tab w:val="left" w:pos="1191"/>
                <w:tab w:val="left" w:pos="1588"/>
                <w:tab w:val="left" w:pos="1985"/>
              </w:tabs>
              <w:overflowPunct/>
              <w:autoSpaceDE/>
              <w:autoSpaceDN/>
              <w:adjustRightInd/>
              <w:spacing w:beforeLines="50"/>
              <w:textAlignment w:val="auto"/>
              <w:rPr>
                <w:rFonts w:eastAsia="SimSun"/>
                <w:sz w:val="20"/>
                <w:lang w:val="es-ES" w:eastAsia="zh-CN"/>
              </w:rPr>
            </w:pPr>
            <w:r w:rsidRPr="00F9410F">
              <w:rPr>
                <w:rFonts w:eastAsia="SimSun"/>
                <w:color w:val="000000" w:themeColor="text1"/>
                <w:sz w:val="20"/>
                <w:lang w:val="es-ES" w:eastAsia="zh-CN"/>
              </w:rPr>
              <w:t>1</w:t>
            </w:r>
            <w:r w:rsidRPr="008777FE">
              <w:rPr>
                <w:sz w:val="20"/>
                <w:lang w:val="es-ES"/>
              </w:rPr>
              <w:tab/>
              <w:t>que el Director de la Oficina de Radiocomunicaciones, de acuerdo con los Presidentes de las Comisiones de Estudio, prepare anualmente una lista en la que se indiquen las nuevas Recomendaciones UIT-R aprobadas, que resulten pertinentes a efectos de la compartición entre los servicios de radiocomunicación espacial y terrenal o entre los servicios de radiocomunicación espacial;</w:t>
            </w:r>
          </w:p>
        </w:tc>
      </w:tr>
    </w:tbl>
    <w:p w:rsidR="00C00643" w:rsidRPr="00F9410F" w:rsidRDefault="00C00643" w:rsidP="008777FE">
      <w:pPr>
        <w:rPr>
          <w:color w:val="000000" w:themeColor="text1"/>
          <w:lang w:val="es-ES" w:eastAsia="ja-JP"/>
        </w:rPr>
      </w:pPr>
      <w:r w:rsidRPr="00F9410F">
        <w:rPr>
          <w:lang w:val="es-ES" w:eastAsia="ja-JP"/>
        </w:rPr>
        <w:t xml:space="preserve">En relación con la compartición entre los servicios de radiocomunicación espacial y el servicio fijo, la Comisión de Estudio </w:t>
      </w:r>
      <w:r w:rsidRPr="00F9410F">
        <w:rPr>
          <w:color w:val="000000" w:themeColor="text1"/>
          <w:lang w:val="es-ES" w:eastAsia="ja-JP"/>
        </w:rPr>
        <w:t>5 ha revisado las Recomendaciones siguientes, cada una de ellas en dos ocasiones, en 2012 y 2015 respectivamente:</w:t>
      </w:r>
    </w:p>
    <w:p w:rsidR="00C00643" w:rsidRPr="008777FE" w:rsidRDefault="00C00643" w:rsidP="008777FE">
      <w:pPr>
        <w:pStyle w:val="enumlev1"/>
      </w:pPr>
      <w:r w:rsidRPr="008777FE">
        <w:t>−</w:t>
      </w:r>
      <w:r w:rsidRPr="008777FE">
        <w:tab/>
        <w:t xml:space="preserve">Recomendación UIT-R F.1247 </w:t>
      </w:r>
      <w:r w:rsidR="00FE0686" w:rsidRPr="008777FE">
        <w:t>«</w:t>
      </w:r>
      <w:r w:rsidRPr="008777FE">
        <w:t>Características técnicas y operacionales de los sistemas del servicio fijo para facilitar la compartición con los servicios de investigación espacial, operaciones espaciales y exploración de la Tierra por satélite que funcionan en las bandas 2 025-2 110 MHz y 2 200-2 290 MHz</w:t>
      </w:r>
      <w:r w:rsidR="00FE0686" w:rsidRPr="008777FE">
        <w:t>»</w:t>
      </w:r>
      <w:r w:rsidRPr="008777FE">
        <w:t>;</w:t>
      </w:r>
    </w:p>
    <w:p w:rsidR="00C00643" w:rsidRPr="008777FE" w:rsidRDefault="00C00643" w:rsidP="008777FE">
      <w:pPr>
        <w:pStyle w:val="enumlev1"/>
      </w:pPr>
      <w:r w:rsidRPr="008777FE">
        <w:t>−</w:t>
      </w:r>
      <w:r w:rsidRPr="008777FE">
        <w:tab/>
        <w:t xml:space="preserve">Recomendación UIT-R F.1249 </w:t>
      </w:r>
      <w:r w:rsidR="00FE0686" w:rsidRPr="008777FE">
        <w:t>«</w:t>
      </w:r>
      <w:r w:rsidRPr="008777FE">
        <w:t>Requisitos técnicos y de explotación que facilitan la compartición entre los sistemas inalámbricos punto a punto del servicio fijo y el servicio entre satélites en la banda 25,25-27,5 GHz</w:t>
      </w:r>
      <w:r w:rsidR="00FE0686" w:rsidRPr="008777FE">
        <w:t>»</w:t>
      </w:r>
      <w:r w:rsidRPr="008777FE">
        <w:t>;</w:t>
      </w:r>
    </w:p>
    <w:p w:rsidR="00C00643" w:rsidRPr="008777FE" w:rsidRDefault="00C00643" w:rsidP="008777FE">
      <w:pPr>
        <w:pStyle w:val="enumlev1"/>
      </w:pPr>
      <w:r w:rsidRPr="008777FE">
        <w:lastRenderedPageBreak/>
        <w:t>−</w:t>
      </w:r>
      <w:r w:rsidRPr="008777FE">
        <w:tab/>
        <w:t xml:space="preserve">Recomendación UIT-R F.1509 </w:t>
      </w:r>
      <w:r w:rsidR="00FE0686" w:rsidRPr="008777FE">
        <w:t>«</w:t>
      </w:r>
      <w:r w:rsidRPr="008777FE">
        <w:t>Requisitos técnicos y de explotación que facilitan la compartición entre los sistemas punto a multipunto del servicio fijo y el servicio entre satélites en la banda 25,25-27,5 GHz</w:t>
      </w:r>
      <w:r w:rsidR="00FE0686" w:rsidRPr="008777FE">
        <w:t>»</w:t>
      </w:r>
      <w:r w:rsidRPr="008777FE">
        <w:t>.</w:t>
      </w:r>
    </w:p>
    <w:p w:rsidR="00C00643" w:rsidRPr="00F9410F" w:rsidRDefault="00C00643" w:rsidP="00C00643">
      <w:pPr>
        <w:pStyle w:val="Heading1"/>
        <w:rPr>
          <w:lang w:val="es-ES" w:eastAsia="zh-CN"/>
        </w:rPr>
      </w:pPr>
      <w:r w:rsidRPr="00F9410F">
        <w:rPr>
          <w:szCs w:val="24"/>
          <w:lang w:val="es-ES" w:eastAsia="ja-JP"/>
        </w:rPr>
        <w:t>13</w:t>
      </w:r>
      <w:r w:rsidRPr="00F9410F">
        <w:rPr>
          <w:szCs w:val="24"/>
          <w:lang w:val="es-ES" w:eastAsia="ja-JP"/>
        </w:rPr>
        <w:tab/>
      </w:r>
      <w:r w:rsidRPr="00F9410F">
        <w:rPr>
          <w:lang w:val="es-ES" w:eastAsia="zh-CN"/>
        </w:rPr>
        <w:t>Resolución 748 (</w:t>
      </w:r>
      <w:r w:rsidRPr="00F9410F">
        <w:rPr>
          <w:lang w:val="es-ES" w:eastAsia="ja-JP"/>
        </w:rPr>
        <w:t>Rev.</w:t>
      </w:r>
      <w:r w:rsidRPr="00F9410F">
        <w:rPr>
          <w:lang w:val="es-ES" w:eastAsia="zh-CN"/>
        </w:rPr>
        <w:t>CMR-</w:t>
      </w:r>
      <w:r w:rsidRPr="00F9410F">
        <w:rPr>
          <w:lang w:val="es-ES" w:eastAsia="ja-JP"/>
        </w:rPr>
        <w:t>12</w:t>
      </w:r>
      <w:r w:rsidRPr="00F9410F">
        <w:rPr>
          <w:lang w:val="es-ES" w:eastAsia="zh-CN"/>
        </w:rPr>
        <w:t>)</w:t>
      </w:r>
      <w:r w:rsidRPr="00F9410F">
        <w:rPr>
          <w:lang w:val="es-ES" w:eastAsia="ja-JP"/>
        </w:rPr>
        <w:t xml:space="preserve">: </w:t>
      </w:r>
      <w:r w:rsidRPr="00F9410F">
        <w:rPr>
          <w:lang w:val="es-ES"/>
        </w:rPr>
        <w:t>Compatibilidad entre el servicio móvil aeronáutico (R) y el servicio fijo por satélite (Tierra-espacio) en la banda 5091-5150 MHz</w:t>
      </w:r>
    </w:p>
    <w:p w:rsidR="00C00643" w:rsidRPr="00F9410F" w:rsidRDefault="00C00643" w:rsidP="00C00643">
      <w:pPr>
        <w:spacing w:before="0"/>
        <w:rPr>
          <w:lang w:val="es-ES" w:eastAsia="zh-CN"/>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9796"/>
      </w:tblGrid>
      <w:tr w:rsidR="00C00643" w:rsidRPr="00F9410F" w:rsidTr="002F1E53">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00643" w:rsidRPr="00F9410F" w:rsidRDefault="00C00643" w:rsidP="002F1E53">
            <w:pPr>
              <w:pStyle w:val="Call"/>
              <w:rPr>
                <w:lang w:val="es-ES" w:eastAsia="ja-JP"/>
              </w:rPr>
            </w:pPr>
            <w:r w:rsidRPr="00F9410F">
              <w:rPr>
                <w:rFonts w:eastAsia="SimSun"/>
                <w:sz w:val="20"/>
                <w:szCs w:val="16"/>
                <w:lang w:val="es-ES" w:eastAsia="zh-CN"/>
              </w:rPr>
              <w:t>invita</w:t>
            </w:r>
          </w:p>
        </w:tc>
      </w:tr>
      <w:tr w:rsidR="00C00643" w:rsidRPr="00F9410F" w:rsidTr="002F1E53">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hideMark/>
          </w:tcPr>
          <w:p w:rsidR="00C00643" w:rsidRPr="008777FE" w:rsidRDefault="00C00643" w:rsidP="002F1E53">
            <w:pPr>
              <w:rPr>
                <w:rFonts w:eastAsia="SimSun"/>
                <w:sz w:val="20"/>
                <w:lang w:val="es-ES" w:eastAsia="zh-CN"/>
              </w:rPr>
            </w:pPr>
            <w:r w:rsidRPr="008777FE">
              <w:rPr>
                <w:rFonts w:eastAsia="SimSun"/>
                <w:sz w:val="20"/>
                <w:lang w:val="es-ES" w:eastAsia="zh-CN"/>
              </w:rPr>
              <w:t>1</w:t>
            </w:r>
            <w:r w:rsidRPr="008777FE">
              <w:rPr>
                <w:rFonts w:eastAsia="SimSun"/>
                <w:sz w:val="20"/>
                <w:lang w:val="es-ES" w:eastAsia="zh-CN"/>
              </w:rPr>
              <w:tab/>
            </w:r>
            <w:r w:rsidRPr="008777FE">
              <w:rPr>
                <w:sz w:val="20"/>
                <w:lang w:val="es-ES"/>
              </w:rPr>
              <w:t>a las administraciones a facilitar los criterios técnicos y operativos necesarios para los estudios de compartición del SMA(R), y a participar activamente en dichos estudios</w:t>
            </w:r>
          </w:p>
        </w:tc>
      </w:tr>
    </w:tbl>
    <w:p w:rsidR="00C00643" w:rsidRPr="00F9410F" w:rsidRDefault="00C00643" w:rsidP="00EB1851">
      <w:pPr>
        <w:rPr>
          <w:bCs/>
          <w:szCs w:val="24"/>
          <w:lang w:val="es-ES" w:eastAsia="ja-JP"/>
        </w:rPr>
      </w:pPr>
      <w:r w:rsidRPr="00F9410F">
        <w:rPr>
          <w:bCs/>
          <w:szCs w:val="24"/>
          <w:lang w:val="es-ES" w:eastAsia="ja-JP"/>
        </w:rPr>
        <w:t>En relación con este tema, la Comisión de Estudio 5 elaboró una nueva versión de la Recomendación UIT-R M.1827 (</w:t>
      </w:r>
      <w:r w:rsidRPr="00F9410F">
        <w:rPr>
          <w:shd w:val="clear" w:color="auto" w:fill="FFFFFF"/>
          <w:lang w:val="es-ES"/>
        </w:rPr>
        <w:t>Requisitos técnicos y operacionales de las estaciones del servicio móvil aeronáutico (R) limitado a las aplicaciones de superficie en aeropuertos, y para estaciones del servicio móvil aeronáutico limitado a las aplicaciones de seguridad aeronáutica (SA) en la banda 5</w:t>
      </w:r>
      <w:r w:rsidR="008777FE">
        <w:rPr>
          <w:shd w:val="clear" w:color="auto" w:fill="FFFFFF"/>
          <w:lang w:val="es-ES"/>
        </w:rPr>
        <w:t> </w:t>
      </w:r>
      <w:r w:rsidRPr="00F9410F">
        <w:rPr>
          <w:shd w:val="clear" w:color="auto" w:fill="FFFFFF"/>
          <w:lang w:val="es-ES"/>
        </w:rPr>
        <w:t>091-5 150 MHz</w:t>
      </w:r>
      <w:r w:rsidRPr="00F9410F">
        <w:rPr>
          <w:lang w:val="es-ES"/>
        </w:rPr>
        <w:t xml:space="preserve">) durante el presente ciclo de estudios (véase también el texto referido a la Resolución </w:t>
      </w:r>
      <w:r w:rsidRPr="00F9410F">
        <w:rPr>
          <w:b/>
          <w:bCs/>
          <w:szCs w:val="24"/>
          <w:lang w:val="es-ES" w:eastAsia="ja-JP"/>
        </w:rPr>
        <w:t>418 (Rev.CMR-12)</w:t>
      </w:r>
      <w:r w:rsidRPr="00F9410F">
        <w:rPr>
          <w:bCs/>
          <w:szCs w:val="24"/>
          <w:lang w:val="es-ES" w:eastAsia="ja-JP"/>
        </w:rPr>
        <w:t>).</w:t>
      </w:r>
    </w:p>
    <w:p w:rsidR="00C00643" w:rsidRPr="00F9410F" w:rsidRDefault="00C00643" w:rsidP="00C00643">
      <w:pPr>
        <w:pStyle w:val="Heading1"/>
        <w:rPr>
          <w:lang w:val="es-ES"/>
        </w:rPr>
      </w:pPr>
      <w:r w:rsidRPr="00F9410F">
        <w:rPr>
          <w:bCs/>
          <w:color w:val="000000"/>
          <w:lang w:val="es-ES" w:eastAsia="ja-JP"/>
        </w:rPr>
        <w:t>14</w:t>
      </w:r>
      <w:r w:rsidRPr="00F9410F">
        <w:rPr>
          <w:bCs/>
          <w:color w:val="000000"/>
          <w:lang w:val="es-ES" w:eastAsia="ja-JP"/>
        </w:rPr>
        <w:tab/>
      </w:r>
      <w:r w:rsidRPr="00F9410F">
        <w:rPr>
          <w:rFonts w:eastAsia="SimSun"/>
          <w:bCs/>
          <w:color w:val="000000"/>
          <w:lang w:val="es-ES" w:eastAsia="zh-CN"/>
        </w:rPr>
        <w:t xml:space="preserve">Recomendación </w:t>
      </w:r>
      <w:r w:rsidRPr="00F9410F">
        <w:rPr>
          <w:bCs/>
          <w:color w:val="000000"/>
          <w:lang w:val="es-ES" w:eastAsia="ja-JP"/>
        </w:rPr>
        <w:t>76</w:t>
      </w:r>
      <w:r w:rsidRPr="00F9410F">
        <w:rPr>
          <w:rFonts w:eastAsia="SimSun"/>
          <w:bCs/>
          <w:color w:val="000000"/>
          <w:lang w:val="es-ES" w:eastAsia="zh-CN"/>
        </w:rPr>
        <w:t xml:space="preserve"> (CMR-</w:t>
      </w:r>
      <w:r w:rsidRPr="00F9410F">
        <w:rPr>
          <w:bCs/>
          <w:color w:val="000000"/>
          <w:lang w:val="es-ES" w:eastAsia="ja-JP"/>
        </w:rPr>
        <w:t>12</w:t>
      </w:r>
      <w:r w:rsidRPr="00F9410F">
        <w:rPr>
          <w:rFonts w:eastAsia="SimSun"/>
          <w:bCs/>
          <w:color w:val="000000"/>
          <w:lang w:val="es-ES" w:eastAsia="zh-CN"/>
        </w:rPr>
        <w:t>)</w:t>
      </w:r>
      <w:r w:rsidRPr="00F9410F">
        <w:rPr>
          <w:bCs/>
          <w:color w:val="000000"/>
          <w:lang w:val="es-ES" w:eastAsia="ja-JP"/>
        </w:rPr>
        <w:t xml:space="preserve">: </w:t>
      </w:r>
      <w:r w:rsidRPr="00F9410F">
        <w:rPr>
          <w:lang w:val="es-ES"/>
        </w:rPr>
        <w:t>Instalación y utilización de sistemas de radiocomunicaciones inteligentes</w:t>
      </w:r>
    </w:p>
    <w:p w:rsidR="00C00643" w:rsidRPr="00F9410F" w:rsidRDefault="00C00643" w:rsidP="00C00643">
      <w:pPr>
        <w:rPr>
          <w:lang w:val="es-ES"/>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bottom w:w="15" w:type="dxa"/>
        </w:tblCellMar>
        <w:tblLook w:val="0000" w:firstRow="0" w:lastRow="0" w:firstColumn="0" w:lastColumn="0" w:noHBand="0" w:noVBand="0"/>
      </w:tblPr>
      <w:tblGrid>
        <w:gridCol w:w="9796"/>
      </w:tblGrid>
      <w:tr w:rsidR="00C00643" w:rsidRPr="00F9410F" w:rsidTr="008777FE">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EB1851" w:rsidRDefault="00C00643" w:rsidP="008777FE">
            <w:pPr>
              <w:pStyle w:val="Call"/>
              <w:rPr>
                <w:sz w:val="20"/>
                <w:lang w:val="es-ES" w:eastAsia="ja-JP"/>
              </w:rPr>
            </w:pPr>
            <w:r w:rsidRPr="00EB1851">
              <w:rPr>
                <w:sz w:val="20"/>
                <w:lang w:val="es-ES" w:eastAsia="ja-JP"/>
              </w:rPr>
              <w:t>recomienda</w:t>
            </w:r>
          </w:p>
        </w:tc>
      </w:tr>
      <w:tr w:rsidR="00C00643" w:rsidRPr="00F9410F" w:rsidTr="008777FE">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EB1851" w:rsidRDefault="00C00643" w:rsidP="002F1E53">
            <w:pPr>
              <w:tabs>
                <w:tab w:val="clear" w:pos="1134"/>
                <w:tab w:val="clear" w:pos="1871"/>
                <w:tab w:val="clear" w:pos="2268"/>
                <w:tab w:val="left" w:pos="794"/>
                <w:tab w:val="left" w:pos="1191"/>
                <w:tab w:val="left" w:pos="1588"/>
                <w:tab w:val="left" w:pos="1985"/>
              </w:tabs>
              <w:overflowPunct/>
              <w:autoSpaceDE/>
              <w:autoSpaceDN/>
              <w:adjustRightInd/>
              <w:spacing w:beforeLines="50"/>
              <w:textAlignment w:val="auto"/>
              <w:rPr>
                <w:rFonts w:eastAsia="SimSun"/>
                <w:sz w:val="20"/>
                <w:lang w:val="es-ES" w:eastAsia="zh-CN"/>
              </w:rPr>
            </w:pPr>
            <w:r w:rsidRPr="00EB1851">
              <w:rPr>
                <w:sz w:val="20"/>
                <w:lang w:val="es-ES"/>
              </w:rPr>
              <w:t xml:space="preserve">a las administraciones que participen activamente en los estudios del UIT-R que se lleven a cabo con arreglo a la Resolución UIT-R 58 teniendo en cuenta los </w:t>
            </w:r>
            <w:r w:rsidRPr="00EB1851">
              <w:rPr>
                <w:i/>
                <w:iCs/>
                <w:sz w:val="20"/>
                <w:lang w:val="es-ES"/>
              </w:rPr>
              <w:t>reconociendo a)</w:t>
            </w:r>
            <w:r w:rsidRPr="00EB1851">
              <w:rPr>
                <w:sz w:val="20"/>
                <w:lang w:val="es-ES"/>
              </w:rPr>
              <w:t xml:space="preserve"> y </w:t>
            </w:r>
            <w:r w:rsidRPr="00EB1851">
              <w:rPr>
                <w:i/>
                <w:iCs/>
                <w:sz w:val="20"/>
                <w:lang w:val="es-ES"/>
              </w:rPr>
              <w:t>b)</w:t>
            </w:r>
            <w:r w:rsidRPr="00EB1851">
              <w:rPr>
                <w:color w:val="000000" w:themeColor="text1"/>
                <w:sz w:val="20"/>
                <w:lang w:val="es-ES"/>
              </w:rPr>
              <w:t>.</w:t>
            </w:r>
          </w:p>
        </w:tc>
      </w:tr>
    </w:tbl>
    <w:p w:rsidR="00C00643" w:rsidRPr="00F9410F" w:rsidRDefault="00C00643" w:rsidP="00F27676">
      <w:pPr>
        <w:tabs>
          <w:tab w:val="clear" w:pos="1134"/>
          <w:tab w:val="clear" w:pos="1871"/>
          <w:tab w:val="clear" w:pos="2268"/>
        </w:tabs>
        <w:overflowPunct/>
        <w:autoSpaceDE/>
        <w:autoSpaceDN/>
        <w:adjustRightInd/>
        <w:spacing w:beforeLines="100" w:before="240"/>
        <w:textAlignment w:val="auto"/>
        <w:rPr>
          <w:lang w:val="es-ES" w:eastAsia="ja-JP"/>
        </w:rPr>
      </w:pPr>
      <w:r w:rsidRPr="00F9410F">
        <w:rPr>
          <w:lang w:val="es-ES"/>
        </w:rPr>
        <w:t>De acuerdo con esta Recomendación, la Comisión de Estudio 5 ha seguido adelante con su labor sobre sistemas de radiocomunicaciones inteligentes en el marco de la Cuestión UIT</w:t>
      </w:r>
      <w:r w:rsidRPr="00F9410F">
        <w:rPr>
          <w:szCs w:val="24"/>
          <w:lang w:val="es-ES"/>
        </w:rPr>
        <w:t xml:space="preserve">-R </w:t>
      </w:r>
      <w:r w:rsidRPr="00F9410F">
        <w:rPr>
          <w:bCs/>
          <w:szCs w:val="24"/>
          <w:bdr w:val="none" w:sz="0" w:space="0" w:color="auto" w:frame="1"/>
          <w:shd w:val="clear" w:color="auto" w:fill="FFFFFF"/>
          <w:lang w:val="es-ES"/>
        </w:rPr>
        <w:t>241-2/5,</w:t>
      </w:r>
      <w:r w:rsidRPr="00F9410F">
        <w:rPr>
          <w:bCs/>
          <w:szCs w:val="24"/>
          <w:bdr w:val="none" w:sz="0" w:space="0" w:color="auto" w:frame="1"/>
          <w:shd w:val="clear" w:color="auto" w:fill="FFFFFF"/>
          <w:lang w:val="es-ES" w:eastAsia="ja-JP"/>
        </w:rPr>
        <w:t xml:space="preserve"> y durante el presente per</w:t>
      </w:r>
      <w:r w:rsidR="00F27676">
        <w:rPr>
          <w:bCs/>
          <w:szCs w:val="24"/>
          <w:bdr w:val="none" w:sz="0" w:space="0" w:color="auto" w:frame="1"/>
          <w:shd w:val="clear" w:color="auto" w:fill="FFFFFF"/>
          <w:lang w:val="es-ES" w:eastAsia="ja-JP"/>
        </w:rPr>
        <w:t>i</w:t>
      </w:r>
      <w:r w:rsidRPr="00F9410F">
        <w:rPr>
          <w:bCs/>
          <w:szCs w:val="24"/>
          <w:bdr w:val="none" w:sz="0" w:space="0" w:color="auto" w:frame="1"/>
          <w:shd w:val="clear" w:color="auto" w:fill="FFFFFF"/>
          <w:lang w:val="es-ES" w:eastAsia="ja-JP"/>
        </w:rPr>
        <w:t>odo de estudios ha elaborado el Informe UIT</w:t>
      </w:r>
      <w:r w:rsidRPr="00F9410F">
        <w:rPr>
          <w:szCs w:val="24"/>
          <w:lang w:val="es-ES"/>
        </w:rPr>
        <w:t xml:space="preserve">-R </w:t>
      </w:r>
      <w:hyperlink r:id="rId48" w:history="1">
        <w:r w:rsidRPr="00F9410F">
          <w:rPr>
            <w:bCs/>
            <w:szCs w:val="24"/>
            <w:bdr w:val="none" w:sz="0" w:space="0" w:color="auto" w:frame="1"/>
            <w:lang w:val="es-ES"/>
          </w:rPr>
          <w:t>M.2330</w:t>
        </w:r>
      </w:hyperlink>
      <w:r w:rsidRPr="00F9410F">
        <w:rPr>
          <w:bCs/>
          <w:szCs w:val="24"/>
          <w:bdr w:val="none" w:sz="0" w:space="0" w:color="auto" w:frame="1"/>
          <w:lang w:val="es-ES"/>
        </w:rPr>
        <w:t xml:space="preserve"> </w:t>
      </w:r>
      <w:r w:rsidRPr="00F9410F">
        <w:rPr>
          <w:lang w:val="es-ES"/>
        </w:rPr>
        <w:t>sobre sistemas de radiocomunicaciones inteligentes (CRS) en el servicio móvil terrestre</w:t>
      </w:r>
      <w:r w:rsidRPr="00F9410F">
        <w:rPr>
          <w:szCs w:val="24"/>
          <w:lang w:val="es-ES" w:eastAsia="ja-JP"/>
        </w:rPr>
        <w:t>.</w:t>
      </w:r>
    </w:p>
    <w:p w:rsidR="00C00643" w:rsidRPr="00F9410F" w:rsidRDefault="00C00643" w:rsidP="008777FE">
      <w:pPr>
        <w:pStyle w:val="Heading1"/>
        <w:rPr>
          <w:lang w:val="es-ES" w:eastAsia="ja-JP"/>
        </w:rPr>
      </w:pPr>
      <w:r w:rsidRPr="00F9410F">
        <w:rPr>
          <w:color w:val="000000"/>
          <w:lang w:val="es-ES" w:eastAsia="ja-JP"/>
        </w:rPr>
        <w:t>15</w:t>
      </w:r>
      <w:r w:rsidRPr="00F9410F">
        <w:rPr>
          <w:color w:val="000000"/>
          <w:lang w:val="es-ES" w:eastAsia="ja-JP"/>
        </w:rPr>
        <w:tab/>
      </w:r>
      <w:r w:rsidRPr="00F9410F">
        <w:rPr>
          <w:rFonts w:eastAsia="SimSun"/>
          <w:lang w:val="es-ES" w:eastAsia="zh-CN"/>
        </w:rPr>
        <w:t>Recomendación 206 (CMR-</w:t>
      </w:r>
      <w:r w:rsidRPr="00F9410F">
        <w:rPr>
          <w:lang w:val="es-ES" w:eastAsia="ja-JP"/>
        </w:rPr>
        <w:t>12</w:t>
      </w:r>
      <w:r w:rsidRPr="00F9410F">
        <w:rPr>
          <w:rFonts w:eastAsia="SimSun"/>
          <w:lang w:val="es-ES" w:eastAsia="zh-CN"/>
        </w:rPr>
        <w:t>)</w:t>
      </w:r>
      <w:r w:rsidRPr="00F9410F">
        <w:rPr>
          <w:lang w:val="es-ES" w:eastAsia="ja-JP"/>
        </w:rPr>
        <w:t xml:space="preserve">: </w:t>
      </w:r>
      <w:r w:rsidRPr="00F9410F">
        <w:rPr>
          <w:lang w:val="es-ES"/>
        </w:rPr>
        <w:t>Estudios sobre la posible utilización de sistemas integrados del servicio móvil por satélite y de la componente terrenal en las bandas 1 525-1 544 MHz, 1 545-1 559 MHz, 1</w:t>
      </w:r>
      <w:r w:rsidR="008777FE">
        <w:rPr>
          <w:lang w:val="es-ES"/>
        </w:rPr>
        <w:t> </w:t>
      </w:r>
      <w:r w:rsidRPr="00F9410F">
        <w:rPr>
          <w:lang w:val="es-ES"/>
        </w:rPr>
        <w:t>626,5</w:t>
      </w:r>
      <w:r w:rsidR="008777FE">
        <w:rPr>
          <w:lang w:val="es-ES"/>
        </w:rPr>
        <w:noBreakHyphen/>
      </w:r>
      <w:r w:rsidRPr="00F9410F">
        <w:rPr>
          <w:lang w:val="es-ES"/>
        </w:rPr>
        <w:t>1</w:t>
      </w:r>
      <w:r w:rsidR="008777FE">
        <w:rPr>
          <w:lang w:val="es-ES"/>
        </w:rPr>
        <w:t> </w:t>
      </w:r>
      <w:r w:rsidRPr="00F9410F">
        <w:rPr>
          <w:lang w:val="es-ES"/>
        </w:rPr>
        <w:t>645,5 MHz y 1 646,5-1 660,5 MHz</w:t>
      </w:r>
    </w:p>
    <w:p w:rsidR="00C00643" w:rsidRPr="00F9410F" w:rsidRDefault="00C00643" w:rsidP="00C00643">
      <w:pPr>
        <w:rPr>
          <w:lang w:val="es-ES" w:eastAsia="ja-JP"/>
        </w:rPr>
      </w:pPr>
    </w:p>
    <w:tbl>
      <w:tblPr>
        <w:tblW w:w="9796"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bottom w:w="15" w:type="dxa"/>
        </w:tblCellMar>
        <w:tblLook w:val="0000" w:firstRow="0" w:lastRow="0" w:firstColumn="0" w:lastColumn="0" w:noHBand="0" w:noVBand="0"/>
      </w:tblPr>
      <w:tblGrid>
        <w:gridCol w:w="9796"/>
      </w:tblGrid>
      <w:tr w:rsidR="00C00643" w:rsidRPr="00F9410F" w:rsidTr="008777FE">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F27676" w:rsidRDefault="00C00643" w:rsidP="008777FE">
            <w:pPr>
              <w:pStyle w:val="Call"/>
              <w:rPr>
                <w:sz w:val="20"/>
                <w:lang w:val="es-ES" w:eastAsia="ja-JP"/>
              </w:rPr>
            </w:pPr>
            <w:r w:rsidRPr="00F27676">
              <w:rPr>
                <w:sz w:val="20"/>
                <w:lang w:val="es-ES" w:eastAsia="ja-JP"/>
              </w:rPr>
              <w:t>recomienda</w:t>
            </w:r>
          </w:p>
        </w:tc>
      </w:tr>
      <w:tr w:rsidR="00C00643" w:rsidRPr="00F9410F" w:rsidTr="008777FE">
        <w:trPr>
          <w:cantSplit/>
          <w:tblCellSpacing w:w="0" w:type="dxa"/>
        </w:trPr>
        <w:tc>
          <w:tcPr>
            <w:tcW w:w="9796" w:type="dxa"/>
            <w:tcBorders>
              <w:top w:val="outset" w:sz="6" w:space="0" w:color="C0C0C0"/>
              <w:left w:val="outset" w:sz="6" w:space="0" w:color="C0C0C0"/>
              <w:bottom w:val="outset" w:sz="6" w:space="0" w:color="C0C0C0"/>
              <w:right w:val="outset" w:sz="6" w:space="0" w:color="C0C0C0"/>
            </w:tcBorders>
            <w:shd w:val="clear" w:color="auto" w:fill="FFFFFF"/>
          </w:tcPr>
          <w:p w:rsidR="00C00643" w:rsidRPr="00F27676" w:rsidRDefault="00C00643" w:rsidP="002F1E53">
            <w:pPr>
              <w:tabs>
                <w:tab w:val="clear" w:pos="1134"/>
                <w:tab w:val="clear" w:pos="1871"/>
                <w:tab w:val="clear" w:pos="2268"/>
                <w:tab w:val="left" w:pos="794"/>
                <w:tab w:val="left" w:pos="1191"/>
                <w:tab w:val="left" w:pos="1588"/>
                <w:tab w:val="left" w:pos="1985"/>
              </w:tabs>
              <w:overflowPunct/>
              <w:autoSpaceDE/>
              <w:autoSpaceDN/>
              <w:adjustRightInd/>
              <w:spacing w:beforeLines="50"/>
              <w:textAlignment w:val="auto"/>
              <w:rPr>
                <w:rFonts w:eastAsia="SimSun"/>
                <w:sz w:val="20"/>
                <w:lang w:val="es-ES" w:eastAsia="zh-CN"/>
              </w:rPr>
            </w:pPr>
            <w:r w:rsidRPr="00F27676">
              <w:rPr>
                <w:sz w:val="20"/>
                <w:lang w:val="es-ES"/>
              </w:rPr>
              <w:t xml:space="preserve">que se invite al UIT-R a efectuar estudios sobre la posible utilización de sistemas integrados del SMS en las bandas 1 525-1 544 MHz, 1 545-1 559 MHz, 1 626,5-1 645,5 MHz y 1 646,5-1 660,5 MHz, según proceda, teniendo en cuenta la necesidad de proteger los sistemas existentes y planificados, así como los anteriores considerando, reconociendo y observando, y en particular los </w:t>
            </w:r>
            <w:r w:rsidRPr="00F27676">
              <w:rPr>
                <w:i/>
                <w:iCs/>
                <w:sz w:val="20"/>
                <w:lang w:val="es-ES"/>
              </w:rPr>
              <w:t>reconociendo a)</w:t>
            </w:r>
            <w:r w:rsidRPr="00F27676">
              <w:rPr>
                <w:sz w:val="20"/>
                <w:lang w:val="es-ES"/>
              </w:rPr>
              <w:t xml:space="preserve">, </w:t>
            </w:r>
            <w:r w:rsidRPr="00F27676">
              <w:rPr>
                <w:i/>
                <w:iCs/>
                <w:sz w:val="20"/>
                <w:lang w:val="es-ES"/>
              </w:rPr>
              <w:t>b)</w:t>
            </w:r>
            <w:r w:rsidRPr="00F27676">
              <w:rPr>
                <w:sz w:val="20"/>
                <w:lang w:val="es-ES"/>
              </w:rPr>
              <w:t xml:space="preserve"> y </w:t>
            </w:r>
            <w:r w:rsidRPr="00F27676">
              <w:rPr>
                <w:i/>
                <w:iCs/>
                <w:sz w:val="20"/>
                <w:lang w:val="es-ES"/>
              </w:rPr>
              <w:t>c)</w:t>
            </w:r>
            <w:r w:rsidRPr="00F27676">
              <w:rPr>
                <w:sz w:val="20"/>
                <w:lang w:val="es-ES"/>
              </w:rPr>
              <w:t>,</w:t>
            </w:r>
          </w:p>
        </w:tc>
      </w:tr>
    </w:tbl>
    <w:p w:rsidR="00C00643" w:rsidRPr="00F9410F" w:rsidRDefault="00C00643" w:rsidP="00C00643">
      <w:pPr>
        <w:tabs>
          <w:tab w:val="clear" w:pos="1134"/>
          <w:tab w:val="clear" w:pos="1871"/>
          <w:tab w:val="clear" w:pos="2268"/>
        </w:tabs>
        <w:overflowPunct/>
        <w:autoSpaceDE/>
        <w:autoSpaceDN/>
        <w:adjustRightInd/>
        <w:spacing w:before="240"/>
        <w:textAlignment w:val="auto"/>
        <w:rPr>
          <w:bCs/>
          <w:color w:val="000000"/>
          <w:szCs w:val="24"/>
          <w:lang w:val="es-ES" w:eastAsia="ja-JP"/>
        </w:rPr>
      </w:pPr>
      <w:r w:rsidRPr="00F9410F">
        <w:rPr>
          <w:bCs/>
          <w:color w:val="000000"/>
          <w:szCs w:val="24"/>
          <w:lang w:val="es-ES" w:eastAsia="ja-JP"/>
        </w:rPr>
        <w:t xml:space="preserve">No se han recibido contribuciones sobre esta cuestión en las reuniones del Grupo de Trabajo pertinente tras la CMR-07. En consecuencia, no se han producido avances durante el presente </w:t>
      </w:r>
      <w:r w:rsidR="00740256">
        <w:rPr>
          <w:bCs/>
          <w:color w:val="000000"/>
          <w:szCs w:val="24"/>
          <w:lang w:val="es-ES" w:eastAsia="ja-JP"/>
        </w:rPr>
        <w:t>periodo</w:t>
      </w:r>
      <w:r w:rsidRPr="00F9410F">
        <w:rPr>
          <w:bCs/>
          <w:color w:val="000000"/>
          <w:szCs w:val="24"/>
          <w:lang w:val="es-ES" w:eastAsia="ja-JP"/>
        </w:rPr>
        <w:t xml:space="preserve"> de estudios.</w:t>
      </w:r>
    </w:p>
    <w:p w:rsidR="00C00643" w:rsidRPr="00F9410F" w:rsidRDefault="00C00643" w:rsidP="00F27676">
      <w:pPr>
        <w:pStyle w:val="Heading1"/>
        <w:rPr>
          <w:lang w:val="es-ES" w:eastAsia="zh-CN"/>
        </w:rPr>
      </w:pPr>
      <w:r w:rsidRPr="00F9410F">
        <w:rPr>
          <w:color w:val="000000"/>
          <w:lang w:val="es-ES" w:eastAsia="ja-JP"/>
        </w:rPr>
        <w:lastRenderedPageBreak/>
        <w:t>16</w:t>
      </w:r>
      <w:r w:rsidRPr="00F9410F">
        <w:rPr>
          <w:color w:val="000000"/>
          <w:lang w:val="es-ES" w:eastAsia="ja-JP"/>
        </w:rPr>
        <w:tab/>
      </w:r>
      <w:r w:rsidRPr="00F9410F">
        <w:rPr>
          <w:lang w:val="es-ES"/>
        </w:rPr>
        <w:t>Recomendación</w:t>
      </w:r>
      <w:r w:rsidRPr="00F9410F">
        <w:rPr>
          <w:lang w:val="es-ES" w:eastAsia="zh-CN"/>
        </w:rPr>
        <w:t xml:space="preserve"> 207 (CMR</w:t>
      </w:r>
      <w:r w:rsidRPr="00F9410F">
        <w:rPr>
          <w:lang w:val="es-ES" w:eastAsia="zh-CN"/>
        </w:rPr>
        <w:noBreakHyphen/>
        <w:t>07)</w:t>
      </w:r>
      <w:r w:rsidRPr="00F9410F">
        <w:rPr>
          <w:lang w:val="es-ES" w:eastAsia="ja-JP"/>
        </w:rPr>
        <w:t xml:space="preserve">: </w:t>
      </w:r>
      <w:r w:rsidRPr="00F9410F">
        <w:rPr>
          <w:lang w:val="es-ES"/>
        </w:rPr>
        <w:t>Futuros sistemas IMT</w:t>
      </w:r>
    </w:p>
    <w:p w:rsidR="00C00643" w:rsidRPr="00F9410F" w:rsidRDefault="00C00643" w:rsidP="00C00643">
      <w:pPr>
        <w:spacing w:before="0"/>
        <w:rPr>
          <w:lang w:val="es-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0643" w:rsidRPr="00F9410F" w:rsidTr="002F1E53">
        <w:tc>
          <w:tcPr>
            <w:tcW w:w="9837" w:type="dxa"/>
          </w:tcPr>
          <w:p w:rsidR="00C00643" w:rsidRPr="00F27676" w:rsidRDefault="00C00643" w:rsidP="00F27676">
            <w:pPr>
              <w:pStyle w:val="Call"/>
              <w:rPr>
                <w:rFonts w:eastAsia="SimSun"/>
                <w:sz w:val="20"/>
                <w:lang w:val="es-ES" w:eastAsia="zh-CN"/>
              </w:rPr>
            </w:pPr>
            <w:r w:rsidRPr="00F27676">
              <w:rPr>
                <w:sz w:val="20"/>
                <w:lang w:val="es-ES"/>
              </w:rPr>
              <w:t>recomienda</w:t>
            </w:r>
            <w:r w:rsidR="00955308">
              <w:rPr>
                <w:sz w:val="20"/>
                <w:lang w:val="es-ES"/>
              </w:rPr>
              <w:t xml:space="preserve"> a la UIT-R</w:t>
            </w:r>
          </w:p>
        </w:tc>
      </w:tr>
      <w:tr w:rsidR="00C00643" w:rsidRPr="00F9410F" w:rsidTr="002F1E53">
        <w:tc>
          <w:tcPr>
            <w:tcW w:w="9837" w:type="dxa"/>
          </w:tcPr>
          <w:p w:rsidR="00C00643" w:rsidRPr="00F27676" w:rsidRDefault="00C00643" w:rsidP="002F1E53">
            <w:pPr>
              <w:overflowPunct/>
              <w:autoSpaceDE/>
              <w:autoSpaceDN/>
              <w:adjustRightInd/>
              <w:spacing w:after="120"/>
              <w:textAlignment w:val="auto"/>
              <w:rPr>
                <w:rFonts w:eastAsia="SimSun"/>
                <w:color w:val="000000"/>
                <w:sz w:val="20"/>
                <w:lang w:val="es-ES" w:eastAsia="zh-CN"/>
              </w:rPr>
            </w:pPr>
            <w:r w:rsidRPr="00F27676">
              <w:rPr>
                <w:sz w:val="20"/>
                <w:lang w:val="es-ES"/>
              </w:rPr>
              <w:t>invitar al UIT-R a que estudie los asuntos técnicos, de funcionamiento y en materia de espectro necesarios para cumplir los objetivos de los futuros sistemas IMT</w:t>
            </w:r>
          </w:p>
        </w:tc>
      </w:tr>
    </w:tbl>
    <w:p w:rsidR="00C00643" w:rsidRPr="00F9410F" w:rsidRDefault="00C00643" w:rsidP="00C00643">
      <w:pPr>
        <w:spacing w:before="240"/>
        <w:rPr>
          <w:szCs w:val="24"/>
          <w:lang w:val="es-ES" w:eastAsia="ja-JP"/>
        </w:rPr>
      </w:pPr>
      <w:r w:rsidRPr="00F9410F">
        <w:rPr>
          <w:szCs w:val="24"/>
          <w:lang w:val="es-ES" w:eastAsia="ja-JP"/>
        </w:rPr>
        <w:t>Durante el presente ciclo de estudios, se han llevado a cabo los trabajos correspondientes en el marco de la Cuestión UIT-R 229/5, que se ha actualizado teniendo en cuenta el desarrollo futuro de las IMT (es decir, el desarrollo futuro de las IMT para 2020 y años posteriores).</w:t>
      </w:r>
    </w:p>
    <w:p w:rsidR="00C00643" w:rsidRPr="00F9410F" w:rsidRDefault="00C00643" w:rsidP="00C00643">
      <w:pPr>
        <w:pStyle w:val="Reasons"/>
        <w:rPr>
          <w:lang w:val="es-ES"/>
        </w:rPr>
      </w:pPr>
    </w:p>
    <w:p w:rsidR="007A65AB" w:rsidRDefault="007A65AB">
      <w:pPr>
        <w:jc w:val="center"/>
      </w:pPr>
      <w:r>
        <w:t>______________</w:t>
      </w:r>
    </w:p>
    <w:p w:rsidR="00C00643" w:rsidRPr="00F9410F" w:rsidRDefault="00C00643" w:rsidP="00C00643">
      <w:pPr>
        <w:jc w:val="center"/>
        <w:rPr>
          <w:lang w:val="es-ES"/>
        </w:rPr>
      </w:pPr>
    </w:p>
    <w:sectPr w:rsidR="00C00643" w:rsidRPr="00F9410F">
      <w:headerReference w:type="default" r:id="rId49"/>
      <w:footerReference w:type="even" r:id="rId50"/>
      <w:footerReference w:type="default" r:id="rId51"/>
      <w:footerReference w:type="first" r:id="rId5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0BA" w:rsidRDefault="000F60BA">
      <w:r>
        <w:separator/>
      </w:r>
    </w:p>
  </w:endnote>
  <w:endnote w:type="continuationSeparator" w:id="0">
    <w:p w:rsidR="000F60BA" w:rsidRDefault="000F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BA" w:rsidRDefault="000F60BA">
    <w:pPr>
      <w:rPr>
        <w:lang w:val="en-US"/>
      </w:rPr>
    </w:pPr>
    <w:r>
      <w:fldChar w:fldCharType="begin"/>
    </w:r>
    <w:r>
      <w:rPr>
        <w:lang w:val="en-US"/>
      </w:rPr>
      <w:instrText xml:space="preserve"> FILENAME \p  \* MERGEFORMAT </w:instrText>
    </w:r>
    <w:r>
      <w:fldChar w:fldCharType="separate"/>
    </w:r>
    <w:r w:rsidR="00687C78">
      <w:rPr>
        <w:noProof/>
        <w:lang w:val="en-US"/>
      </w:rPr>
      <w:t>P:\ESP\ITU-R\SG-R\SG05\1000\1001S.docx</w:t>
    </w:r>
    <w:r>
      <w:fldChar w:fldCharType="end"/>
    </w:r>
    <w:r>
      <w:rPr>
        <w:lang w:val="en-US"/>
      </w:rPr>
      <w:tab/>
    </w:r>
    <w:r>
      <w:fldChar w:fldCharType="begin"/>
    </w:r>
    <w:r>
      <w:instrText xml:space="preserve"> SAVEDATE \@ DD.MM.YY </w:instrText>
    </w:r>
    <w:r>
      <w:fldChar w:fldCharType="separate"/>
    </w:r>
    <w:r w:rsidR="00740256">
      <w:rPr>
        <w:noProof/>
      </w:rPr>
      <w:t>16.10.15</w:t>
    </w:r>
    <w:r>
      <w:fldChar w:fldCharType="end"/>
    </w:r>
    <w:r>
      <w:rPr>
        <w:lang w:val="en-US"/>
      </w:rPr>
      <w:tab/>
    </w:r>
    <w:r>
      <w:fldChar w:fldCharType="begin"/>
    </w:r>
    <w:r>
      <w:instrText xml:space="preserve"> PRINTDATE \@ DD.MM.YY </w:instrText>
    </w:r>
    <w:r>
      <w:fldChar w:fldCharType="separate"/>
    </w:r>
    <w:r w:rsidR="00687C78">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BA" w:rsidRPr="000E5BB6" w:rsidRDefault="00740256" w:rsidP="000E5BB6">
    <w:pPr>
      <w:pStyle w:val="Footer"/>
    </w:pPr>
    <w:r>
      <w:fldChar w:fldCharType="begin"/>
    </w:r>
    <w:r>
      <w:instrText xml:space="preserve"> FILENAME \p  \* MERGEFORMAT </w:instrText>
    </w:r>
    <w:r>
      <w:fldChar w:fldCharType="separate"/>
    </w:r>
    <w:r w:rsidR="00687C78">
      <w:t>P:\ESP\ITU-R\SG-R\SG05\1000\1001S.docx</w:t>
    </w:r>
    <w:r>
      <w:fldChar w:fldCharType="end"/>
    </w:r>
    <w:r w:rsidR="000F60BA">
      <w:t xml:space="preserve"> (383147)</w:t>
    </w:r>
    <w:r w:rsidR="000F60BA">
      <w:tab/>
    </w:r>
    <w:r w:rsidR="000F60BA">
      <w:fldChar w:fldCharType="begin"/>
    </w:r>
    <w:r w:rsidR="000F60BA">
      <w:instrText xml:space="preserve"> SAVEDATE \@ DD.MM.YY </w:instrText>
    </w:r>
    <w:r w:rsidR="000F60BA">
      <w:fldChar w:fldCharType="separate"/>
    </w:r>
    <w:r>
      <w:t>16.10.15</w:t>
    </w:r>
    <w:r w:rsidR="000F60BA">
      <w:fldChar w:fldCharType="end"/>
    </w:r>
    <w:r w:rsidR="000F60BA">
      <w:tab/>
    </w:r>
    <w:r w:rsidR="000F60BA">
      <w:fldChar w:fldCharType="begin"/>
    </w:r>
    <w:r w:rsidR="000F60BA">
      <w:instrText xml:space="preserve"> PRINTDATE \@ DD.MM.YY </w:instrText>
    </w:r>
    <w:r w:rsidR="000F60BA">
      <w:fldChar w:fldCharType="separate"/>
    </w:r>
    <w:r w:rsidR="00687C78">
      <w:t>16.10.15</w:t>
    </w:r>
    <w:r w:rsidR="000F60B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BA" w:rsidRPr="000E5BB6" w:rsidRDefault="00740256" w:rsidP="000E5BB6">
    <w:pPr>
      <w:pStyle w:val="Footer"/>
    </w:pPr>
    <w:r>
      <w:fldChar w:fldCharType="begin"/>
    </w:r>
    <w:r>
      <w:instrText xml:space="preserve"> FILENAME \p  \* MERGEFORMAT </w:instrText>
    </w:r>
    <w:r>
      <w:fldChar w:fldCharType="separate"/>
    </w:r>
    <w:r w:rsidR="00687C78">
      <w:t>P:\ESP\ITU-R\SG-R\SG05\1000\1001S.docx</w:t>
    </w:r>
    <w:r>
      <w:fldChar w:fldCharType="end"/>
    </w:r>
    <w:r w:rsidR="000F60BA">
      <w:t xml:space="preserve"> (383147)</w:t>
    </w:r>
    <w:r w:rsidR="000F60BA">
      <w:tab/>
    </w:r>
    <w:r w:rsidR="000F60BA">
      <w:fldChar w:fldCharType="begin"/>
    </w:r>
    <w:r w:rsidR="000F60BA">
      <w:instrText xml:space="preserve"> SAVEDATE \@ DD.MM.YY </w:instrText>
    </w:r>
    <w:r w:rsidR="000F60BA">
      <w:fldChar w:fldCharType="separate"/>
    </w:r>
    <w:r>
      <w:t>16.10.15</w:t>
    </w:r>
    <w:r w:rsidR="000F60BA">
      <w:fldChar w:fldCharType="end"/>
    </w:r>
    <w:r w:rsidR="000F60BA">
      <w:tab/>
    </w:r>
    <w:r w:rsidR="000F60BA">
      <w:fldChar w:fldCharType="begin"/>
    </w:r>
    <w:r w:rsidR="000F60BA">
      <w:instrText xml:space="preserve"> PRINTDATE \@ DD.MM.YY </w:instrText>
    </w:r>
    <w:r w:rsidR="000F60BA">
      <w:fldChar w:fldCharType="separate"/>
    </w:r>
    <w:r w:rsidR="00687C78">
      <w:t>16.10.15</w:t>
    </w:r>
    <w:r w:rsidR="000F60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0BA" w:rsidRDefault="000F60BA">
      <w:r>
        <w:rPr>
          <w:b/>
        </w:rPr>
        <w:t>_______________</w:t>
      </w:r>
    </w:p>
  </w:footnote>
  <w:footnote w:type="continuationSeparator" w:id="0">
    <w:p w:rsidR="000F60BA" w:rsidRDefault="000F6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0BA" w:rsidRDefault="000F60BA" w:rsidP="00EB1851">
    <w:pPr>
      <w:pStyle w:val="Header"/>
    </w:pPr>
    <w:r>
      <w:fldChar w:fldCharType="begin"/>
    </w:r>
    <w:r>
      <w:instrText xml:space="preserve"> PAGE  \* MERGEFORMAT </w:instrText>
    </w:r>
    <w:r>
      <w:fldChar w:fldCharType="separate"/>
    </w:r>
    <w:r w:rsidR="00740256">
      <w:rPr>
        <w:noProof/>
      </w:rPr>
      <w:t>27</w:t>
    </w:r>
    <w:r>
      <w:fldChar w:fldCharType="end"/>
    </w:r>
  </w:p>
  <w:p w:rsidR="000F60BA" w:rsidRDefault="000F60BA">
    <w:pPr>
      <w:pStyle w:val="Header"/>
    </w:pPr>
    <w:r>
      <w:t>5/1001-S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FA75F4"/>
    <w:multiLevelType w:val="hybridMultilevel"/>
    <w:tmpl w:val="72EADF16"/>
    <w:lvl w:ilvl="0" w:tplc="641C1A90">
      <w:start w:val="4"/>
      <w:numFmt w:val="decimal"/>
      <w:lvlText w:val="%1"/>
      <w:lvlJc w:val="left"/>
      <w:pPr>
        <w:ind w:left="1500" w:hanging="360"/>
      </w:pPr>
      <w:rPr>
        <w:rFonts w:hint="default"/>
        <w:b/>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7976281"/>
    <w:multiLevelType w:val="hybridMultilevel"/>
    <w:tmpl w:val="77D46C4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485"/>
    <w:multiLevelType w:val="hybridMultilevel"/>
    <w:tmpl w:val="52EEC57C"/>
    <w:lvl w:ilvl="0" w:tplc="97865BA6">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56F73"/>
    <w:multiLevelType w:val="hybridMultilevel"/>
    <w:tmpl w:val="608C4FCE"/>
    <w:lvl w:ilvl="0" w:tplc="9D1A9A1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24206"/>
    <w:multiLevelType w:val="hybridMultilevel"/>
    <w:tmpl w:val="650E22D6"/>
    <w:lvl w:ilvl="0" w:tplc="664E4806">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21F4"/>
    <w:multiLevelType w:val="hybridMultilevel"/>
    <w:tmpl w:val="783E889A"/>
    <w:lvl w:ilvl="0" w:tplc="E44CE6F8">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7306F0"/>
    <w:multiLevelType w:val="hybridMultilevel"/>
    <w:tmpl w:val="458ED76A"/>
    <w:lvl w:ilvl="0" w:tplc="B1409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B132E"/>
    <w:multiLevelType w:val="hybridMultilevel"/>
    <w:tmpl w:val="DA44DE9E"/>
    <w:lvl w:ilvl="0" w:tplc="1A9AE190">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350728"/>
    <w:multiLevelType w:val="hybridMultilevel"/>
    <w:tmpl w:val="159A2A18"/>
    <w:lvl w:ilvl="0" w:tplc="A3A47E1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3C7CFA"/>
    <w:multiLevelType w:val="hybridMultilevel"/>
    <w:tmpl w:val="D40C8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8068B"/>
    <w:multiLevelType w:val="hybridMultilevel"/>
    <w:tmpl w:val="4280887E"/>
    <w:lvl w:ilvl="0" w:tplc="EDB83590">
      <w:start w:val="6"/>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50756D8"/>
    <w:multiLevelType w:val="hybridMultilevel"/>
    <w:tmpl w:val="4DFACCE0"/>
    <w:lvl w:ilvl="0" w:tplc="573E3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5E1EB0"/>
    <w:multiLevelType w:val="hybridMultilevel"/>
    <w:tmpl w:val="126E575E"/>
    <w:lvl w:ilvl="0" w:tplc="DD54872C">
      <w:start w:val="1"/>
      <w:numFmt w:val="decimal"/>
      <w:lvlText w:val="%1)"/>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7506CB"/>
    <w:multiLevelType w:val="hybridMultilevel"/>
    <w:tmpl w:val="80909992"/>
    <w:lvl w:ilvl="0" w:tplc="A2A0813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12025"/>
    <w:multiLevelType w:val="hybridMultilevel"/>
    <w:tmpl w:val="CB2CED6C"/>
    <w:lvl w:ilvl="0" w:tplc="9D7AE974">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F0F42"/>
    <w:multiLevelType w:val="hybridMultilevel"/>
    <w:tmpl w:val="59C8A74E"/>
    <w:lvl w:ilvl="0" w:tplc="901CFF94">
      <w:start w:val="8"/>
      <w:numFmt w:val="decimal"/>
      <w:lvlText w:val="%1"/>
      <w:lvlJc w:val="left"/>
      <w:pPr>
        <w:ind w:left="720" w:hanging="360"/>
      </w:pPr>
      <w:rPr>
        <w:rFonts w:eastAsia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C45B29"/>
    <w:multiLevelType w:val="hybridMultilevel"/>
    <w:tmpl w:val="EA484F76"/>
    <w:lvl w:ilvl="0" w:tplc="16226D5C">
      <w:start w:val="57"/>
      <w:numFmt w:val="bullet"/>
      <w:lvlText w:val="–"/>
      <w:lvlJc w:val="left"/>
      <w:pPr>
        <w:ind w:left="360" w:hanging="360"/>
      </w:pPr>
      <w:rPr>
        <w:rFonts w:ascii="Times New Roman" w:eastAsia="MS Mincho" w:hAnsi="Times New Roman"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34E62"/>
    <w:multiLevelType w:val="hybridMultilevel"/>
    <w:tmpl w:val="AE52FA44"/>
    <w:lvl w:ilvl="0" w:tplc="2DD0FA44">
      <w:start w:val="1"/>
      <w:numFmt w:val="bullet"/>
      <w:lvlText w:val="-"/>
      <w:lvlJc w:val="left"/>
      <w:pPr>
        <w:ind w:left="360" w:hanging="360"/>
      </w:pPr>
      <w:rPr>
        <w:rFonts w:ascii="Segoe UI" w:eastAsiaTheme="minorEastAsia" w:hAnsi="Segoe UI" w:cs="Segoe UI"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D3977"/>
    <w:multiLevelType w:val="hybridMultilevel"/>
    <w:tmpl w:val="ABF4653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539A3"/>
    <w:multiLevelType w:val="hybridMultilevel"/>
    <w:tmpl w:val="58C03D76"/>
    <w:lvl w:ilvl="0" w:tplc="C450C710">
      <w:start w:val="3"/>
      <w:numFmt w:val="bullet"/>
      <w:lvlText w:val="-"/>
      <w:lvlJc w:val="left"/>
      <w:pPr>
        <w:ind w:left="360" w:hanging="360"/>
      </w:pPr>
      <w:rPr>
        <w:rFonts w:ascii="Times New Roman" w:eastAsia="MS Mincho" w:hAnsi="Times New Roman" w:cs="Times New Roman"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32284D"/>
    <w:multiLevelType w:val="hybridMultilevel"/>
    <w:tmpl w:val="50EE16C6"/>
    <w:lvl w:ilvl="0" w:tplc="7268730E">
      <w:numFmt w:val="bullet"/>
      <w:lvlText w:val="-"/>
      <w:lvlJc w:val="left"/>
      <w:pPr>
        <w:ind w:left="360" w:hanging="360"/>
      </w:pPr>
      <w:rPr>
        <w:rFonts w:ascii="Times New Roman" w:eastAsia="SimSun"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66B462B"/>
    <w:multiLevelType w:val="hybridMultilevel"/>
    <w:tmpl w:val="DCBCB6E8"/>
    <w:lvl w:ilvl="0" w:tplc="3D2629E6">
      <w:start w:val="9"/>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B6F01"/>
    <w:multiLevelType w:val="hybridMultilevel"/>
    <w:tmpl w:val="C9FA1E5E"/>
    <w:lvl w:ilvl="0" w:tplc="10FCF782">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1F2E02"/>
    <w:multiLevelType w:val="hybridMultilevel"/>
    <w:tmpl w:val="511C158E"/>
    <w:lvl w:ilvl="0" w:tplc="23B657A2">
      <w:start w:val="1"/>
      <w:numFmt w:val="decimal"/>
      <w:lvlText w:val="%1"/>
      <w:lvlJc w:val="left"/>
      <w:pPr>
        <w:ind w:left="1140" w:hanging="11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27"/>
  </w:num>
  <w:num w:numId="5">
    <w:abstractNumId w:val="10"/>
  </w:num>
  <w:num w:numId="6">
    <w:abstractNumId w:val="11"/>
  </w:num>
  <w:num w:numId="7">
    <w:abstractNumId w:val="12"/>
  </w:num>
  <w:num w:numId="8">
    <w:abstractNumId w:val="15"/>
  </w:num>
  <w:num w:numId="9">
    <w:abstractNumId w:val="14"/>
  </w:num>
  <w:num w:numId="10">
    <w:abstractNumId w:val="17"/>
  </w:num>
  <w:num w:numId="11">
    <w:abstractNumId w:val="4"/>
  </w:num>
  <w:num w:numId="12">
    <w:abstractNumId w:val="6"/>
  </w:num>
  <w:num w:numId="13">
    <w:abstractNumId w:val="7"/>
  </w:num>
  <w:num w:numId="14">
    <w:abstractNumId w:val="28"/>
  </w:num>
  <w:num w:numId="15">
    <w:abstractNumId w:val="23"/>
  </w:num>
  <w:num w:numId="16">
    <w:abstractNumId w:val="2"/>
  </w:num>
  <w:num w:numId="17">
    <w:abstractNumId w:val="18"/>
  </w:num>
  <w:num w:numId="18">
    <w:abstractNumId w:val="13"/>
  </w:num>
  <w:num w:numId="19">
    <w:abstractNumId w:val="19"/>
  </w:num>
  <w:num w:numId="20">
    <w:abstractNumId w:val="26"/>
  </w:num>
  <w:num w:numId="21">
    <w:abstractNumId w:val="22"/>
  </w:num>
  <w:num w:numId="22">
    <w:abstractNumId w:val="8"/>
  </w:num>
  <w:num w:numId="23">
    <w:abstractNumId w:val="3"/>
  </w:num>
  <w:num w:numId="24">
    <w:abstractNumId w:val="5"/>
  </w:num>
  <w:num w:numId="25">
    <w:abstractNumId w:val="9"/>
  </w:num>
  <w:num w:numId="26">
    <w:abstractNumId w:val="21"/>
  </w:num>
  <w:num w:numId="27">
    <w:abstractNumId w:val="16"/>
  </w:num>
  <w:num w:numId="28">
    <w:abstractNumId w:val="24"/>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61E"/>
    <w:rsid w:val="00000B16"/>
    <w:rsid w:val="00006E64"/>
    <w:rsid w:val="00012B52"/>
    <w:rsid w:val="00016A7C"/>
    <w:rsid w:val="00020ACE"/>
    <w:rsid w:val="00032AD4"/>
    <w:rsid w:val="00074A9E"/>
    <w:rsid w:val="000D1CE2"/>
    <w:rsid w:val="000E31FF"/>
    <w:rsid w:val="000E5BB6"/>
    <w:rsid w:val="000F60BA"/>
    <w:rsid w:val="001721DD"/>
    <w:rsid w:val="001C7013"/>
    <w:rsid w:val="002334F2"/>
    <w:rsid w:val="00260ADC"/>
    <w:rsid w:val="00287226"/>
    <w:rsid w:val="002A2C9F"/>
    <w:rsid w:val="002B6243"/>
    <w:rsid w:val="002B750B"/>
    <w:rsid w:val="002F1E53"/>
    <w:rsid w:val="00364C88"/>
    <w:rsid w:val="00375633"/>
    <w:rsid w:val="003765A1"/>
    <w:rsid w:val="003C1E9D"/>
    <w:rsid w:val="003D46AA"/>
    <w:rsid w:val="00466F3C"/>
    <w:rsid w:val="00496628"/>
    <w:rsid w:val="004B2610"/>
    <w:rsid w:val="004C30E1"/>
    <w:rsid w:val="004E461E"/>
    <w:rsid w:val="004F3A6C"/>
    <w:rsid w:val="005335D1"/>
    <w:rsid w:val="005648DF"/>
    <w:rsid w:val="00592F36"/>
    <w:rsid w:val="005C1411"/>
    <w:rsid w:val="005C4F7E"/>
    <w:rsid w:val="005F2C5C"/>
    <w:rsid w:val="006050EE"/>
    <w:rsid w:val="00687C78"/>
    <w:rsid w:val="00693CB4"/>
    <w:rsid w:val="00713DAB"/>
    <w:rsid w:val="007366E6"/>
    <w:rsid w:val="00740256"/>
    <w:rsid w:val="00750E69"/>
    <w:rsid w:val="007A65AB"/>
    <w:rsid w:val="007C7FB8"/>
    <w:rsid w:val="007E2FF1"/>
    <w:rsid w:val="008246E6"/>
    <w:rsid w:val="00824CFC"/>
    <w:rsid w:val="008545C2"/>
    <w:rsid w:val="008777FE"/>
    <w:rsid w:val="00881D07"/>
    <w:rsid w:val="008E02B6"/>
    <w:rsid w:val="008E40F6"/>
    <w:rsid w:val="00955308"/>
    <w:rsid w:val="00955BC2"/>
    <w:rsid w:val="00956452"/>
    <w:rsid w:val="009630C4"/>
    <w:rsid w:val="00974DFF"/>
    <w:rsid w:val="00A07CD7"/>
    <w:rsid w:val="00A243FF"/>
    <w:rsid w:val="00A3275E"/>
    <w:rsid w:val="00A365FB"/>
    <w:rsid w:val="00AB0CD0"/>
    <w:rsid w:val="00AD5DFF"/>
    <w:rsid w:val="00AF7660"/>
    <w:rsid w:val="00B049A1"/>
    <w:rsid w:val="00B16476"/>
    <w:rsid w:val="00B25B58"/>
    <w:rsid w:val="00B90546"/>
    <w:rsid w:val="00BF1023"/>
    <w:rsid w:val="00BF6935"/>
    <w:rsid w:val="00C00643"/>
    <w:rsid w:val="00C278F8"/>
    <w:rsid w:val="00C8085F"/>
    <w:rsid w:val="00CB7217"/>
    <w:rsid w:val="00D434D2"/>
    <w:rsid w:val="00DB123A"/>
    <w:rsid w:val="00DE35E9"/>
    <w:rsid w:val="00E01901"/>
    <w:rsid w:val="00E121B4"/>
    <w:rsid w:val="00E20F0A"/>
    <w:rsid w:val="00E41D16"/>
    <w:rsid w:val="00EA6D2F"/>
    <w:rsid w:val="00EB1851"/>
    <w:rsid w:val="00EB5C7B"/>
    <w:rsid w:val="00EE13AA"/>
    <w:rsid w:val="00F27676"/>
    <w:rsid w:val="00FE06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A2CCDF4-84DC-45A6-9487-0DE57434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link w:val="Heading2Char"/>
    <w:qFormat/>
    <w:rsid w:val="009630C4"/>
    <w:pPr>
      <w:spacing w:before="200"/>
      <w:outlineLvl w:val="1"/>
    </w:pPr>
    <w:rPr>
      <w:sz w:val="24"/>
    </w:rPr>
  </w:style>
  <w:style w:type="paragraph" w:styleId="Heading3">
    <w:name w:val="heading 3"/>
    <w:basedOn w:val="Heading1"/>
    <w:next w:val="Normal"/>
    <w:link w:val="Heading3Char"/>
    <w:qFormat/>
    <w:rsid w:val="009630C4"/>
    <w:pPr>
      <w:tabs>
        <w:tab w:val="clear" w:pos="1134"/>
      </w:tabs>
      <w:spacing w:before="200"/>
      <w:outlineLvl w:val="2"/>
    </w:pPr>
    <w:rPr>
      <w:sz w:val="24"/>
    </w:rPr>
  </w:style>
  <w:style w:type="paragraph" w:styleId="Heading4">
    <w:name w:val="heading 4"/>
    <w:basedOn w:val="Heading3"/>
    <w:next w:val="Normal"/>
    <w:link w:val="Heading4Char"/>
    <w:qFormat/>
    <w:rsid w:val="009630C4"/>
    <w:pPr>
      <w:outlineLvl w:val="3"/>
    </w:pPr>
  </w:style>
  <w:style w:type="paragraph" w:styleId="Heading5">
    <w:name w:val="heading 5"/>
    <w:basedOn w:val="Heading4"/>
    <w:next w:val="Normal"/>
    <w:link w:val="Heading5Char"/>
    <w:qFormat/>
    <w:rsid w:val="009630C4"/>
    <w:pPr>
      <w:outlineLvl w:val="4"/>
    </w:pPr>
  </w:style>
  <w:style w:type="paragraph" w:styleId="Heading6">
    <w:name w:val="heading 6"/>
    <w:basedOn w:val="Heading4"/>
    <w:next w:val="Normal"/>
    <w:link w:val="Heading6Char"/>
    <w:qFormat/>
    <w:rsid w:val="009630C4"/>
    <w:pPr>
      <w:outlineLvl w:val="5"/>
    </w:pPr>
  </w:style>
  <w:style w:type="paragraph" w:styleId="Heading7">
    <w:name w:val="heading 7"/>
    <w:basedOn w:val="Heading6"/>
    <w:next w:val="Normal"/>
    <w:link w:val="Heading7Char"/>
    <w:qFormat/>
    <w:rsid w:val="009630C4"/>
    <w:pPr>
      <w:outlineLvl w:val="6"/>
    </w:pPr>
  </w:style>
  <w:style w:type="paragraph" w:styleId="Heading8">
    <w:name w:val="heading 8"/>
    <w:basedOn w:val="Heading6"/>
    <w:next w:val="Normal"/>
    <w:link w:val="Heading8Char"/>
    <w:qFormat/>
    <w:rsid w:val="009630C4"/>
    <w:pPr>
      <w:outlineLvl w:val="7"/>
    </w:pPr>
  </w:style>
  <w:style w:type="paragraph" w:styleId="Heading9">
    <w:name w:val="heading 9"/>
    <w:basedOn w:val="Heading6"/>
    <w:next w:val="Normal"/>
    <w:link w:val="Heading9Char"/>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uiPriority w:val="99"/>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link w:val="enumlev1Char"/>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uiPriority w:val="99"/>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uiPriority w:val="99"/>
    <w:rsid w:val="009630C4"/>
    <w:pPr>
      <w:keepLines/>
      <w:tabs>
        <w:tab w:val="left" w:pos="255"/>
      </w:tabs>
    </w:pPr>
  </w:style>
  <w:style w:type="character" w:customStyle="1" w:styleId="FootnoteTextChar">
    <w:name w:val="Footnote Text Char"/>
    <w:basedOn w:val="DefaultParagraphFont"/>
    <w:link w:val="FootnoteText"/>
    <w:uiPriority w:val="99"/>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link w:val="HeadingbChar"/>
    <w:qFormat/>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link w:val="NormalaftertitleChar"/>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uiPriority w:val="99"/>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uiPriority w:val="99"/>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C00643"/>
    <w:rPr>
      <w:rFonts w:ascii="Times New Roman" w:hAnsi="Times New Roman"/>
      <w:b/>
      <w:sz w:val="28"/>
      <w:lang w:val="es-ES_tradnl" w:eastAsia="en-US"/>
    </w:rPr>
  </w:style>
  <w:style w:type="character" w:customStyle="1" w:styleId="Heading2Char">
    <w:name w:val="Heading 2 Char"/>
    <w:basedOn w:val="DefaultParagraphFont"/>
    <w:link w:val="Heading2"/>
    <w:rsid w:val="00C00643"/>
    <w:rPr>
      <w:rFonts w:ascii="Times New Roman" w:hAnsi="Times New Roman"/>
      <w:b/>
      <w:sz w:val="24"/>
      <w:lang w:val="es-ES_tradnl" w:eastAsia="en-US"/>
    </w:rPr>
  </w:style>
  <w:style w:type="character" w:customStyle="1" w:styleId="Heading3Char">
    <w:name w:val="Heading 3 Char"/>
    <w:basedOn w:val="DefaultParagraphFont"/>
    <w:link w:val="Heading3"/>
    <w:rsid w:val="00C00643"/>
    <w:rPr>
      <w:rFonts w:ascii="Times New Roman" w:hAnsi="Times New Roman"/>
      <w:b/>
      <w:sz w:val="24"/>
      <w:lang w:val="es-ES_tradnl" w:eastAsia="en-US"/>
    </w:rPr>
  </w:style>
  <w:style w:type="character" w:customStyle="1" w:styleId="Heading4Char">
    <w:name w:val="Heading 4 Char"/>
    <w:basedOn w:val="DefaultParagraphFont"/>
    <w:link w:val="Heading4"/>
    <w:rsid w:val="00C00643"/>
    <w:rPr>
      <w:rFonts w:ascii="Times New Roman" w:hAnsi="Times New Roman"/>
      <w:b/>
      <w:sz w:val="24"/>
      <w:lang w:val="es-ES_tradnl" w:eastAsia="en-US"/>
    </w:rPr>
  </w:style>
  <w:style w:type="character" w:customStyle="1" w:styleId="Heading5Char">
    <w:name w:val="Heading 5 Char"/>
    <w:basedOn w:val="DefaultParagraphFont"/>
    <w:link w:val="Heading5"/>
    <w:rsid w:val="00C00643"/>
    <w:rPr>
      <w:rFonts w:ascii="Times New Roman" w:hAnsi="Times New Roman"/>
      <w:b/>
      <w:sz w:val="24"/>
      <w:lang w:val="es-ES_tradnl" w:eastAsia="en-US"/>
    </w:rPr>
  </w:style>
  <w:style w:type="character" w:customStyle="1" w:styleId="Heading6Char">
    <w:name w:val="Heading 6 Char"/>
    <w:basedOn w:val="DefaultParagraphFont"/>
    <w:link w:val="Heading6"/>
    <w:rsid w:val="00C00643"/>
    <w:rPr>
      <w:rFonts w:ascii="Times New Roman" w:hAnsi="Times New Roman"/>
      <w:b/>
      <w:sz w:val="24"/>
      <w:lang w:val="es-ES_tradnl" w:eastAsia="en-US"/>
    </w:rPr>
  </w:style>
  <w:style w:type="character" w:customStyle="1" w:styleId="Heading7Char">
    <w:name w:val="Heading 7 Char"/>
    <w:basedOn w:val="DefaultParagraphFont"/>
    <w:link w:val="Heading7"/>
    <w:rsid w:val="00C00643"/>
    <w:rPr>
      <w:rFonts w:ascii="Times New Roman" w:hAnsi="Times New Roman"/>
      <w:b/>
      <w:sz w:val="24"/>
      <w:lang w:val="es-ES_tradnl" w:eastAsia="en-US"/>
    </w:rPr>
  </w:style>
  <w:style w:type="character" w:customStyle="1" w:styleId="Heading8Char">
    <w:name w:val="Heading 8 Char"/>
    <w:basedOn w:val="DefaultParagraphFont"/>
    <w:link w:val="Heading8"/>
    <w:rsid w:val="00C00643"/>
    <w:rPr>
      <w:rFonts w:ascii="Times New Roman" w:hAnsi="Times New Roman"/>
      <w:b/>
      <w:sz w:val="24"/>
      <w:lang w:val="es-ES_tradnl" w:eastAsia="en-US"/>
    </w:rPr>
  </w:style>
  <w:style w:type="character" w:customStyle="1" w:styleId="Heading9Char">
    <w:name w:val="Heading 9 Char"/>
    <w:basedOn w:val="DefaultParagraphFont"/>
    <w:link w:val="Heading9"/>
    <w:rsid w:val="00C00643"/>
    <w:rPr>
      <w:rFonts w:ascii="Times New Roman" w:hAnsi="Times New Roman"/>
      <w:b/>
      <w:sz w:val="24"/>
      <w:lang w:val="es-ES_tradnl" w:eastAsia="en-US"/>
    </w:rPr>
  </w:style>
  <w:style w:type="character" w:customStyle="1" w:styleId="enumlev1Char">
    <w:name w:val="enumlev1 Char"/>
    <w:basedOn w:val="DefaultParagraphFont"/>
    <w:link w:val="enumlev1"/>
    <w:locked/>
    <w:rsid w:val="00C00643"/>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C00643"/>
    <w:rPr>
      <w:rFonts w:ascii="Times New Roman" w:hAnsi="Times New Roman"/>
      <w:sz w:val="24"/>
      <w:lang w:val="es-ES_tradnl" w:eastAsia="en-US"/>
    </w:rPr>
  </w:style>
  <w:style w:type="character" w:customStyle="1" w:styleId="Title1Char">
    <w:name w:val="Title 1 Char"/>
    <w:basedOn w:val="DefaultParagraphFont"/>
    <w:link w:val="Title1"/>
    <w:rsid w:val="00C00643"/>
    <w:rPr>
      <w:rFonts w:ascii="Times New Roman" w:hAnsi="Times New Roman"/>
      <w:caps/>
      <w:sz w:val="28"/>
      <w:lang w:val="es-ES_tradnl" w:eastAsia="en-US"/>
    </w:rPr>
  </w:style>
  <w:style w:type="character" w:styleId="Strong">
    <w:name w:val="Strong"/>
    <w:basedOn w:val="DefaultParagraphFont"/>
    <w:uiPriority w:val="22"/>
    <w:qFormat/>
    <w:rsid w:val="00C00643"/>
    <w:rPr>
      <w:b/>
      <w:bCs/>
    </w:rPr>
  </w:style>
  <w:style w:type="character" w:styleId="Hyperlink">
    <w:name w:val="Hyperlink"/>
    <w:basedOn w:val="DefaultParagraphFont"/>
    <w:uiPriority w:val="99"/>
    <w:rsid w:val="00C00643"/>
    <w:rPr>
      <w:color w:val="0000FF"/>
      <w:u w:val="single"/>
    </w:rPr>
  </w:style>
  <w:style w:type="table" w:styleId="TableGrid">
    <w:name w:val="Table Grid"/>
    <w:basedOn w:val="TableNormal"/>
    <w:uiPriority w:val="99"/>
    <w:rsid w:val="00C00643"/>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00643"/>
    <w:pPr>
      <w:tabs>
        <w:tab w:val="clear" w:pos="1134"/>
        <w:tab w:val="clear" w:pos="1871"/>
        <w:tab w:val="clear" w:pos="2268"/>
      </w:tabs>
      <w:overflowPunct/>
      <w:autoSpaceDE/>
      <w:autoSpaceDN/>
      <w:adjustRightInd/>
      <w:spacing w:before="0"/>
      <w:textAlignment w:val="auto"/>
    </w:pPr>
    <w:rPr>
      <w:rFonts w:eastAsia="SimSun"/>
      <w:color w:val="0000FF"/>
      <w:sz w:val="22"/>
      <w:szCs w:val="22"/>
      <w:lang w:val="en-GB" w:eastAsia="zh-CN"/>
    </w:rPr>
  </w:style>
  <w:style w:type="character" w:customStyle="1" w:styleId="PlainTextChar">
    <w:name w:val="Plain Text Char"/>
    <w:basedOn w:val="DefaultParagraphFont"/>
    <w:link w:val="PlainText"/>
    <w:uiPriority w:val="99"/>
    <w:rsid w:val="00C00643"/>
    <w:rPr>
      <w:rFonts w:ascii="Times New Roman" w:eastAsia="SimSun" w:hAnsi="Times New Roman"/>
      <w:color w:val="0000FF"/>
      <w:sz w:val="22"/>
      <w:szCs w:val="22"/>
      <w:lang w:val="en-GB"/>
    </w:rPr>
  </w:style>
  <w:style w:type="character" w:styleId="FollowedHyperlink">
    <w:name w:val="FollowedHyperlink"/>
    <w:basedOn w:val="DefaultParagraphFont"/>
    <w:rsid w:val="00C00643"/>
    <w:rPr>
      <w:color w:val="800080" w:themeColor="followedHyperlink"/>
      <w:u w:val="single"/>
    </w:rPr>
  </w:style>
  <w:style w:type="paragraph" w:styleId="BalloonText">
    <w:name w:val="Balloon Text"/>
    <w:basedOn w:val="Normal"/>
    <w:link w:val="BalloonTextChar"/>
    <w:rsid w:val="00C00643"/>
    <w:pPr>
      <w:tabs>
        <w:tab w:val="clear" w:pos="1134"/>
        <w:tab w:val="clear" w:pos="1871"/>
        <w:tab w:val="clear" w:pos="2268"/>
        <w:tab w:val="left" w:pos="794"/>
        <w:tab w:val="left" w:pos="1191"/>
        <w:tab w:val="left" w:pos="1588"/>
        <w:tab w:val="left" w:pos="1985"/>
      </w:tabs>
      <w:spacing w:before="0"/>
    </w:pPr>
    <w:rPr>
      <w:rFonts w:ascii="Tahoma" w:eastAsiaTheme="minorEastAsia" w:hAnsi="Tahoma" w:cs="Tahoma"/>
      <w:sz w:val="16"/>
      <w:szCs w:val="16"/>
      <w:lang w:val="en-GB"/>
    </w:rPr>
  </w:style>
  <w:style w:type="character" w:customStyle="1" w:styleId="BalloonTextChar">
    <w:name w:val="Balloon Text Char"/>
    <w:basedOn w:val="DefaultParagraphFont"/>
    <w:link w:val="BalloonText"/>
    <w:rsid w:val="00C00643"/>
    <w:rPr>
      <w:rFonts w:ascii="Tahoma" w:eastAsiaTheme="minorEastAsia" w:hAnsi="Tahoma" w:cs="Tahoma"/>
      <w:sz w:val="16"/>
      <w:szCs w:val="16"/>
      <w:lang w:val="en-GB" w:eastAsia="en-US"/>
    </w:rPr>
  </w:style>
  <w:style w:type="paragraph" w:styleId="Date">
    <w:name w:val="Date"/>
    <w:basedOn w:val="Normal"/>
    <w:next w:val="Normal"/>
    <w:link w:val="DateChar"/>
    <w:rsid w:val="00C00643"/>
    <w:rPr>
      <w:rFonts w:eastAsiaTheme="minorEastAsia"/>
      <w:lang w:val="en-GB"/>
    </w:rPr>
  </w:style>
  <w:style w:type="character" w:customStyle="1" w:styleId="DateChar">
    <w:name w:val="Date Char"/>
    <w:basedOn w:val="DefaultParagraphFont"/>
    <w:link w:val="Date"/>
    <w:rsid w:val="00C00643"/>
    <w:rPr>
      <w:rFonts w:ascii="Times New Roman" w:eastAsiaTheme="minorEastAsia" w:hAnsi="Times New Roman"/>
      <w:sz w:val="24"/>
      <w:lang w:val="en-GB" w:eastAsia="en-US"/>
    </w:rPr>
  </w:style>
  <w:style w:type="paragraph" w:styleId="ListParagraph">
    <w:name w:val="List Paragraph"/>
    <w:basedOn w:val="Normal"/>
    <w:link w:val="ListParagraphChar"/>
    <w:uiPriority w:val="99"/>
    <w:qFormat/>
    <w:rsid w:val="00C00643"/>
    <w:pPr>
      <w:ind w:leftChars="400" w:left="840"/>
    </w:pPr>
    <w:rPr>
      <w:rFonts w:eastAsiaTheme="minorEastAsia"/>
      <w:lang w:val="en-GB"/>
    </w:rPr>
  </w:style>
  <w:style w:type="character" w:customStyle="1" w:styleId="ListParagraphChar">
    <w:name w:val="List Paragraph Char"/>
    <w:basedOn w:val="DefaultParagraphFont"/>
    <w:link w:val="ListParagraph"/>
    <w:uiPriority w:val="99"/>
    <w:locked/>
    <w:rsid w:val="00C00643"/>
    <w:rPr>
      <w:rFonts w:ascii="Times New Roman" w:eastAsiaTheme="minorEastAsia" w:hAnsi="Times New Roman"/>
      <w:sz w:val="24"/>
      <w:lang w:val="en-GB" w:eastAsia="en-US"/>
    </w:rPr>
  </w:style>
  <w:style w:type="character" w:customStyle="1" w:styleId="TabletextChar">
    <w:name w:val="Table_text Char"/>
    <w:basedOn w:val="DefaultParagraphFont"/>
    <w:link w:val="Tabletext"/>
    <w:locked/>
    <w:rsid w:val="00C00643"/>
    <w:rPr>
      <w:rFonts w:ascii="Times New Roman" w:hAnsi="Times New Roman"/>
      <w:lang w:val="es-ES_tradnl" w:eastAsia="en-US"/>
    </w:rPr>
  </w:style>
  <w:style w:type="character" w:customStyle="1" w:styleId="HeadingbChar">
    <w:name w:val="Heading_b Char"/>
    <w:basedOn w:val="DefaultParagraphFont"/>
    <w:link w:val="Headingb"/>
    <w:locked/>
    <w:rsid w:val="00C00643"/>
    <w:rPr>
      <w:b/>
      <w:sz w:val="24"/>
      <w:lang w:val="es-ES_tradnl" w:eastAsia="en-US"/>
    </w:rPr>
  </w:style>
  <w:style w:type="character" w:customStyle="1" w:styleId="CallChar">
    <w:name w:val="Call Char"/>
    <w:basedOn w:val="DefaultParagraphFont"/>
    <w:link w:val="Call"/>
    <w:locked/>
    <w:rsid w:val="00C00643"/>
    <w:rPr>
      <w:rFonts w:ascii="Times New Roman" w:hAnsi="Times New Roman"/>
      <w:i/>
      <w:sz w:val="24"/>
      <w:lang w:val="es-ES_tradnl" w:eastAsia="en-US"/>
    </w:rPr>
  </w:style>
  <w:style w:type="paragraph" w:customStyle="1" w:styleId="Tablefin">
    <w:name w:val="Table_fin"/>
    <w:basedOn w:val="Normal"/>
    <w:rsid w:val="00C00643"/>
    <w:pPr>
      <w:spacing w:before="0"/>
    </w:pPr>
    <w:rPr>
      <w:rFonts w:eastAsia="MS Mincho"/>
      <w:sz w:val="20"/>
      <w:lang w:val="en-GB"/>
    </w:rPr>
  </w:style>
  <w:style w:type="paragraph" w:styleId="Revision">
    <w:name w:val="Revision"/>
    <w:hidden/>
    <w:uiPriority w:val="99"/>
    <w:semiHidden/>
    <w:rsid w:val="00C00643"/>
    <w:rPr>
      <w:rFonts w:ascii="Times New Roman" w:eastAsiaTheme="minorEastAsia" w:hAnsi="Times New Roman"/>
      <w:sz w:val="24"/>
      <w:lang w:val="en-GB" w:eastAsia="en-US"/>
    </w:rPr>
  </w:style>
  <w:style w:type="character" w:customStyle="1" w:styleId="apple-converted-space">
    <w:name w:val="apple-converted-space"/>
    <w:basedOn w:val="DefaultParagraphFont"/>
    <w:rsid w:val="00C00643"/>
  </w:style>
  <w:style w:type="paragraph" w:customStyle="1" w:styleId="H1">
    <w:name w:val="H1"/>
    <w:basedOn w:val="Heading1"/>
    <w:rsid w:val="00CB7217"/>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C-0270/en" TargetMode="External"/><Relationship Id="rId18" Type="http://schemas.openxmlformats.org/officeDocument/2006/relationships/hyperlink" Target="http://www.itu.int/md/R12-SG05-RP-1003/en" TargetMode="External"/><Relationship Id="rId26" Type="http://schemas.openxmlformats.org/officeDocument/2006/relationships/hyperlink" Target="http://www.itu.int/md/R12-SG05-C-0132/en" TargetMode="External"/><Relationship Id="rId39" Type="http://schemas.openxmlformats.org/officeDocument/2006/relationships/hyperlink" Target="http://www.itu.int/md/R12-WP5C-C-0428/en" TargetMode="External"/><Relationship Id="rId21" Type="http://schemas.openxmlformats.org/officeDocument/2006/relationships/hyperlink" Target="http://www.itu.int/ITU-R/go/workshop-wp5abc-79ghz/en" TargetMode="External"/><Relationship Id="rId34" Type="http://schemas.openxmlformats.org/officeDocument/2006/relationships/hyperlink" Target="http://www.itu.int/md/R12-SG05-RP-1008/en" TargetMode="External"/><Relationship Id="rId42" Type="http://schemas.openxmlformats.org/officeDocument/2006/relationships/hyperlink" Target="http://www.itu.int/md/R12-SG05-RP-1005/en" TargetMode="External"/><Relationship Id="rId47" Type="http://schemas.openxmlformats.org/officeDocument/2006/relationships/hyperlink" Target="http://www.itu.int/md/R12-SG05-RP-1004/en"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itu.int/md/R12-SG05-RP-1008/en" TargetMode="External"/><Relationship Id="rId17" Type="http://schemas.openxmlformats.org/officeDocument/2006/relationships/hyperlink" Target="http://www.itu.int/md/R12-SG05-RP-1004/en" TargetMode="External"/><Relationship Id="rId25" Type="http://schemas.openxmlformats.org/officeDocument/2006/relationships/hyperlink" Target="http://www.itu.int/md/R12-SG05-RP-1006/en" TargetMode="External"/><Relationship Id="rId33" Type="http://schemas.openxmlformats.org/officeDocument/2006/relationships/hyperlink" Target="http://www.itu.int/md/R12-SG05-RP-1008/en" TargetMode="External"/><Relationship Id="rId38" Type="http://schemas.openxmlformats.org/officeDocument/2006/relationships/hyperlink" Target="http://www.itu.int/md/R12-WP5B-C-0883/en" TargetMode="External"/><Relationship Id="rId46" Type="http://schemas.openxmlformats.org/officeDocument/2006/relationships/hyperlink" Target="http://www.itu.int/md/R12-SG05-RP-1004/en" TargetMode="External"/><Relationship Id="rId2" Type="http://schemas.openxmlformats.org/officeDocument/2006/relationships/styles" Target="styles.xml"/><Relationship Id="rId16" Type="http://schemas.openxmlformats.org/officeDocument/2006/relationships/hyperlink" Target="http://www.itu.int/md/R12-SG05-RP-1004/en" TargetMode="External"/><Relationship Id="rId20" Type="http://schemas.openxmlformats.org/officeDocument/2006/relationships/hyperlink" Target="http://www.itu.int/ITU-R/go/workshop-wp5abc-wrc15/en" TargetMode="External"/><Relationship Id="rId29" Type="http://schemas.openxmlformats.org/officeDocument/2006/relationships/hyperlink" Target="http://www.itu.int/ITU-R/go/workshop-wp5abc-wrc15/en" TargetMode="External"/><Relationship Id="rId41" Type="http://schemas.openxmlformats.org/officeDocument/2006/relationships/hyperlink" Target="http://www.itu.int/md/R12-SG05-RP-1007/en" TargetMode="External"/><Relationship Id="rId54"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R12-SG05-RP-1007/en" TargetMode="External"/><Relationship Id="rId24" Type="http://schemas.openxmlformats.org/officeDocument/2006/relationships/hyperlink" Target="http://www.itu.int/md/R12-SG05-RP-1007/en" TargetMode="External"/><Relationship Id="rId32" Type="http://schemas.openxmlformats.org/officeDocument/2006/relationships/hyperlink" Target="http://www.itu.int/ITU-R/go/rsg5-imt-advanced/" TargetMode="External"/><Relationship Id="rId37" Type="http://schemas.openxmlformats.org/officeDocument/2006/relationships/hyperlink" Target="http://www.itu.int/md/R12-WP5A-C-0736/en" TargetMode="External"/><Relationship Id="rId40" Type="http://schemas.openxmlformats.org/officeDocument/2006/relationships/hyperlink" Target="http://www.itu.int/md/R12-WP5D-C-1042/en" TargetMode="External"/><Relationship Id="rId45" Type="http://schemas.openxmlformats.org/officeDocument/2006/relationships/hyperlink" Target="http://www.itu.int/md/R12-SG05-RP-1004/en"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tu.int/md/R12-SG05-C-0270/en" TargetMode="External"/><Relationship Id="rId23" Type="http://schemas.openxmlformats.org/officeDocument/2006/relationships/hyperlink" Target="http://www.itu.int/en/ITU-R/seminars/rsg/RWP5A-2013" TargetMode="External"/><Relationship Id="rId28" Type="http://schemas.openxmlformats.org/officeDocument/2006/relationships/hyperlink" Target="http://www.itu.int/md/R12-WP5B-C-0883/en" TargetMode="External"/><Relationship Id="rId36" Type="http://schemas.openxmlformats.org/officeDocument/2006/relationships/hyperlink" Target="http://www.itu.int/go/statusofstudies" TargetMode="External"/><Relationship Id="rId49" Type="http://schemas.openxmlformats.org/officeDocument/2006/relationships/header" Target="header1.xml"/><Relationship Id="rId10" Type="http://schemas.openxmlformats.org/officeDocument/2006/relationships/hyperlink" Target="http://www.itu.int/md/R12-SG05-RP-1006/en" TargetMode="External"/><Relationship Id="rId19" Type="http://schemas.openxmlformats.org/officeDocument/2006/relationships/hyperlink" Target="http://www.itu.int/ITUR/index.asp?category=information&amp;rlink=res647&amp;lang=en" TargetMode="External"/><Relationship Id="rId31" Type="http://schemas.openxmlformats.org/officeDocument/2006/relationships/hyperlink" Target="https://extranet.itu.int/rsg-meetings/sg4/wp4b/eng-sng/SitePages/Home.aspx" TargetMode="External"/><Relationship Id="rId44" Type="http://schemas.openxmlformats.org/officeDocument/2006/relationships/hyperlink" Target="http://www.itu.int/md/R12-SG05-RP-1008/en"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itu.int/md/R00-CACE-CIR-0742/en" TargetMode="External"/><Relationship Id="rId14" Type="http://schemas.openxmlformats.org/officeDocument/2006/relationships/hyperlink" Target="http://www.itu.int/md/R12-SG05-RP-1009/en" TargetMode="External"/><Relationship Id="rId22" Type="http://schemas.openxmlformats.org/officeDocument/2006/relationships/hyperlink" Target="http://www.itu.int/oth/R0A06000057/en" TargetMode="External"/><Relationship Id="rId27" Type="http://schemas.openxmlformats.org/officeDocument/2006/relationships/hyperlink" Target="http://www.itu.int/md/R12-WP5B-C-0670/en" TargetMode="External"/><Relationship Id="rId30" Type="http://schemas.openxmlformats.org/officeDocument/2006/relationships/hyperlink" Target="http://www.itu.int/ITU-R/go/workshop-wp5abc-wrc15/en" TargetMode="External"/><Relationship Id="rId35" Type="http://schemas.openxmlformats.org/officeDocument/2006/relationships/hyperlink" Target="http://www.itu.int/md/R12-SG05-RP-1009/en" TargetMode="External"/><Relationship Id="rId43" Type="http://schemas.openxmlformats.org/officeDocument/2006/relationships/hyperlink" Target="http://www.itu.int/md/R12-SG05-RP-1009/en" TargetMode="External"/><Relationship Id="rId48" Type="http://schemas.openxmlformats.org/officeDocument/2006/relationships/hyperlink" Target="http://www.itu.int/pub/R-REP-M/publications.aspx?lang=en&amp;parent=R-REP-M.2330" TargetMode="External"/><Relationship Id="rId8" Type="http://schemas.openxmlformats.org/officeDocument/2006/relationships/hyperlink" Target="http://www.itu.int/md/R12-SG05-RP-1005/en" TargetMode="External"/><Relationship Id="rId51" Type="http://schemas.openxmlformats.org/officeDocument/2006/relationships/footer" Target="footer2.xm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356</TotalTime>
  <Pages>32</Pages>
  <Words>12583</Words>
  <Characters>69335</Characters>
  <Application>Microsoft Office Word</Application>
  <DocSecurity>0</DocSecurity>
  <Lines>577</Lines>
  <Paragraphs>163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81755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49</cp:revision>
  <cp:lastPrinted>2015-10-16T07:23:00Z</cp:lastPrinted>
  <dcterms:created xsi:type="dcterms:W3CDTF">2015-10-15T13:11:00Z</dcterms:created>
  <dcterms:modified xsi:type="dcterms:W3CDTF">2015-10-16T13:53:00Z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