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345"/>
        <w:gridCol w:w="3686"/>
      </w:tblGrid>
      <w:tr w:rsidR="0074369E" w:rsidRPr="001125CE">
        <w:trPr>
          <w:cantSplit/>
        </w:trPr>
        <w:tc>
          <w:tcPr>
            <w:tcW w:w="6345" w:type="dxa"/>
          </w:tcPr>
          <w:p w:rsidR="0074369E" w:rsidRPr="001125CE" w:rsidRDefault="0074369E" w:rsidP="005335D1">
            <w:pPr>
              <w:spacing w:before="400" w:after="48" w:line="240" w:lineRule="atLeast"/>
              <w:rPr>
                <w:rFonts w:ascii="Verdana" w:hAnsi="Verdana"/>
                <w:position w:val="6"/>
              </w:rPr>
            </w:pPr>
            <w:bookmarkStart w:id="0" w:name="dbluepink" w:colFirst="0" w:colLast="0"/>
            <w:r w:rsidRPr="001125CE">
              <w:rPr>
                <w:rFonts w:ascii="Verdana" w:hAnsi="Verdana" w:cs="Times New Roman Bold"/>
                <w:b/>
                <w:szCs w:val="24"/>
              </w:rPr>
              <w:t>Asamblea de Radiocomunicaciones (AR-15)</w:t>
            </w:r>
            <w:r w:rsidRPr="001125CE">
              <w:rPr>
                <w:rFonts w:ascii="Verdana" w:hAnsi="Verdana" w:cs="Times"/>
                <w:b/>
                <w:position w:val="6"/>
                <w:sz w:val="20"/>
              </w:rPr>
              <w:t xml:space="preserve"> </w:t>
            </w:r>
            <w:r w:rsidRPr="001125CE">
              <w:rPr>
                <w:rFonts w:ascii="Verdana" w:hAnsi="Verdana" w:cs="Times"/>
                <w:b/>
                <w:position w:val="6"/>
                <w:sz w:val="20"/>
              </w:rPr>
              <w:br/>
            </w:r>
            <w:r w:rsidRPr="001125CE">
              <w:rPr>
                <w:rFonts w:ascii="Verdana" w:hAnsi="Verdana" w:cs="Times New Roman Bold"/>
                <w:b/>
                <w:bCs/>
                <w:sz w:val="20"/>
              </w:rPr>
              <w:t>Ginebra, 26-30 de octubre de 2015</w:t>
            </w:r>
          </w:p>
        </w:tc>
        <w:tc>
          <w:tcPr>
            <w:tcW w:w="3686" w:type="dxa"/>
          </w:tcPr>
          <w:p w:rsidR="0074369E" w:rsidRPr="001125CE" w:rsidRDefault="0074369E" w:rsidP="005335D1">
            <w:pPr>
              <w:spacing w:line="240" w:lineRule="atLeast"/>
              <w:jc w:val="right"/>
            </w:pPr>
            <w:bookmarkStart w:id="1" w:name="ditulogo"/>
            <w:bookmarkEnd w:id="1"/>
            <w:r w:rsidRPr="001125CE">
              <w:rPr>
                <w:noProof/>
                <w:lang w:eastAsia="zh-CN"/>
              </w:rPr>
              <w:drawing>
                <wp:inline distT="0" distB="0" distL="0" distR="0" wp14:anchorId="1BCF6ADC" wp14:editId="7F434106">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74369E" w:rsidRPr="001125CE">
        <w:trPr>
          <w:cantSplit/>
        </w:trPr>
        <w:tc>
          <w:tcPr>
            <w:tcW w:w="6345" w:type="dxa"/>
            <w:tcBorders>
              <w:bottom w:val="single" w:sz="12" w:space="0" w:color="auto"/>
            </w:tcBorders>
          </w:tcPr>
          <w:p w:rsidR="0074369E" w:rsidRPr="001125CE" w:rsidRDefault="0074369E" w:rsidP="0074369E">
            <w:pPr>
              <w:spacing w:before="0" w:after="48" w:line="240" w:lineRule="atLeast"/>
              <w:rPr>
                <w:b/>
                <w:smallCaps/>
                <w:szCs w:val="24"/>
              </w:rPr>
            </w:pPr>
            <w:bookmarkStart w:id="2" w:name="dhead"/>
            <w:r w:rsidRPr="001125CE">
              <w:rPr>
                <w:rFonts w:ascii="Verdana" w:hAnsi="Verdana"/>
                <w:b/>
                <w:smallCaps/>
                <w:sz w:val="20"/>
              </w:rPr>
              <w:t>UNIÓN INTERNACIONAL DE TELECOMUNICACIONES</w:t>
            </w:r>
          </w:p>
        </w:tc>
        <w:tc>
          <w:tcPr>
            <w:tcW w:w="3686" w:type="dxa"/>
            <w:tcBorders>
              <w:bottom w:val="single" w:sz="12" w:space="0" w:color="auto"/>
            </w:tcBorders>
          </w:tcPr>
          <w:p w:rsidR="0074369E" w:rsidRPr="001125CE" w:rsidRDefault="0074369E" w:rsidP="0074369E">
            <w:pPr>
              <w:spacing w:before="0" w:line="240" w:lineRule="atLeast"/>
              <w:rPr>
                <w:rFonts w:ascii="Verdana" w:hAnsi="Verdana"/>
                <w:szCs w:val="24"/>
              </w:rPr>
            </w:pPr>
          </w:p>
        </w:tc>
      </w:tr>
      <w:tr w:rsidR="0074369E" w:rsidRPr="001125CE">
        <w:trPr>
          <w:cantSplit/>
        </w:trPr>
        <w:tc>
          <w:tcPr>
            <w:tcW w:w="6345" w:type="dxa"/>
            <w:tcBorders>
              <w:top w:val="single" w:sz="12" w:space="0" w:color="auto"/>
            </w:tcBorders>
          </w:tcPr>
          <w:p w:rsidR="0074369E" w:rsidRPr="001125CE" w:rsidRDefault="0074369E" w:rsidP="0074369E">
            <w:pPr>
              <w:spacing w:before="0" w:after="48" w:line="240" w:lineRule="atLeast"/>
              <w:rPr>
                <w:rFonts w:ascii="Verdana" w:hAnsi="Verdana"/>
                <w:b/>
                <w:smallCaps/>
                <w:sz w:val="20"/>
              </w:rPr>
            </w:pPr>
          </w:p>
        </w:tc>
        <w:tc>
          <w:tcPr>
            <w:tcW w:w="3686" w:type="dxa"/>
            <w:tcBorders>
              <w:top w:val="single" w:sz="12" w:space="0" w:color="auto"/>
            </w:tcBorders>
          </w:tcPr>
          <w:p w:rsidR="0074369E" w:rsidRPr="001125CE" w:rsidRDefault="0074369E" w:rsidP="0074369E">
            <w:pPr>
              <w:spacing w:before="0" w:line="240" w:lineRule="atLeast"/>
              <w:rPr>
                <w:rFonts w:ascii="Verdana" w:hAnsi="Verdana"/>
                <w:sz w:val="20"/>
              </w:rPr>
            </w:pPr>
          </w:p>
        </w:tc>
      </w:tr>
      <w:tr w:rsidR="0074369E" w:rsidRPr="001125CE">
        <w:trPr>
          <w:cantSplit/>
          <w:trHeight w:val="23"/>
        </w:trPr>
        <w:tc>
          <w:tcPr>
            <w:tcW w:w="6345" w:type="dxa"/>
            <w:vMerge w:val="restart"/>
          </w:tcPr>
          <w:p w:rsidR="0074369E" w:rsidRPr="001125CE" w:rsidRDefault="0074369E" w:rsidP="0074369E">
            <w:pPr>
              <w:tabs>
                <w:tab w:val="left" w:pos="851"/>
              </w:tabs>
              <w:spacing w:before="0" w:line="240" w:lineRule="atLeast"/>
              <w:rPr>
                <w:rFonts w:ascii="Verdana" w:hAnsi="Verdana"/>
                <w:sz w:val="20"/>
              </w:rPr>
            </w:pPr>
            <w:bookmarkStart w:id="3" w:name="dnum" w:colFirst="1" w:colLast="1"/>
            <w:bookmarkStart w:id="4" w:name="dmeeting" w:colFirst="0" w:colLast="0"/>
            <w:bookmarkEnd w:id="2"/>
          </w:p>
        </w:tc>
        <w:tc>
          <w:tcPr>
            <w:tcW w:w="3686" w:type="dxa"/>
          </w:tcPr>
          <w:p w:rsidR="0074369E" w:rsidRPr="001125CE" w:rsidRDefault="0074369E" w:rsidP="00716CA4">
            <w:pPr>
              <w:tabs>
                <w:tab w:val="left" w:pos="851"/>
              </w:tabs>
              <w:spacing w:before="0" w:line="240" w:lineRule="atLeast"/>
              <w:rPr>
                <w:rFonts w:ascii="Verdana" w:hAnsi="Verdana"/>
                <w:sz w:val="20"/>
              </w:rPr>
            </w:pPr>
            <w:r w:rsidRPr="001125CE">
              <w:rPr>
                <w:rFonts w:ascii="Verdana" w:hAnsi="Verdana"/>
                <w:b/>
                <w:sz w:val="20"/>
              </w:rPr>
              <w:t xml:space="preserve">Documento </w:t>
            </w:r>
            <w:r w:rsidR="00716CA4" w:rsidRPr="001125CE">
              <w:rPr>
                <w:rFonts w:ascii="Verdana" w:hAnsi="Verdana"/>
                <w:b/>
                <w:sz w:val="20"/>
              </w:rPr>
              <w:t>1</w:t>
            </w:r>
            <w:r w:rsidRPr="001125CE">
              <w:rPr>
                <w:rFonts w:ascii="Verdana" w:hAnsi="Verdana"/>
                <w:b/>
                <w:sz w:val="20"/>
              </w:rPr>
              <w:t>/1001-S</w:t>
            </w:r>
          </w:p>
        </w:tc>
      </w:tr>
      <w:tr w:rsidR="0074369E" w:rsidRPr="001125CE">
        <w:trPr>
          <w:cantSplit/>
          <w:trHeight w:val="23"/>
        </w:trPr>
        <w:tc>
          <w:tcPr>
            <w:tcW w:w="6345" w:type="dxa"/>
            <w:vMerge/>
          </w:tcPr>
          <w:p w:rsidR="0074369E" w:rsidRPr="001125CE" w:rsidRDefault="0074369E">
            <w:pPr>
              <w:tabs>
                <w:tab w:val="left" w:pos="851"/>
              </w:tabs>
              <w:spacing w:line="240" w:lineRule="atLeast"/>
              <w:rPr>
                <w:rFonts w:ascii="Verdana" w:hAnsi="Verdana"/>
                <w:b/>
                <w:sz w:val="20"/>
              </w:rPr>
            </w:pPr>
            <w:bookmarkStart w:id="5" w:name="ddate" w:colFirst="1" w:colLast="1"/>
            <w:bookmarkEnd w:id="3"/>
            <w:bookmarkEnd w:id="4"/>
          </w:p>
        </w:tc>
        <w:tc>
          <w:tcPr>
            <w:tcW w:w="3686" w:type="dxa"/>
          </w:tcPr>
          <w:p w:rsidR="0074369E" w:rsidRPr="001125CE" w:rsidRDefault="0074369E" w:rsidP="0074369E">
            <w:pPr>
              <w:tabs>
                <w:tab w:val="left" w:pos="993"/>
              </w:tabs>
              <w:spacing w:before="0"/>
              <w:rPr>
                <w:rFonts w:ascii="Verdana" w:hAnsi="Verdana"/>
                <w:sz w:val="20"/>
              </w:rPr>
            </w:pPr>
            <w:r w:rsidRPr="001125CE">
              <w:rPr>
                <w:rFonts w:ascii="Verdana" w:hAnsi="Verdana"/>
                <w:b/>
                <w:sz w:val="20"/>
              </w:rPr>
              <w:t>28 de septiembre de 2015</w:t>
            </w:r>
          </w:p>
        </w:tc>
      </w:tr>
      <w:tr w:rsidR="0074369E" w:rsidRPr="001125CE">
        <w:trPr>
          <w:cantSplit/>
          <w:trHeight w:val="23"/>
        </w:trPr>
        <w:tc>
          <w:tcPr>
            <w:tcW w:w="6345" w:type="dxa"/>
            <w:vMerge/>
          </w:tcPr>
          <w:p w:rsidR="0074369E" w:rsidRPr="001125CE" w:rsidRDefault="0074369E">
            <w:pPr>
              <w:tabs>
                <w:tab w:val="left" w:pos="851"/>
              </w:tabs>
              <w:spacing w:line="240" w:lineRule="atLeast"/>
              <w:rPr>
                <w:rFonts w:ascii="Verdana" w:hAnsi="Verdana"/>
                <w:b/>
                <w:sz w:val="20"/>
              </w:rPr>
            </w:pPr>
            <w:bookmarkStart w:id="6" w:name="dorlang" w:colFirst="1" w:colLast="1"/>
            <w:bookmarkEnd w:id="5"/>
          </w:p>
        </w:tc>
        <w:tc>
          <w:tcPr>
            <w:tcW w:w="3686" w:type="dxa"/>
          </w:tcPr>
          <w:p w:rsidR="0074369E" w:rsidRPr="001125CE" w:rsidRDefault="0074369E" w:rsidP="0074369E">
            <w:pPr>
              <w:tabs>
                <w:tab w:val="left" w:pos="993"/>
              </w:tabs>
              <w:spacing w:before="0" w:after="120"/>
              <w:rPr>
                <w:rFonts w:ascii="Verdana" w:hAnsi="Verdana"/>
                <w:sz w:val="20"/>
              </w:rPr>
            </w:pPr>
          </w:p>
        </w:tc>
      </w:tr>
    </w:tbl>
    <w:tbl>
      <w:tblPr>
        <w:tblW w:w="10031" w:type="dxa"/>
        <w:tblLayout w:type="fixed"/>
        <w:tblLook w:val="0000" w:firstRow="0" w:lastRow="0" w:firstColumn="0" w:lastColumn="0" w:noHBand="0" w:noVBand="0"/>
      </w:tblPr>
      <w:tblGrid>
        <w:gridCol w:w="10031"/>
      </w:tblGrid>
      <w:tr w:rsidR="0074369E" w:rsidRPr="001125CE">
        <w:trPr>
          <w:cantSplit/>
        </w:trPr>
        <w:tc>
          <w:tcPr>
            <w:tcW w:w="10031" w:type="dxa"/>
          </w:tcPr>
          <w:p w:rsidR="0074369E" w:rsidRPr="001125CE" w:rsidRDefault="0074369E" w:rsidP="0074369E">
            <w:pPr>
              <w:pStyle w:val="Source"/>
            </w:pPr>
            <w:bookmarkStart w:id="7" w:name="dsource" w:colFirst="0" w:colLast="0"/>
            <w:bookmarkEnd w:id="0"/>
            <w:bookmarkEnd w:id="6"/>
            <w:r w:rsidRPr="001125CE">
              <w:t>Presidente de la Comisión de Estudio 1 de Radiocomunicaciones</w:t>
            </w:r>
          </w:p>
        </w:tc>
      </w:tr>
      <w:tr w:rsidR="0074369E" w:rsidRPr="001125CE">
        <w:trPr>
          <w:cantSplit/>
        </w:trPr>
        <w:tc>
          <w:tcPr>
            <w:tcW w:w="10031" w:type="dxa"/>
          </w:tcPr>
          <w:p w:rsidR="0074369E" w:rsidRPr="001125CE" w:rsidRDefault="0074369E" w:rsidP="0074369E">
            <w:pPr>
              <w:pStyle w:val="Title1"/>
            </w:pPr>
            <w:bookmarkStart w:id="8" w:name="dtitle1" w:colFirst="0" w:colLast="0"/>
            <w:bookmarkEnd w:id="7"/>
            <w:r w:rsidRPr="001125CE">
              <w:t>INFORME DEL PRESIDENTE</w:t>
            </w:r>
          </w:p>
        </w:tc>
      </w:tr>
      <w:tr w:rsidR="0074369E" w:rsidRPr="001125CE">
        <w:trPr>
          <w:cantSplit/>
        </w:trPr>
        <w:tc>
          <w:tcPr>
            <w:tcW w:w="10031" w:type="dxa"/>
          </w:tcPr>
          <w:p w:rsidR="0074369E" w:rsidRPr="001125CE" w:rsidRDefault="0074369E" w:rsidP="0074369E">
            <w:pPr>
              <w:pStyle w:val="Title2"/>
            </w:pPr>
            <w:bookmarkStart w:id="9" w:name="dtitle2" w:colFirst="0" w:colLast="0"/>
            <w:bookmarkEnd w:id="8"/>
            <w:r w:rsidRPr="001125CE">
              <w:t>GESTIÓN DEL ESPECTRO</w:t>
            </w:r>
          </w:p>
        </w:tc>
      </w:tr>
    </w:tbl>
    <w:bookmarkEnd w:id="9"/>
    <w:p w:rsidR="0074369E" w:rsidRPr="001125CE" w:rsidRDefault="0074369E" w:rsidP="0074369E">
      <w:pPr>
        <w:pStyle w:val="Heading1"/>
      </w:pPr>
      <w:r w:rsidRPr="001125CE">
        <w:t>1</w:t>
      </w:r>
      <w:r w:rsidRPr="001125CE">
        <w:tab/>
        <w:t>Resumen</w:t>
      </w:r>
    </w:p>
    <w:p w:rsidR="0074369E" w:rsidRPr="001125CE" w:rsidRDefault="0074369E" w:rsidP="0074369E">
      <w:r w:rsidRPr="001125CE">
        <w:t>La Comisión de Estudio (CE) 1 mantiene tres Grupos de Trabajo de conformidad con la Sección 2 de la Resolución UIT-R 1-6. Durante este periodo de estudios, la Comisión de Estudio y los Grupos de Trabajo 1A y 1C se reunieron cuatro veces, mientras que el</w:t>
      </w:r>
      <w:r w:rsidR="006A534F" w:rsidRPr="001125CE">
        <w:t xml:space="preserve"> Grupo de Trabajo</w:t>
      </w:r>
      <w:r w:rsidRPr="001125CE">
        <w:t xml:space="preserve"> (GT) 1B se reunió en total cinco veces.</w:t>
      </w:r>
    </w:p>
    <w:p w:rsidR="0074369E" w:rsidRPr="001125CE" w:rsidRDefault="0074369E" w:rsidP="0074369E">
      <w:r w:rsidRPr="001125CE">
        <w:t>Durante este mismo periodo de estudios, la Comisión de Estudio 1 adoptó un proyecto de nueva Cuestión y proyectos de revisión de otras cuatro Cuestiones, y propuso la supresión de dos Cuestiones. Los Estados Miembros aprobaron estas propuestas. También durante este periodo de estudios, la Comisión de Estudio 1 adoptó cinco proyectos de nueva Recomendación y proyectos de revisión de veinte Recomendaciones, y propuso la supresión de tres Recomendaciones. Los Estados Miembros también aprobaron estas propuestas. La Comisión de Estudio 1 no presenta a la Asamblea de Radiocomunicaciones proyectos de Cuestión ni proyectos de Recomendación para su aprobación.</w:t>
      </w:r>
    </w:p>
    <w:p w:rsidR="0074369E" w:rsidRPr="001125CE" w:rsidRDefault="0074369E" w:rsidP="0074369E">
      <w:r w:rsidRPr="001125CE">
        <w:t>Durante este periodo, la Comisión de Estudio aprobó 14 nuevos Informes y revisiones de trece Informes.</w:t>
      </w:r>
    </w:p>
    <w:p w:rsidR="0074369E" w:rsidRPr="001125CE" w:rsidRDefault="0074369E" w:rsidP="0074369E">
      <w:r w:rsidRPr="001125CE">
        <w:t>En el marco de los preparativos para la Conferencia Mundial de Radiocomunicaciones 2015 (CMR</w:t>
      </w:r>
      <w:r w:rsidRPr="001125CE">
        <w:noBreakHyphen/>
        <w:t xml:space="preserve">15) y la segunda sesión de la Reunión Preparatoria de la Conferencia para la CMR-15 (RPC15–2), el GT 1B concluyó los estudios y elaboró los textos del proyecto de Informe de la RPC relativos a las Cuestiones 9.1.4 (Res. </w:t>
      </w:r>
      <w:r w:rsidRPr="001125CE">
        <w:rPr>
          <w:b/>
          <w:bCs/>
        </w:rPr>
        <w:t>67 (CMR-12)</w:t>
      </w:r>
      <w:r w:rsidRPr="001125CE">
        <w:t xml:space="preserve">), 9.1.6 (Res. </w:t>
      </w:r>
      <w:r w:rsidRPr="001125CE">
        <w:rPr>
          <w:b/>
          <w:bCs/>
        </w:rPr>
        <w:t>957 (CMR-12)</w:t>
      </w:r>
      <w:r w:rsidRPr="001125CE">
        <w:t xml:space="preserve">) y 9.1.7 (Res. </w:t>
      </w:r>
      <w:r w:rsidRPr="001125CE">
        <w:rPr>
          <w:b/>
          <w:bCs/>
        </w:rPr>
        <w:t>647 (Rev.CMR-12)</w:t>
      </w:r>
      <w:r w:rsidRPr="001125CE">
        <w:t>) identificadas por la RPC15-1 con arreglo al punto 9.1 del orden del día de la CMR-15.</w:t>
      </w:r>
    </w:p>
    <w:p w:rsidR="0074369E" w:rsidRPr="001125CE" w:rsidRDefault="0074369E" w:rsidP="0074369E">
      <w:r w:rsidRPr="001125CE">
        <w:t xml:space="preserve">Además de sus actividades de coordinación ad hoc con otros grupos del UIT-R, la Comisión de Estudio 1 mantiene la coordinación con otros grupos, principalmente con el Sector de Desarrollo de la UIT, con el que sigue trabajando en materia de gestión del espectro, desarrollo de software y actividades de seguimiento en el marco del Grupo de Trabajo Mixto UIT-D/UIT-R para abordar la Resolución 9 (Rev. CMDT-06), el Sector de Normalización de la UIT, en particular en cuestiones relativas a la compatibilidad entre servicios de radiocomunicaciones y sistemas de telecomunicaciones por líneas eléctricas (PLC), y el Comité Internacional Especial de </w:t>
      </w:r>
      <w:r w:rsidRPr="001125CE">
        <w:lastRenderedPageBreak/>
        <w:t xml:space="preserve">Perturbaciones Radioeléctricas </w:t>
      </w:r>
      <w:r w:rsidRPr="001125CE">
        <w:rPr>
          <w:bCs/>
        </w:rPr>
        <w:t>(CISPR), a fin de limitar los niveles de radiación de los equipos industriales, científicos y médicos (ICM) para proteger los servicios de radiocomunicaciones.</w:t>
      </w:r>
    </w:p>
    <w:p w:rsidR="0074369E" w:rsidRPr="001125CE" w:rsidRDefault="0074369E" w:rsidP="002C4082">
      <w:r w:rsidRPr="001125CE">
        <w:t xml:space="preserve">Durante este periodo de estudios, el GT 1A elaboró la Edición de 2015 del </w:t>
      </w:r>
      <w:r w:rsidRPr="001125CE">
        <w:rPr>
          <w:i/>
          <w:iCs/>
        </w:rPr>
        <w:t>Manual de la UIT sobre Técnicas Informatizadas para la Gestión del Espectro</w:t>
      </w:r>
      <w:r w:rsidRPr="001125CE">
        <w:t xml:space="preserve"> y el GT 1B elaboró la edición de 2015 del </w:t>
      </w:r>
      <w:r w:rsidRPr="001125CE">
        <w:rPr>
          <w:i/>
          <w:iCs/>
        </w:rPr>
        <w:t>Manual de la UIT sobre gestión nacional del espectro</w:t>
      </w:r>
      <w:r w:rsidRPr="001125CE">
        <w:t>, que aprobó la CE 1.</w:t>
      </w:r>
    </w:p>
    <w:p w:rsidR="0074369E" w:rsidRPr="001125CE" w:rsidRDefault="0074369E" w:rsidP="0074369E">
      <w:r w:rsidRPr="001125CE">
        <w:t>Además del presente Informe del Presidente, la CE 1 presenta a la Asamblea de Radiocomunicaciones otras tres contribuciones:</w:t>
      </w:r>
    </w:p>
    <w:p w:rsidR="0074369E" w:rsidRPr="001125CE" w:rsidRDefault="0074369E" w:rsidP="00B41EEC">
      <w:pPr>
        <w:pStyle w:val="enumlev1"/>
      </w:pPr>
      <w:r w:rsidRPr="001125CE">
        <w:t>–</w:t>
      </w:r>
      <w:r w:rsidRPr="001125CE">
        <w:tab/>
        <w:t>una lista de las Recomendaciones de la serie SM del UIT-R (Documento 1/1002);</w:t>
      </w:r>
    </w:p>
    <w:p w:rsidR="0074369E" w:rsidRPr="001125CE" w:rsidRDefault="0074369E" w:rsidP="00B41EEC">
      <w:pPr>
        <w:pStyle w:val="enumlev1"/>
      </w:pPr>
      <w:r w:rsidRPr="001125CE">
        <w:t>–</w:t>
      </w:r>
      <w:r w:rsidRPr="001125CE">
        <w:tab/>
        <w:t>una lista de las Cuestiones UIT-R asignadas a la Comisión de Estudio 1 (Documento 1/1003);</w:t>
      </w:r>
    </w:p>
    <w:p w:rsidR="0074369E" w:rsidRPr="001125CE" w:rsidRDefault="0074369E" w:rsidP="00B41EEC">
      <w:pPr>
        <w:pStyle w:val="enumlev1"/>
      </w:pPr>
      <w:r w:rsidRPr="001125CE">
        <w:t>–</w:t>
      </w:r>
      <w:r w:rsidRPr="001125CE">
        <w:tab/>
        <w:t>una propuesta de acción relativa a once Resoluciones UIT-R de especial interés para la Comisión de Estudio 1, además de un proyecto de revisión de cinco de esas Resoluciones (Documento 1/1004 y sus Anexos 1 a 5).</w:t>
      </w:r>
    </w:p>
    <w:p w:rsidR="0074369E" w:rsidRPr="001125CE" w:rsidRDefault="0074369E" w:rsidP="0074369E">
      <w:pPr>
        <w:pStyle w:val="Heading1"/>
      </w:pPr>
      <w:r w:rsidRPr="001125CE">
        <w:t>2</w:t>
      </w:r>
      <w:r w:rsidRPr="001125CE">
        <w:tab/>
        <w:t>Programa de trabajo</w:t>
      </w:r>
    </w:p>
    <w:p w:rsidR="0074369E" w:rsidRPr="001125CE" w:rsidRDefault="0074369E" w:rsidP="0074369E">
      <w:r w:rsidRPr="001125CE">
        <w:t>Desde la celebración de la Asamblea de Radiocomunicaciones de 2012, se han asignado 12 Cuestiones (Anexo 1 a la Resolución UIT-R 5-5) a la Comisión de Estudio 1. Durante este periodo de estudios, la Comisión de Estudio 1 adoptó un proyecto de nueva Cuestión y proyectos de revisión de cuatro Cuestiones, y propuso la supresión de 2 Cuestiones (véase la Sección 5). Los Estados Miembros dieron su aprobación a estas medidas.</w:t>
      </w:r>
    </w:p>
    <w:p w:rsidR="0074369E" w:rsidRPr="001125CE" w:rsidRDefault="0074369E" w:rsidP="0074369E">
      <w:r w:rsidRPr="001125CE">
        <w:t>En la Sección 6 siguiente se detallan las actividades de la Comisión de Estudio 1 para la preparación de la Conferencia Mundial de Radiocomunicaciones de 2015.</w:t>
      </w:r>
    </w:p>
    <w:p w:rsidR="0074369E" w:rsidRPr="001125CE" w:rsidRDefault="0074369E" w:rsidP="0074369E">
      <w:pPr>
        <w:pStyle w:val="Heading1"/>
      </w:pPr>
      <w:r w:rsidRPr="001125CE">
        <w:t>3</w:t>
      </w:r>
      <w:r w:rsidRPr="001125CE">
        <w:tab/>
        <w:t>Estructura y dirección</w:t>
      </w:r>
    </w:p>
    <w:p w:rsidR="0074369E" w:rsidRPr="001125CE" w:rsidRDefault="0074369E" w:rsidP="0074369E">
      <w:pPr>
        <w:pStyle w:val="Heading2"/>
        <w:rPr>
          <w:lang w:eastAsia="ja-JP"/>
        </w:rPr>
      </w:pPr>
      <w:r w:rsidRPr="001125CE">
        <w:t>3.1</w:t>
      </w:r>
      <w:r w:rsidRPr="001125CE">
        <w:tab/>
        <w:t xml:space="preserve">Comisión de Estudio </w:t>
      </w:r>
      <w:r w:rsidRPr="001125CE">
        <w:rPr>
          <w:bCs/>
        </w:rPr>
        <w:t>1</w:t>
      </w:r>
    </w:p>
    <w:p w:rsidR="0074369E" w:rsidRPr="001125CE" w:rsidRDefault="0074369E" w:rsidP="0074369E">
      <w:r w:rsidRPr="001125CE">
        <w:t>La Asamblea de Radiocomunicaciones de 2012 nombró un Presidente y nueve Vicepresidentes para la Comisión de Estudio 1:</w:t>
      </w:r>
    </w:p>
    <w:p w:rsidR="0074369E" w:rsidRPr="001125CE" w:rsidRDefault="0074369E" w:rsidP="0074369E">
      <w:pPr>
        <w:spacing w:before="8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3686"/>
        <w:gridCol w:w="4110"/>
      </w:tblGrid>
      <w:tr w:rsidR="000B32D2" w:rsidRPr="001125CE" w:rsidTr="000B32D2">
        <w:trPr>
          <w:cantSplit/>
        </w:trPr>
        <w:tc>
          <w:tcPr>
            <w:tcW w:w="1843" w:type="dxa"/>
          </w:tcPr>
          <w:p w:rsidR="000B32D2" w:rsidRPr="001125CE" w:rsidRDefault="000B32D2" w:rsidP="00F15BA6">
            <w:pPr>
              <w:pStyle w:val="Tabletext"/>
              <w:tabs>
                <w:tab w:val="clear" w:pos="284"/>
              </w:tabs>
              <w:spacing w:before="20" w:after="0"/>
              <w:rPr>
                <w:rFonts w:asciiTheme="majorBidi" w:hAnsiTheme="majorBidi" w:cstheme="majorBidi"/>
                <w:i/>
                <w:iCs/>
                <w:sz w:val="24"/>
                <w:szCs w:val="24"/>
              </w:rPr>
            </w:pPr>
            <w:r w:rsidRPr="001125CE">
              <w:rPr>
                <w:i/>
                <w:iCs/>
                <w:sz w:val="24"/>
                <w:szCs w:val="24"/>
              </w:rPr>
              <w:t>Presidente</w:t>
            </w:r>
            <w:r w:rsidR="001249DA">
              <w:rPr>
                <w:i/>
                <w:iCs/>
                <w:sz w:val="24"/>
                <w:szCs w:val="24"/>
              </w:rPr>
              <w:t>:</w:t>
            </w:r>
          </w:p>
        </w:tc>
        <w:tc>
          <w:tcPr>
            <w:tcW w:w="3686" w:type="dxa"/>
            <w:vAlign w:val="center"/>
          </w:tcPr>
          <w:p w:rsidR="000B32D2" w:rsidRPr="001125CE" w:rsidRDefault="000B32D2" w:rsidP="00F15BA6">
            <w:pPr>
              <w:pStyle w:val="Tabletext"/>
              <w:tabs>
                <w:tab w:val="clear" w:pos="284"/>
              </w:tabs>
              <w:spacing w:before="20" w:after="0"/>
              <w:rPr>
                <w:rFonts w:asciiTheme="majorBidi" w:hAnsiTheme="majorBidi" w:cstheme="majorBidi"/>
                <w:iCs/>
                <w:sz w:val="24"/>
                <w:szCs w:val="24"/>
              </w:rPr>
            </w:pPr>
            <w:r w:rsidRPr="001125CE">
              <w:rPr>
                <w:rFonts w:asciiTheme="majorBidi" w:hAnsiTheme="majorBidi" w:cstheme="majorBidi"/>
                <w:iCs/>
                <w:sz w:val="24"/>
                <w:szCs w:val="24"/>
              </w:rPr>
              <w:t>Dr</w:t>
            </w:r>
            <w:r w:rsidR="00F0646A" w:rsidRPr="001125CE">
              <w:rPr>
                <w:rFonts w:asciiTheme="majorBidi" w:hAnsiTheme="majorBidi" w:cstheme="majorBidi"/>
                <w:iCs/>
                <w:sz w:val="24"/>
                <w:szCs w:val="24"/>
              </w:rPr>
              <w:t>.</w:t>
            </w:r>
            <w:r w:rsidRPr="001125CE">
              <w:rPr>
                <w:rFonts w:asciiTheme="majorBidi" w:hAnsiTheme="majorBidi" w:cstheme="majorBidi"/>
                <w:iCs/>
                <w:sz w:val="24"/>
                <w:szCs w:val="24"/>
              </w:rPr>
              <w:t xml:space="preserve"> S.Y. PASTUKH</w:t>
            </w:r>
          </w:p>
        </w:tc>
        <w:tc>
          <w:tcPr>
            <w:tcW w:w="4110" w:type="dxa"/>
            <w:vAlign w:val="center"/>
          </w:tcPr>
          <w:p w:rsidR="000B32D2" w:rsidRPr="001125CE" w:rsidRDefault="000B32D2" w:rsidP="00F15BA6">
            <w:pPr>
              <w:pStyle w:val="Tabletext"/>
              <w:spacing w:before="20" w:after="0"/>
              <w:ind w:left="108"/>
              <w:rPr>
                <w:rFonts w:asciiTheme="majorBidi" w:hAnsiTheme="majorBidi" w:cstheme="majorBidi"/>
                <w:sz w:val="24"/>
                <w:szCs w:val="24"/>
              </w:rPr>
            </w:pPr>
            <w:r w:rsidRPr="001125CE">
              <w:rPr>
                <w:rFonts w:asciiTheme="majorBidi" w:hAnsiTheme="majorBidi" w:cstheme="majorBidi"/>
                <w:sz w:val="24"/>
                <w:szCs w:val="24"/>
              </w:rPr>
              <w:t>(Federación de Rusia)</w:t>
            </w:r>
          </w:p>
        </w:tc>
      </w:tr>
      <w:tr w:rsidR="000B32D2" w:rsidRPr="001125CE" w:rsidTr="000B32D2">
        <w:trPr>
          <w:cantSplit/>
        </w:trPr>
        <w:tc>
          <w:tcPr>
            <w:tcW w:w="1843" w:type="dxa"/>
          </w:tcPr>
          <w:p w:rsidR="000B32D2" w:rsidRPr="001125CE" w:rsidRDefault="000B32D2" w:rsidP="00F15BA6">
            <w:pPr>
              <w:pStyle w:val="Tabletext"/>
              <w:tabs>
                <w:tab w:val="clear" w:pos="284"/>
              </w:tabs>
              <w:spacing w:before="20" w:after="0"/>
              <w:rPr>
                <w:rFonts w:asciiTheme="majorBidi" w:hAnsiTheme="majorBidi" w:cstheme="majorBidi"/>
                <w:i/>
                <w:iCs/>
                <w:sz w:val="24"/>
                <w:szCs w:val="24"/>
              </w:rPr>
            </w:pPr>
            <w:r w:rsidRPr="001125CE">
              <w:rPr>
                <w:i/>
                <w:iCs/>
                <w:sz w:val="24"/>
                <w:szCs w:val="24"/>
              </w:rPr>
              <w:t>Vicepresidentes:</w:t>
            </w:r>
          </w:p>
        </w:tc>
        <w:tc>
          <w:tcPr>
            <w:tcW w:w="3686" w:type="dxa"/>
            <w:vAlign w:val="center"/>
          </w:tcPr>
          <w:p w:rsidR="000B32D2" w:rsidRPr="001125CE" w:rsidRDefault="000B32D2" w:rsidP="00F15BA6">
            <w:pPr>
              <w:pStyle w:val="Tabletext"/>
              <w:tabs>
                <w:tab w:val="clear" w:pos="284"/>
              </w:tabs>
              <w:spacing w:before="20" w:after="0"/>
              <w:rPr>
                <w:rFonts w:asciiTheme="majorBidi" w:hAnsiTheme="majorBidi" w:cstheme="majorBidi"/>
                <w:iCs/>
                <w:sz w:val="24"/>
                <w:szCs w:val="24"/>
              </w:rPr>
            </w:pPr>
            <w:r w:rsidRPr="001125CE">
              <w:rPr>
                <w:rFonts w:asciiTheme="majorBidi" w:hAnsiTheme="majorBidi" w:cstheme="majorBidi"/>
                <w:iCs/>
                <w:sz w:val="24"/>
                <w:szCs w:val="24"/>
              </w:rPr>
              <w:t>Sr. N. AL-RASHEDI</w:t>
            </w:r>
          </w:p>
        </w:tc>
        <w:tc>
          <w:tcPr>
            <w:tcW w:w="4110" w:type="dxa"/>
            <w:vAlign w:val="center"/>
          </w:tcPr>
          <w:p w:rsidR="000B32D2" w:rsidRPr="001125CE" w:rsidRDefault="000B32D2" w:rsidP="00F15BA6">
            <w:pPr>
              <w:pStyle w:val="Tabletext"/>
              <w:spacing w:before="20" w:after="0"/>
              <w:ind w:left="108"/>
              <w:rPr>
                <w:rFonts w:asciiTheme="majorBidi" w:hAnsiTheme="majorBidi" w:cstheme="majorBidi"/>
                <w:sz w:val="24"/>
                <w:szCs w:val="24"/>
              </w:rPr>
            </w:pPr>
            <w:r w:rsidRPr="001125CE">
              <w:rPr>
                <w:rFonts w:asciiTheme="majorBidi" w:hAnsiTheme="majorBidi" w:cstheme="majorBidi"/>
                <w:sz w:val="24"/>
                <w:szCs w:val="24"/>
              </w:rPr>
              <w:t>(Emiratos Árabes Unidos)</w:t>
            </w:r>
          </w:p>
        </w:tc>
      </w:tr>
      <w:tr w:rsidR="000B32D2" w:rsidRPr="001125CE" w:rsidTr="000B32D2">
        <w:trPr>
          <w:cantSplit/>
        </w:trPr>
        <w:tc>
          <w:tcPr>
            <w:tcW w:w="1843" w:type="dxa"/>
          </w:tcPr>
          <w:p w:rsidR="000B32D2" w:rsidRPr="001125CE" w:rsidRDefault="000B32D2" w:rsidP="00F15BA6">
            <w:pPr>
              <w:pStyle w:val="Tabletext"/>
              <w:tabs>
                <w:tab w:val="clear" w:pos="284"/>
              </w:tabs>
              <w:spacing w:before="20" w:after="0"/>
              <w:rPr>
                <w:rFonts w:asciiTheme="majorBidi" w:hAnsiTheme="majorBidi" w:cstheme="majorBidi"/>
                <w:iCs/>
                <w:sz w:val="24"/>
                <w:szCs w:val="24"/>
              </w:rPr>
            </w:pPr>
          </w:p>
        </w:tc>
        <w:tc>
          <w:tcPr>
            <w:tcW w:w="3686" w:type="dxa"/>
            <w:vAlign w:val="center"/>
          </w:tcPr>
          <w:p w:rsidR="000B32D2" w:rsidRPr="001125CE" w:rsidRDefault="00F0646A" w:rsidP="00F15BA6">
            <w:pPr>
              <w:pStyle w:val="Tabletext"/>
              <w:tabs>
                <w:tab w:val="clear" w:pos="284"/>
              </w:tabs>
              <w:spacing w:before="20" w:after="0"/>
              <w:rPr>
                <w:rFonts w:asciiTheme="majorBidi" w:hAnsiTheme="majorBidi" w:cstheme="majorBidi"/>
                <w:iCs/>
                <w:sz w:val="24"/>
                <w:szCs w:val="24"/>
              </w:rPr>
            </w:pPr>
            <w:r w:rsidRPr="001125CE">
              <w:rPr>
                <w:rFonts w:asciiTheme="majorBidi" w:hAnsiTheme="majorBidi" w:cstheme="majorBidi"/>
                <w:iCs/>
                <w:sz w:val="24"/>
                <w:szCs w:val="24"/>
              </w:rPr>
              <w:t>Dr. E. AZZOUZ</w:t>
            </w:r>
          </w:p>
        </w:tc>
        <w:tc>
          <w:tcPr>
            <w:tcW w:w="4110" w:type="dxa"/>
            <w:vAlign w:val="center"/>
          </w:tcPr>
          <w:p w:rsidR="000B32D2" w:rsidRPr="001125CE" w:rsidRDefault="000B32D2" w:rsidP="00F15BA6">
            <w:pPr>
              <w:pStyle w:val="Tabletext"/>
              <w:spacing w:before="20" w:after="0"/>
              <w:ind w:left="108"/>
              <w:rPr>
                <w:rFonts w:asciiTheme="majorBidi" w:hAnsiTheme="majorBidi" w:cstheme="majorBidi"/>
                <w:sz w:val="24"/>
                <w:szCs w:val="24"/>
              </w:rPr>
            </w:pPr>
            <w:r w:rsidRPr="001125CE">
              <w:rPr>
                <w:rFonts w:asciiTheme="majorBidi" w:hAnsiTheme="majorBidi" w:cstheme="majorBidi"/>
                <w:sz w:val="24"/>
                <w:szCs w:val="24"/>
              </w:rPr>
              <w:t>(Egipto (República Árabe de))</w:t>
            </w:r>
          </w:p>
        </w:tc>
      </w:tr>
      <w:tr w:rsidR="000B32D2" w:rsidRPr="001125CE" w:rsidTr="000B32D2">
        <w:trPr>
          <w:cantSplit/>
        </w:trPr>
        <w:tc>
          <w:tcPr>
            <w:tcW w:w="1843" w:type="dxa"/>
          </w:tcPr>
          <w:p w:rsidR="000B32D2" w:rsidRPr="001125CE" w:rsidRDefault="000B32D2" w:rsidP="00F15BA6">
            <w:pPr>
              <w:pStyle w:val="Tabletext"/>
              <w:tabs>
                <w:tab w:val="clear" w:pos="284"/>
              </w:tabs>
              <w:spacing w:before="20" w:after="0"/>
              <w:rPr>
                <w:rFonts w:asciiTheme="majorBidi" w:hAnsiTheme="majorBidi" w:cstheme="majorBidi"/>
                <w:iCs/>
                <w:sz w:val="24"/>
                <w:szCs w:val="24"/>
              </w:rPr>
            </w:pPr>
          </w:p>
        </w:tc>
        <w:tc>
          <w:tcPr>
            <w:tcW w:w="3686" w:type="dxa"/>
            <w:vAlign w:val="center"/>
          </w:tcPr>
          <w:p w:rsidR="000B32D2" w:rsidRPr="001125CE" w:rsidRDefault="000B32D2" w:rsidP="00F15BA6">
            <w:pPr>
              <w:pStyle w:val="Tabletext"/>
              <w:tabs>
                <w:tab w:val="clear" w:pos="284"/>
              </w:tabs>
              <w:spacing w:before="20" w:after="0"/>
              <w:rPr>
                <w:rFonts w:asciiTheme="majorBidi" w:hAnsiTheme="majorBidi" w:cstheme="majorBidi"/>
                <w:iCs/>
                <w:sz w:val="24"/>
                <w:szCs w:val="24"/>
              </w:rPr>
            </w:pPr>
            <w:r w:rsidRPr="001125CE">
              <w:rPr>
                <w:rFonts w:asciiTheme="majorBidi" w:hAnsiTheme="majorBidi" w:cstheme="majorBidi"/>
                <w:iCs/>
                <w:sz w:val="24"/>
                <w:szCs w:val="24"/>
              </w:rPr>
              <w:t>Sr</w:t>
            </w:r>
            <w:r w:rsidR="00F0646A" w:rsidRPr="001125CE">
              <w:rPr>
                <w:rFonts w:asciiTheme="majorBidi" w:hAnsiTheme="majorBidi" w:cstheme="majorBidi"/>
                <w:iCs/>
                <w:sz w:val="24"/>
                <w:szCs w:val="24"/>
              </w:rPr>
              <w:t>.</w:t>
            </w:r>
            <w:r w:rsidRPr="001125CE">
              <w:rPr>
                <w:rFonts w:asciiTheme="majorBidi" w:hAnsiTheme="majorBidi" w:cstheme="majorBidi"/>
                <w:iCs/>
                <w:sz w:val="24"/>
                <w:szCs w:val="24"/>
              </w:rPr>
              <w:t xml:space="preserve"> R. CHANG</w:t>
            </w:r>
          </w:p>
        </w:tc>
        <w:tc>
          <w:tcPr>
            <w:tcW w:w="4110" w:type="dxa"/>
            <w:vAlign w:val="center"/>
          </w:tcPr>
          <w:p w:rsidR="000B32D2" w:rsidRPr="001125CE" w:rsidRDefault="000B32D2" w:rsidP="00F15BA6">
            <w:pPr>
              <w:pStyle w:val="Tabletext"/>
              <w:spacing w:before="20" w:after="0"/>
              <w:ind w:left="108"/>
              <w:rPr>
                <w:rFonts w:asciiTheme="majorBidi" w:hAnsiTheme="majorBidi" w:cstheme="majorBidi"/>
                <w:iCs/>
                <w:sz w:val="24"/>
                <w:szCs w:val="24"/>
              </w:rPr>
            </w:pPr>
            <w:r w:rsidRPr="001125CE">
              <w:rPr>
                <w:rFonts w:asciiTheme="majorBidi" w:hAnsiTheme="majorBidi" w:cstheme="majorBidi"/>
                <w:sz w:val="24"/>
                <w:szCs w:val="24"/>
              </w:rPr>
              <w:t>(China (República Popular de))</w:t>
            </w:r>
          </w:p>
        </w:tc>
      </w:tr>
      <w:tr w:rsidR="000B32D2" w:rsidRPr="001125CE" w:rsidTr="000B32D2">
        <w:trPr>
          <w:cantSplit/>
        </w:trPr>
        <w:tc>
          <w:tcPr>
            <w:tcW w:w="1843" w:type="dxa"/>
          </w:tcPr>
          <w:p w:rsidR="000B32D2" w:rsidRPr="001125CE" w:rsidRDefault="000B32D2" w:rsidP="00F15BA6">
            <w:pPr>
              <w:pStyle w:val="Tabletext"/>
              <w:tabs>
                <w:tab w:val="clear" w:pos="284"/>
              </w:tabs>
              <w:spacing w:before="20" w:after="0"/>
              <w:rPr>
                <w:rFonts w:asciiTheme="majorBidi" w:hAnsiTheme="majorBidi" w:cstheme="majorBidi"/>
                <w:sz w:val="24"/>
                <w:szCs w:val="24"/>
              </w:rPr>
            </w:pPr>
          </w:p>
        </w:tc>
        <w:tc>
          <w:tcPr>
            <w:tcW w:w="3686" w:type="dxa"/>
            <w:vAlign w:val="center"/>
          </w:tcPr>
          <w:p w:rsidR="000B32D2" w:rsidRPr="001125CE" w:rsidRDefault="000B32D2" w:rsidP="00F15BA6">
            <w:pPr>
              <w:pStyle w:val="Tabletext"/>
              <w:tabs>
                <w:tab w:val="clear" w:pos="284"/>
              </w:tabs>
              <w:spacing w:before="20" w:after="0"/>
              <w:rPr>
                <w:rFonts w:asciiTheme="majorBidi" w:hAnsiTheme="majorBidi" w:cstheme="majorBidi"/>
                <w:sz w:val="24"/>
                <w:szCs w:val="24"/>
              </w:rPr>
            </w:pPr>
            <w:r w:rsidRPr="001125CE">
              <w:rPr>
                <w:rFonts w:asciiTheme="majorBidi" w:hAnsiTheme="majorBidi" w:cstheme="majorBidi"/>
                <w:sz w:val="24"/>
                <w:szCs w:val="24"/>
              </w:rPr>
              <w:t>Sr</w:t>
            </w:r>
            <w:r w:rsidR="00F0646A" w:rsidRPr="001125CE">
              <w:rPr>
                <w:rFonts w:asciiTheme="majorBidi" w:hAnsiTheme="majorBidi" w:cstheme="majorBidi"/>
                <w:sz w:val="24"/>
                <w:szCs w:val="24"/>
              </w:rPr>
              <w:t>.</w:t>
            </w:r>
            <w:r w:rsidRPr="001125CE">
              <w:rPr>
                <w:rFonts w:asciiTheme="majorBidi" w:hAnsiTheme="majorBidi" w:cstheme="majorBidi"/>
                <w:sz w:val="24"/>
                <w:szCs w:val="24"/>
              </w:rPr>
              <w:t xml:space="preserve"> C. ELANGMANE</w:t>
            </w:r>
          </w:p>
        </w:tc>
        <w:tc>
          <w:tcPr>
            <w:tcW w:w="4110" w:type="dxa"/>
            <w:vAlign w:val="center"/>
          </w:tcPr>
          <w:p w:rsidR="000B32D2" w:rsidRPr="001125CE" w:rsidRDefault="000B32D2" w:rsidP="00F15BA6">
            <w:pPr>
              <w:pStyle w:val="Tabletext"/>
              <w:spacing w:before="20" w:after="0"/>
              <w:ind w:left="108"/>
              <w:rPr>
                <w:rFonts w:asciiTheme="majorBidi" w:hAnsiTheme="majorBidi" w:cstheme="majorBidi"/>
                <w:sz w:val="24"/>
                <w:szCs w:val="24"/>
              </w:rPr>
            </w:pPr>
            <w:r w:rsidRPr="001125CE">
              <w:rPr>
                <w:rFonts w:asciiTheme="majorBidi" w:hAnsiTheme="majorBidi" w:cstheme="majorBidi"/>
                <w:sz w:val="24"/>
                <w:szCs w:val="24"/>
              </w:rPr>
              <w:t>(República Gabonesa)</w:t>
            </w:r>
          </w:p>
        </w:tc>
      </w:tr>
      <w:tr w:rsidR="000B32D2" w:rsidRPr="001125CE" w:rsidTr="000B32D2">
        <w:trPr>
          <w:cantSplit/>
        </w:trPr>
        <w:tc>
          <w:tcPr>
            <w:tcW w:w="1843" w:type="dxa"/>
          </w:tcPr>
          <w:p w:rsidR="000B32D2" w:rsidRPr="001125CE" w:rsidRDefault="000B32D2" w:rsidP="00F15BA6">
            <w:pPr>
              <w:pStyle w:val="Tabletext"/>
              <w:tabs>
                <w:tab w:val="clear" w:pos="284"/>
              </w:tabs>
              <w:spacing w:before="20" w:after="0"/>
              <w:rPr>
                <w:rFonts w:asciiTheme="majorBidi" w:hAnsiTheme="majorBidi" w:cstheme="majorBidi"/>
                <w:sz w:val="24"/>
                <w:szCs w:val="24"/>
              </w:rPr>
            </w:pPr>
          </w:p>
        </w:tc>
        <w:tc>
          <w:tcPr>
            <w:tcW w:w="3686" w:type="dxa"/>
            <w:vAlign w:val="center"/>
          </w:tcPr>
          <w:p w:rsidR="000B32D2" w:rsidRPr="001125CE" w:rsidRDefault="000B32D2" w:rsidP="00F15BA6">
            <w:pPr>
              <w:pStyle w:val="Tabletext"/>
              <w:tabs>
                <w:tab w:val="clear" w:pos="284"/>
              </w:tabs>
              <w:spacing w:before="20" w:after="0"/>
              <w:rPr>
                <w:rFonts w:asciiTheme="majorBidi" w:hAnsiTheme="majorBidi" w:cstheme="majorBidi"/>
                <w:sz w:val="24"/>
                <w:szCs w:val="24"/>
              </w:rPr>
            </w:pPr>
            <w:r w:rsidRPr="001125CE">
              <w:rPr>
                <w:rFonts w:asciiTheme="majorBidi" w:hAnsiTheme="majorBidi" w:cstheme="majorBidi"/>
                <w:sz w:val="24"/>
                <w:szCs w:val="24"/>
              </w:rPr>
              <w:t>Sr</w:t>
            </w:r>
            <w:r w:rsidR="00F0646A" w:rsidRPr="001125CE">
              <w:rPr>
                <w:rFonts w:asciiTheme="majorBidi" w:hAnsiTheme="majorBidi" w:cstheme="majorBidi"/>
                <w:sz w:val="24"/>
                <w:szCs w:val="24"/>
              </w:rPr>
              <w:t>.</w:t>
            </w:r>
            <w:r w:rsidRPr="001125CE">
              <w:rPr>
                <w:rFonts w:asciiTheme="majorBidi" w:hAnsiTheme="majorBidi" w:cstheme="majorBidi"/>
                <w:sz w:val="24"/>
                <w:szCs w:val="24"/>
              </w:rPr>
              <w:t xml:space="preserve"> R. GARCIA DE SOUZA</w:t>
            </w:r>
          </w:p>
        </w:tc>
        <w:tc>
          <w:tcPr>
            <w:tcW w:w="4110" w:type="dxa"/>
            <w:vAlign w:val="center"/>
          </w:tcPr>
          <w:p w:rsidR="000B32D2" w:rsidRPr="001125CE" w:rsidRDefault="000B32D2" w:rsidP="00F15BA6">
            <w:pPr>
              <w:pStyle w:val="Tabletext"/>
              <w:spacing w:before="20" w:after="0"/>
              <w:ind w:left="108"/>
              <w:rPr>
                <w:rFonts w:asciiTheme="majorBidi" w:hAnsiTheme="majorBidi" w:cstheme="majorBidi"/>
                <w:sz w:val="24"/>
                <w:szCs w:val="24"/>
              </w:rPr>
            </w:pPr>
            <w:r w:rsidRPr="001125CE">
              <w:rPr>
                <w:rFonts w:asciiTheme="majorBidi" w:hAnsiTheme="majorBidi" w:cstheme="majorBidi"/>
                <w:sz w:val="24"/>
                <w:szCs w:val="24"/>
              </w:rPr>
              <w:t>(Brasil (República Federativa de))</w:t>
            </w:r>
          </w:p>
        </w:tc>
      </w:tr>
      <w:tr w:rsidR="000B32D2" w:rsidRPr="001125CE" w:rsidTr="000B32D2">
        <w:trPr>
          <w:cantSplit/>
        </w:trPr>
        <w:tc>
          <w:tcPr>
            <w:tcW w:w="1843" w:type="dxa"/>
          </w:tcPr>
          <w:p w:rsidR="000B32D2" w:rsidRPr="001125CE" w:rsidRDefault="000B32D2" w:rsidP="00F15BA6">
            <w:pPr>
              <w:pStyle w:val="Tabletext"/>
              <w:tabs>
                <w:tab w:val="clear" w:pos="284"/>
              </w:tabs>
              <w:spacing w:before="20" w:after="0"/>
              <w:rPr>
                <w:rFonts w:asciiTheme="majorBidi" w:hAnsiTheme="majorBidi" w:cstheme="majorBidi"/>
                <w:sz w:val="24"/>
                <w:szCs w:val="24"/>
              </w:rPr>
            </w:pPr>
          </w:p>
        </w:tc>
        <w:tc>
          <w:tcPr>
            <w:tcW w:w="3686" w:type="dxa"/>
            <w:vAlign w:val="center"/>
          </w:tcPr>
          <w:p w:rsidR="000B32D2" w:rsidRPr="001125CE" w:rsidRDefault="000B32D2" w:rsidP="00F15BA6">
            <w:pPr>
              <w:pStyle w:val="Tabletext"/>
              <w:tabs>
                <w:tab w:val="clear" w:pos="284"/>
              </w:tabs>
              <w:spacing w:before="20" w:after="0"/>
              <w:rPr>
                <w:rFonts w:asciiTheme="majorBidi" w:hAnsiTheme="majorBidi" w:cstheme="majorBidi"/>
                <w:sz w:val="24"/>
                <w:szCs w:val="24"/>
              </w:rPr>
            </w:pPr>
            <w:r w:rsidRPr="001125CE">
              <w:rPr>
                <w:rFonts w:asciiTheme="majorBidi" w:hAnsiTheme="majorBidi" w:cstheme="majorBidi"/>
                <w:sz w:val="24"/>
                <w:szCs w:val="24"/>
              </w:rPr>
              <w:t>Sra. L. JEANTY</w:t>
            </w:r>
          </w:p>
        </w:tc>
        <w:tc>
          <w:tcPr>
            <w:tcW w:w="4110" w:type="dxa"/>
            <w:vAlign w:val="center"/>
          </w:tcPr>
          <w:p w:rsidR="000B32D2" w:rsidRPr="001125CE" w:rsidRDefault="000B32D2" w:rsidP="00F15BA6">
            <w:pPr>
              <w:pStyle w:val="Tabletext"/>
              <w:spacing w:before="20" w:after="0"/>
              <w:ind w:left="108"/>
              <w:rPr>
                <w:rFonts w:asciiTheme="majorBidi" w:hAnsiTheme="majorBidi" w:cstheme="majorBidi"/>
                <w:sz w:val="24"/>
                <w:szCs w:val="24"/>
              </w:rPr>
            </w:pPr>
            <w:r w:rsidRPr="001125CE">
              <w:rPr>
                <w:rFonts w:asciiTheme="majorBidi" w:hAnsiTheme="majorBidi" w:cstheme="majorBidi"/>
                <w:sz w:val="24"/>
                <w:szCs w:val="24"/>
              </w:rPr>
              <w:t>(Países Bajos (Reino de los))</w:t>
            </w:r>
          </w:p>
        </w:tc>
      </w:tr>
      <w:tr w:rsidR="000B32D2" w:rsidRPr="001125CE" w:rsidTr="000B32D2">
        <w:trPr>
          <w:cantSplit/>
        </w:trPr>
        <w:tc>
          <w:tcPr>
            <w:tcW w:w="1843" w:type="dxa"/>
          </w:tcPr>
          <w:p w:rsidR="000B32D2" w:rsidRPr="001125CE" w:rsidRDefault="000B32D2" w:rsidP="00F15BA6">
            <w:pPr>
              <w:pStyle w:val="Tabletext"/>
              <w:tabs>
                <w:tab w:val="clear" w:pos="284"/>
              </w:tabs>
              <w:spacing w:before="20" w:after="0"/>
              <w:rPr>
                <w:rFonts w:asciiTheme="majorBidi" w:hAnsiTheme="majorBidi" w:cstheme="majorBidi"/>
                <w:sz w:val="24"/>
                <w:szCs w:val="24"/>
              </w:rPr>
            </w:pPr>
          </w:p>
        </w:tc>
        <w:tc>
          <w:tcPr>
            <w:tcW w:w="3686" w:type="dxa"/>
            <w:vAlign w:val="center"/>
          </w:tcPr>
          <w:p w:rsidR="000B32D2" w:rsidRPr="001125CE" w:rsidRDefault="000B32D2" w:rsidP="00F15BA6">
            <w:pPr>
              <w:pStyle w:val="Tabletext"/>
              <w:tabs>
                <w:tab w:val="clear" w:pos="284"/>
              </w:tabs>
              <w:spacing w:before="20" w:after="0"/>
              <w:rPr>
                <w:rFonts w:asciiTheme="majorBidi" w:hAnsiTheme="majorBidi" w:cstheme="majorBidi"/>
                <w:sz w:val="24"/>
                <w:szCs w:val="24"/>
              </w:rPr>
            </w:pPr>
            <w:r w:rsidRPr="001125CE">
              <w:rPr>
                <w:rFonts w:asciiTheme="majorBidi" w:hAnsiTheme="majorBidi" w:cstheme="majorBidi"/>
                <w:sz w:val="24"/>
                <w:szCs w:val="24"/>
              </w:rPr>
              <w:t>Sr</w:t>
            </w:r>
            <w:r w:rsidR="00F0646A" w:rsidRPr="001125CE">
              <w:rPr>
                <w:rFonts w:asciiTheme="majorBidi" w:hAnsiTheme="majorBidi" w:cstheme="majorBidi"/>
                <w:sz w:val="24"/>
                <w:szCs w:val="24"/>
              </w:rPr>
              <w:t>.</w:t>
            </w:r>
            <w:r w:rsidRPr="001125CE">
              <w:rPr>
                <w:rFonts w:asciiTheme="majorBidi" w:hAnsiTheme="majorBidi" w:cstheme="majorBidi"/>
                <w:sz w:val="24"/>
                <w:szCs w:val="24"/>
              </w:rPr>
              <w:t xml:space="preserve"> L. KIBET BORUETT</w:t>
            </w:r>
          </w:p>
        </w:tc>
        <w:tc>
          <w:tcPr>
            <w:tcW w:w="4110" w:type="dxa"/>
            <w:vAlign w:val="center"/>
          </w:tcPr>
          <w:p w:rsidR="000B32D2" w:rsidRPr="001125CE" w:rsidRDefault="000B32D2" w:rsidP="00A641AF">
            <w:pPr>
              <w:pStyle w:val="Tabletext"/>
              <w:spacing w:before="20" w:after="0"/>
              <w:ind w:left="108"/>
              <w:rPr>
                <w:rFonts w:asciiTheme="majorBidi" w:hAnsiTheme="majorBidi" w:cstheme="majorBidi"/>
                <w:sz w:val="24"/>
                <w:szCs w:val="24"/>
              </w:rPr>
            </w:pPr>
            <w:r w:rsidRPr="001125CE">
              <w:rPr>
                <w:rFonts w:asciiTheme="majorBidi" w:hAnsiTheme="majorBidi" w:cstheme="majorBidi"/>
                <w:sz w:val="24"/>
                <w:szCs w:val="24"/>
              </w:rPr>
              <w:t>(Ken</w:t>
            </w:r>
            <w:r w:rsidR="00A641AF">
              <w:rPr>
                <w:rFonts w:asciiTheme="majorBidi" w:hAnsiTheme="majorBidi" w:cstheme="majorBidi"/>
                <w:sz w:val="24"/>
                <w:szCs w:val="24"/>
              </w:rPr>
              <w:t>y</w:t>
            </w:r>
            <w:r w:rsidRPr="001125CE">
              <w:rPr>
                <w:rFonts w:asciiTheme="majorBidi" w:hAnsiTheme="majorBidi" w:cstheme="majorBidi"/>
                <w:sz w:val="24"/>
                <w:szCs w:val="24"/>
              </w:rPr>
              <w:t>a (República de))</w:t>
            </w:r>
          </w:p>
        </w:tc>
      </w:tr>
      <w:tr w:rsidR="000B32D2" w:rsidRPr="001125CE" w:rsidTr="000B32D2">
        <w:trPr>
          <w:cantSplit/>
        </w:trPr>
        <w:tc>
          <w:tcPr>
            <w:tcW w:w="1843" w:type="dxa"/>
          </w:tcPr>
          <w:p w:rsidR="000B32D2" w:rsidRPr="001125CE" w:rsidRDefault="000B32D2" w:rsidP="00F15BA6">
            <w:pPr>
              <w:pStyle w:val="Tabletext"/>
              <w:tabs>
                <w:tab w:val="clear" w:pos="284"/>
              </w:tabs>
              <w:spacing w:before="20" w:after="0"/>
              <w:rPr>
                <w:rFonts w:asciiTheme="majorBidi" w:hAnsiTheme="majorBidi" w:cstheme="majorBidi"/>
                <w:sz w:val="24"/>
                <w:szCs w:val="24"/>
              </w:rPr>
            </w:pPr>
          </w:p>
        </w:tc>
        <w:tc>
          <w:tcPr>
            <w:tcW w:w="3686" w:type="dxa"/>
            <w:vAlign w:val="center"/>
          </w:tcPr>
          <w:p w:rsidR="000B32D2" w:rsidRPr="001125CE" w:rsidRDefault="000B32D2" w:rsidP="00F15BA6">
            <w:pPr>
              <w:pStyle w:val="Tabletext"/>
              <w:tabs>
                <w:tab w:val="clear" w:pos="284"/>
              </w:tabs>
              <w:spacing w:before="20" w:after="0"/>
              <w:rPr>
                <w:rFonts w:asciiTheme="majorBidi" w:hAnsiTheme="majorBidi" w:cstheme="majorBidi"/>
                <w:sz w:val="24"/>
                <w:szCs w:val="24"/>
              </w:rPr>
            </w:pPr>
            <w:r w:rsidRPr="001125CE">
              <w:rPr>
                <w:rFonts w:asciiTheme="majorBidi" w:hAnsiTheme="majorBidi" w:cstheme="majorBidi"/>
                <w:sz w:val="24"/>
                <w:szCs w:val="24"/>
              </w:rPr>
              <w:t>Dr</w:t>
            </w:r>
            <w:r w:rsidR="00F0646A" w:rsidRPr="001125CE">
              <w:rPr>
                <w:rFonts w:asciiTheme="majorBidi" w:hAnsiTheme="majorBidi" w:cstheme="majorBidi"/>
                <w:sz w:val="24"/>
                <w:szCs w:val="24"/>
              </w:rPr>
              <w:t>.</w:t>
            </w:r>
            <w:r w:rsidRPr="001125CE">
              <w:rPr>
                <w:rFonts w:asciiTheme="majorBidi" w:hAnsiTheme="majorBidi" w:cstheme="majorBidi"/>
                <w:sz w:val="24"/>
                <w:szCs w:val="24"/>
              </w:rPr>
              <w:t xml:space="preserve"> H. MAZAR</w:t>
            </w:r>
          </w:p>
        </w:tc>
        <w:tc>
          <w:tcPr>
            <w:tcW w:w="4110" w:type="dxa"/>
            <w:vAlign w:val="center"/>
          </w:tcPr>
          <w:p w:rsidR="000B32D2" w:rsidRPr="001125CE" w:rsidRDefault="000B32D2" w:rsidP="00F15BA6">
            <w:pPr>
              <w:pStyle w:val="Tabletext"/>
              <w:spacing w:before="20" w:after="0"/>
              <w:ind w:left="108"/>
              <w:rPr>
                <w:rFonts w:asciiTheme="majorBidi" w:hAnsiTheme="majorBidi" w:cstheme="majorBidi"/>
                <w:sz w:val="24"/>
                <w:szCs w:val="24"/>
              </w:rPr>
            </w:pPr>
            <w:r w:rsidRPr="001125CE">
              <w:rPr>
                <w:rFonts w:asciiTheme="majorBidi" w:hAnsiTheme="majorBidi" w:cstheme="majorBidi"/>
                <w:sz w:val="24"/>
                <w:szCs w:val="24"/>
              </w:rPr>
              <w:t>(Israel (Estado de))</w:t>
            </w:r>
          </w:p>
        </w:tc>
      </w:tr>
      <w:tr w:rsidR="000B32D2" w:rsidRPr="001125CE" w:rsidTr="000B32D2">
        <w:trPr>
          <w:cantSplit/>
        </w:trPr>
        <w:tc>
          <w:tcPr>
            <w:tcW w:w="1843" w:type="dxa"/>
          </w:tcPr>
          <w:p w:rsidR="000B32D2" w:rsidRPr="001125CE" w:rsidRDefault="000B32D2" w:rsidP="00F15BA6">
            <w:pPr>
              <w:pStyle w:val="Tabletext"/>
              <w:tabs>
                <w:tab w:val="clear" w:pos="284"/>
              </w:tabs>
              <w:spacing w:before="20" w:after="0"/>
              <w:rPr>
                <w:rFonts w:asciiTheme="majorBidi" w:hAnsiTheme="majorBidi" w:cstheme="majorBidi"/>
                <w:sz w:val="24"/>
                <w:szCs w:val="24"/>
              </w:rPr>
            </w:pPr>
          </w:p>
        </w:tc>
        <w:tc>
          <w:tcPr>
            <w:tcW w:w="3686" w:type="dxa"/>
            <w:vAlign w:val="center"/>
          </w:tcPr>
          <w:p w:rsidR="000B32D2" w:rsidRPr="001125CE" w:rsidRDefault="000B32D2" w:rsidP="00F15BA6">
            <w:pPr>
              <w:pStyle w:val="Tabletext"/>
              <w:tabs>
                <w:tab w:val="clear" w:pos="284"/>
              </w:tabs>
              <w:spacing w:before="20" w:after="0"/>
              <w:rPr>
                <w:rFonts w:asciiTheme="majorBidi" w:hAnsiTheme="majorBidi" w:cstheme="majorBidi"/>
                <w:sz w:val="24"/>
                <w:szCs w:val="24"/>
              </w:rPr>
            </w:pPr>
            <w:r w:rsidRPr="001125CE">
              <w:rPr>
                <w:rFonts w:asciiTheme="majorBidi" w:hAnsiTheme="majorBidi" w:cstheme="majorBidi"/>
                <w:sz w:val="24"/>
                <w:szCs w:val="24"/>
              </w:rPr>
              <w:t>Sr</w:t>
            </w:r>
            <w:r w:rsidR="00F0646A" w:rsidRPr="001125CE">
              <w:rPr>
                <w:rFonts w:asciiTheme="majorBidi" w:hAnsiTheme="majorBidi" w:cstheme="majorBidi"/>
                <w:sz w:val="24"/>
                <w:szCs w:val="24"/>
              </w:rPr>
              <w:t>.</w:t>
            </w:r>
            <w:r w:rsidRPr="001125CE">
              <w:rPr>
                <w:rFonts w:asciiTheme="majorBidi" w:hAnsiTheme="majorBidi" w:cstheme="majorBidi"/>
                <w:sz w:val="24"/>
                <w:szCs w:val="24"/>
              </w:rPr>
              <w:t xml:space="preserve"> V.V. SINGH</w:t>
            </w:r>
          </w:p>
        </w:tc>
        <w:tc>
          <w:tcPr>
            <w:tcW w:w="4110" w:type="dxa"/>
            <w:vAlign w:val="center"/>
          </w:tcPr>
          <w:p w:rsidR="000B32D2" w:rsidRPr="001125CE" w:rsidRDefault="000B32D2" w:rsidP="00F15BA6">
            <w:pPr>
              <w:pStyle w:val="Tabletext"/>
              <w:spacing w:before="20" w:after="0"/>
              <w:ind w:left="108"/>
              <w:rPr>
                <w:rFonts w:asciiTheme="majorBidi" w:hAnsiTheme="majorBidi" w:cstheme="majorBidi"/>
                <w:sz w:val="24"/>
                <w:szCs w:val="24"/>
              </w:rPr>
            </w:pPr>
            <w:r w:rsidRPr="001125CE">
              <w:rPr>
                <w:rFonts w:asciiTheme="majorBidi" w:hAnsiTheme="majorBidi" w:cstheme="majorBidi"/>
                <w:sz w:val="24"/>
                <w:szCs w:val="24"/>
              </w:rPr>
              <w:t>(India (República de))</w:t>
            </w:r>
          </w:p>
        </w:tc>
      </w:tr>
      <w:tr w:rsidR="000B32D2" w:rsidRPr="001125CE" w:rsidTr="000B32D2">
        <w:trPr>
          <w:cantSplit/>
        </w:trPr>
        <w:tc>
          <w:tcPr>
            <w:tcW w:w="1843" w:type="dxa"/>
          </w:tcPr>
          <w:p w:rsidR="000B32D2" w:rsidRPr="001125CE" w:rsidRDefault="000B32D2" w:rsidP="00F15BA6">
            <w:pPr>
              <w:pStyle w:val="Tabletext"/>
              <w:tabs>
                <w:tab w:val="clear" w:pos="284"/>
              </w:tabs>
              <w:spacing w:before="20" w:after="0"/>
              <w:rPr>
                <w:rFonts w:asciiTheme="majorBidi" w:hAnsiTheme="majorBidi" w:cstheme="majorBidi"/>
                <w:iCs/>
                <w:sz w:val="24"/>
                <w:szCs w:val="24"/>
              </w:rPr>
            </w:pPr>
          </w:p>
        </w:tc>
        <w:tc>
          <w:tcPr>
            <w:tcW w:w="3686" w:type="dxa"/>
            <w:vAlign w:val="center"/>
          </w:tcPr>
          <w:p w:rsidR="000B32D2" w:rsidRPr="001125CE" w:rsidRDefault="000B32D2" w:rsidP="00F15BA6">
            <w:pPr>
              <w:pStyle w:val="Tabletext"/>
              <w:tabs>
                <w:tab w:val="clear" w:pos="284"/>
              </w:tabs>
              <w:spacing w:before="20" w:after="0"/>
              <w:rPr>
                <w:rFonts w:asciiTheme="majorBidi" w:hAnsiTheme="majorBidi" w:cstheme="majorBidi"/>
                <w:iCs/>
                <w:sz w:val="24"/>
                <w:szCs w:val="24"/>
              </w:rPr>
            </w:pPr>
            <w:r w:rsidRPr="001125CE">
              <w:rPr>
                <w:rFonts w:asciiTheme="majorBidi" w:hAnsiTheme="majorBidi" w:cstheme="majorBidi"/>
                <w:iCs/>
                <w:sz w:val="24"/>
                <w:szCs w:val="24"/>
              </w:rPr>
              <w:t>Sr</w:t>
            </w:r>
            <w:r w:rsidR="00F0646A" w:rsidRPr="001125CE">
              <w:rPr>
                <w:rFonts w:asciiTheme="majorBidi" w:hAnsiTheme="majorBidi" w:cstheme="majorBidi"/>
                <w:iCs/>
                <w:sz w:val="24"/>
                <w:szCs w:val="24"/>
              </w:rPr>
              <w:t>.</w:t>
            </w:r>
            <w:r w:rsidRPr="001125CE">
              <w:rPr>
                <w:rFonts w:asciiTheme="majorBidi" w:hAnsiTheme="majorBidi" w:cstheme="majorBidi"/>
                <w:iCs/>
                <w:sz w:val="24"/>
                <w:szCs w:val="24"/>
              </w:rPr>
              <w:t xml:space="preserve"> D. SWARD</w:t>
            </w:r>
          </w:p>
        </w:tc>
        <w:tc>
          <w:tcPr>
            <w:tcW w:w="4110" w:type="dxa"/>
            <w:vAlign w:val="center"/>
          </w:tcPr>
          <w:p w:rsidR="000B32D2" w:rsidRPr="001125CE" w:rsidRDefault="000B32D2" w:rsidP="00F15BA6">
            <w:pPr>
              <w:pStyle w:val="Tabletext"/>
              <w:spacing w:before="20" w:after="0"/>
              <w:ind w:left="108"/>
              <w:rPr>
                <w:rFonts w:asciiTheme="majorBidi" w:hAnsiTheme="majorBidi" w:cstheme="majorBidi"/>
                <w:iCs/>
                <w:sz w:val="24"/>
                <w:szCs w:val="24"/>
              </w:rPr>
            </w:pPr>
            <w:r w:rsidRPr="001125CE">
              <w:rPr>
                <w:rFonts w:asciiTheme="majorBidi" w:hAnsiTheme="majorBidi" w:cstheme="majorBidi"/>
                <w:sz w:val="24"/>
                <w:szCs w:val="24"/>
              </w:rPr>
              <w:t>(</w:t>
            </w:r>
            <w:r w:rsidRPr="001125CE">
              <w:rPr>
                <w:rFonts w:asciiTheme="majorBidi" w:hAnsiTheme="majorBidi" w:cstheme="majorBidi"/>
                <w:iCs/>
                <w:sz w:val="24"/>
                <w:szCs w:val="24"/>
              </w:rPr>
              <w:t>Canadá</w:t>
            </w:r>
            <w:r w:rsidRPr="001125CE">
              <w:rPr>
                <w:rFonts w:asciiTheme="majorBidi" w:hAnsiTheme="majorBidi" w:cstheme="majorBidi"/>
                <w:sz w:val="24"/>
                <w:szCs w:val="24"/>
              </w:rPr>
              <w:t>)</w:t>
            </w:r>
          </w:p>
        </w:tc>
      </w:tr>
      <w:tr w:rsidR="000B32D2" w:rsidRPr="001125CE" w:rsidTr="000B32D2">
        <w:trPr>
          <w:cantSplit/>
        </w:trPr>
        <w:tc>
          <w:tcPr>
            <w:tcW w:w="1843" w:type="dxa"/>
          </w:tcPr>
          <w:p w:rsidR="000B32D2" w:rsidRPr="001125CE" w:rsidRDefault="000B32D2" w:rsidP="00F15BA6">
            <w:pPr>
              <w:pStyle w:val="Tabletext"/>
              <w:tabs>
                <w:tab w:val="clear" w:pos="284"/>
              </w:tabs>
              <w:spacing w:before="20" w:after="0"/>
              <w:rPr>
                <w:rFonts w:asciiTheme="majorBidi" w:hAnsiTheme="majorBidi" w:cstheme="majorBidi"/>
                <w:iCs/>
                <w:sz w:val="24"/>
                <w:szCs w:val="24"/>
              </w:rPr>
            </w:pPr>
          </w:p>
        </w:tc>
        <w:tc>
          <w:tcPr>
            <w:tcW w:w="3686" w:type="dxa"/>
            <w:vAlign w:val="center"/>
          </w:tcPr>
          <w:p w:rsidR="000B32D2" w:rsidRPr="001125CE" w:rsidRDefault="000B32D2" w:rsidP="00F15BA6">
            <w:pPr>
              <w:pStyle w:val="Tabletext"/>
              <w:tabs>
                <w:tab w:val="clear" w:pos="284"/>
              </w:tabs>
              <w:spacing w:before="20" w:after="0"/>
              <w:rPr>
                <w:rFonts w:asciiTheme="majorBidi" w:hAnsiTheme="majorBidi" w:cstheme="majorBidi"/>
                <w:iCs/>
                <w:sz w:val="24"/>
                <w:szCs w:val="24"/>
              </w:rPr>
            </w:pPr>
            <w:r w:rsidRPr="001125CE">
              <w:rPr>
                <w:rFonts w:asciiTheme="majorBidi" w:hAnsiTheme="majorBidi" w:cstheme="majorBidi"/>
                <w:iCs/>
                <w:sz w:val="24"/>
                <w:szCs w:val="24"/>
              </w:rPr>
              <w:t>Sr</w:t>
            </w:r>
            <w:r w:rsidR="00F0646A" w:rsidRPr="001125CE">
              <w:rPr>
                <w:rFonts w:asciiTheme="majorBidi" w:hAnsiTheme="majorBidi" w:cstheme="majorBidi"/>
                <w:iCs/>
                <w:sz w:val="24"/>
                <w:szCs w:val="24"/>
              </w:rPr>
              <w:t>.</w:t>
            </w:r>
            <w:r w:rsidRPr="001125CE">
              <w:rPr>
                <w:rFonts w:asciiTheme="majorBidi" w:hAnsiTheme="majorBidi" w:cstheme="majorBidi"/>
                <w:iCs/>
                <w:sz w:val="24"/>
                <w:szCs w:val="24"/>
              </w:rPr>
              <w:t xml:space="preserve"> R. TRAUTMANN</w:t>
            </w:r>
          </w:p>
        </w:tc>
        <w:tc>
          <w:tcPr>
            <w:tcW w:w="4110" w:type="dxa"/>
            <w:vAlign w:val="center"/>
          </w:tcPr>
          <w:p w:rsidR="000B32D2" w:rsidRPr="001125CE" w:rsidRDefault="000B32D2" w:rsidP="00F15BA6">
            <w:pPr>
              <w:pStyle w:val="Tabletext"/>
              <w:spacing w:before="20" w:after="0"/>
              <w:ind w:left="108"/>
              <w:rPr>
                <w:rFonts w:asciiTheme="majorBidi" w:hAnsiTheme="majorBidi" w:cstheme="majorBidi"/>
                <w:iCs/>
                <w:sz w:val="24"/>
                <w:szCs w:val="24"/>
              </w:rPr>
            </w:pPr>
            <w:r w:rsidRPr="001125CE">
              <w:rPr>
                <w:rFonts w:asciiTheme="majorBidi" w:hAnsiTheme="majorBidi" w:cstheme="majorBidi"/>
                <w:sz w:val="24"/>
                <w:szCs w:val="24"/>
              </w:rPr>
              <w:t>(</w:t>
            </w:r>
            <w:r w:rsidRPr="001125CE">
              <w:rPr>
                <w:rFonts w:asciiTheme="majorBidi" w:hAnsiTheme="majorBidi" w:cstheme="majorBidi"/>
                <w:iCs/>
                <w:sz w:val="24"/>
                <w:szCs w:val="24"/>
              </w:rPr>
              <w:t>Alemania (República Federal de)</w:t>
            </w:r>
            <w:r w:rsidRPr="001125CE">
              <w:rPr>
                <w:rFonts w:asciiTheme="majorBidi" w:hAnsiTheme="majorBidi" w:cstheme="majorBidi"/>
                <w:sz w:val="24"/>
                <w:szCs w:val="24"/>
              </w:rPr>
              <w:t>)</w:t>
            </w:r>
          </w:p>
        </w:tc>
      </w:tr>
    </w:tbl>
    <w:p w:rsidR="0074369E" w:rsidRPr="001125CE" w:rsidRDefault="0074369E" w:rsidP="0074369E">
      <w:pPr>
        <w:pStyle w:val="Heading2"/>
        <w:rPr>
          <w:lang w:eastAsia="ja-JP"/>
        </w:rPr>
      </w:pPr>
      <w:r w:rsidRPr="001125CE">
        <w:t>3.2</w:t>
      </w:r>
      <w:r w:rsidRPr="001125CE">
        <w:tab/>
        <w:t>Grupos de Trabajo</w:t>
      </w:r>
    </w:p>
    <w:p w:rsidR="0074369E" w:rsidRPr="001125CE" w:rsidRDefault="0074369E" w:rsidP="0074369E">
      <w:r w:rsidRPr="001125CE">
        <w:t>La CE</w:t>
      </w:r>
      <w:r w:rsidR="0018073F" w:rsidRPr="001125CE">
        <w:t> </w:t>
      </w:r>
      <w:r w:rsidRPr="001125CE">
        <w:t>1 ha mantenido sus tres Grupos de Trabajo a lo largo de todo el periodo de estudios:</w:t>
      </w:r>
    </w:p>
    <w:p w:rsidR="0074369E" w:rsidRPr="001125CE" w:rsidRDefault="0074369E" w:rsidP="0074369E">
      <w:pPr>
        <w:pStyle w:val="Headingb"/>
        <w:rPr>
          <w:i/>
        </w:rPr>
      </w:pPr>
      <w:r w:rsidRPr="001125CE">
        <w:lastRenderedPageBreak/>
        <w:t>Grupo de Trabajo 1A – Técnicas de ingeniería del espectro</w:t>
      </w:r>
    </w:p>
    <w:p w:rsidR="0074369E" w:rsidRPr="001125CE" w:rsidRDefault="0074369E" w:rsidP="0074369E">
      <w:pPr>
        <w:pStyle w:val="enumlev1"/>
        <w:rPr>
          <w:iCs/>
        </w:rPr>
      </w:pPr>
      <w:r w:rsidRPr="001125CE">
        <w:rPr>
          <w:iCs/>
        </w:rPr>
        <w:t>Presidente:</w:t>
      </w:r>
      <w:r w:rsidRPr="001125CE">
        <w:rPr>
          <w:iCs/>
        </w:rPr>
        <w:tab/>
      </w:r>
      <w:r w:rsidRPr="001125CE">
        <w:rPr>
          <w:iCs/>
        </w:rPr>
        <w:tab/>
        <w:t>Sr. R. GARCIA DE SOUZA</w:t>
      </w:r>
    </w:p>
    <w:p w:rsidR="0074369E" w:rsidRPr="001125CE" w:rsidRDefault="0074369E" w:rsidP="0074369E">
      <w:pPr>
        <w:pStyle w:val="enumlev1"/>
      </w:pPr>
      <w:r w:rsidRPr="001125CE">
        <w:rPr>
          <w:iCs/>
        </w:rPr>
        <w:t>Vicepresidente:</w:t>
      </w:r>
      <w:r w:rsidRPr="001125CE">
        <w:tab/>
        <w:t>Dr. H. MAZAR</w:t>
      </w:r>
    </w:p>
    <w:p w:rsidR="0074369E" w:rsidRPr="001125CE" w:rsidRDefault="0074369E" w:rsidP="0074369E">
      <w:pPr>
        <w:pStyle w:val="Headingb"/>
      </w:pPr>
      <w:r w:rsidRPr="001125CE">
        <w:t>Grupo de Trabajo 1B – Metodologías para la gestión del espectro y estrategias económicas</w:t>
      </w:r>
    </w:p>
    <w:p w:rsidR="0074369E" w:rsidRPr="001125CE" w:rsidRDefault="0074369E" w:rsidP="0074369E">
      <w:pPr>
        <w:pStyle w:val="enumlev1"/>
        <w:rPr>
          <w:rFonts w:eastAsia="SimSun"/>
          <w:szCs w:val="24"/>
          <w:lang w:eastAsia="zh-CN"/>
        </w:rPr>
      </w:pPr>
      <w:r w:rsidRPr="001125CE">
        <w:rPr>
          <w:iCs/>
        </w:rPr>
        <w:t>Presidente:</w:t>
      </w:r>
      <w:r w:rsidRPr="001125CE">
        <w:tab/>
      </w:r>
      <w:r w:rsidRPr="001125CE">
        <w:tab/>
      </w:r>
      <w:r w:rsidRPr="001125CE">
        <w:rPr>
          <w:rFonts w:asciiTheme="majorBidi" w:hAnsiTheme="majorBidi" w:cstheme="majorBidi"/>
          <w:szCs w:val="24"/>
        </w:rPr>
        <w:t>Sr</w:t>
      </w:r>
      <w:r w:rsidR="00A10B62">
        <w:rPr>
          <w:rFonts w:asciiTheme="majorBidi" w:hAnsiTheme="majorBidi" w:cstheme="majorBidi"/>
          <w:szCs w:val="24"/>
        </w:rPr>
        <w:t>.</w:t>
      </w:r>
      <w:r w:rsidRPr="001125CE">
        <w:rPr>
          <w:rFonts w:asciiTheme="majorBidi" w:hAnsiTheme="majorBidi" w:cstheme="majorBidi"/>
          <w:szCs w:val="24"/>
        </w:rPr>
        <w:t xml:space="preserve"> N. AL-RASHEDI</w:t>
      </w:r>
    </w:p>
    <w:p w:rsidR="0074369E" w:rsidRPr="001125CE" w:rsidRDefault="0074369E" w:rsidP="0049356D">
      <w:pPr>
        <w:pStyle w:val="enumlev1"/>
      </w:pPr>
      <w:r w:rsidRPr="001125CE">
        <w:rPr>
          <w:rFonts w:eastAsia="SimSun"/>
          <w:szCs w:val="24"/>
          <w:lang w:eastAsia="zh-CN"/>
        </w:rPr>
        <w:t>Vicepresidente:</w:t>
      </w:r>
      <w:r w:rsidRPr="001125CE">
        <w:rPr>
          <w:rFonts w:eastAsia="SimSun"/>
          <w:szCs w:val="24"/>
          <w:lang w:eastAsia="zh-CN"/>
        </w:rPr>
        <w:tab/>
        <w:t xml:space="preserve">Sr. </w:t>
      </w:r>
      <w:r w:rsidR="0049356D" w:rsidRPr="00C2192B">
        <w:rPr>
          <w:rFonts w:asciiTheme="majorBidi" w:hAnsiTheme="majorBidi" w:cstheme="majorBidi"/>
          <w:iCs/>
          <w:szCs w:val="24"/>
          <w:lang w:val="en-US"/>
        </w:rPr>
        <w:t>R. CHANG</w:t>
      </w:r>
    </w:p>
    <w:p w:rsidR="0074369E" w:rsidRPr="001125CE" w:rsidRDefault="0074369E" w:rsidP="0074369E">
      <w:pPr>
        <w:pStyle w:val="Headingb"/>
      </w:pPr>
      <w:r w:rsidRPr="001125CE">
        <w:t>Grupo de Trabajo 1C – Comprobación técnica del espectro</w:t>
      </w:r>
    </w:p>
    <w:p w:rsidR="0074369E" w:rsidRPr="001125CE" w:rsidRDefault="0074369E" w:rsidP="0074369E">
      <w:pPr>
        <w:pStyle w:val="enumlev1"/>
      </w:pPr>
      <w:r w:rsidRPr="001125CE">
        <w:rPr>
          <w:iCs/>
        </w:rPr>
        <w:t>Presidente</w:t>
      </w:r>
      <w:r w:rsidRPr="001125CE">
        <w:rPr>
          <w:i/>
        </w:rPr>
        <w:t>:</w:t>
      </w:r>
      <w:r w:rsidRPr="001125CE">
        <w:tab/>
      </w:r>
      <w:r w:rsidRPr="001125CE">
        <w:tab/>
      </w:r>
      <w:r w:rsidRPr="001125CE">
        <w:rPr>
          <w:rFonts w:asciiTheme="majorBidi" w:hAnsiTheme="majorBidi" w:cstheme="majorBidi"/>
          <w:iCs/>
          <w:szCs w:val="24"/>
        </w:rPr>
        <w:t>Sr R. TRAUTMANN</w:t>
      </w:r>
    </w:p>
    <w:p w:rsidR="0074369E" w:rsidRPr="001125CE" w:rsidRDefault="0074369E" w:rsidP="0074369E">
      <w:pPr>
        <w:pStyle w:val="enumlev1"/>
      </w:pPr>
      <w:r w:rsidRPr="001125CE">
        <w:rPr>
          <w:iCs/>
        </w:rPr>
        <w:t>Vicepresidente</w:t>
      </w:r>
      <w:r w:rsidRPr="001125CE">
        <w:rPr>
          <w:i/>
        </w:rPr>
        <w:t>:</w:t>
      </w:r>
      <w:r w:rsidRPr="001125CE">
        <w:tab/>
      </w:r>
      <w:r w:rsidRPr="001125CE">
        <w:rPr>
          <w:rFonts w:asciiTheme="majorBidi" w:hAnsiTheme="majorBidi" w:cstheme="majorBidi"/>
          <w:iCs/>
          <w:szCs w:val="24"/>
        </w:rPr>
        <w:t>Sr. M. AL-SAWAFI (Omán (Sultanato de)</w:t>
      </w:r>
      <w:r w:rsidRPr="001125CE">
        <w:t>)</w:t>
      </w:r>
    </w:p>
    <w:p w:rsidR="0074369E" w:rsidRPr="001125CE" w:rsidRDefault="0074369E" w:rsidP="0074369E">
      <w:pPr>
        <w:pStyle w:val="Heading1"/>
      </w:pPr>
      <w:r w:rsidRPr="001125CE">
        <w:t>4</w:t>
      </w:r>
      <w:r w:rsidRPr="001125CE">
        <w:tab/>
        <w:t>Reuniones durante este periodo de estudios</w:t>
      </w:r>
    </w:p>
    <w:p w:rsidR="0074369E" w:rsidRPr="001125CE" w:rsidRDefault="0074369E" w:rsidP="0074369E">
      <w:r w:rsidRPr="001125CE">
        <w:t>Durante el presente periodo de estudios, la CE 1 y sus Grupos de Trabajo celebraron las siguientes reuniones. Todas ellas se organizaron en Ginebra, Suiza</w:t>
      </w:r>
      <w:r w:rsidR="00B168C0" w:rsidRPr="001125CE">
        <w:t>:</w:t>
      </w:r>
    </w:p>
    <w:p w:rsidR="0074369E" w:rsidRPr="001125CE" w:rsidRDefault="003B11D1" w:rsidP="0074369E">
      <w:pPr>
        <w:pStyle w:val="enumlev1"/>
      </w:pPr>
      <w:r w:rsidRPr="001125CE">
        <w:tab/>
      </w:r>
      <w:r w:rsidR="0074369E" w:rsidRPr="001125CE">
        <w:t>6 a 13 de junio de 2012</w:t>
      </w:r>
      <w:r w:rsidR="0074369E" w:rsidRPr="001125CE">
        <w:tab/>
      </w:r>
      <w:r w:rsidR="0074369E" w:rsidRPr="001125CE">
        <w:tab/>
      </w:r>
      <w:r w:rsidR="0074369E" w:rsidRPr="001125CE">
        <w:tab/>
        <w:t>GT 1A, GT 1B y GT 1C</w:t>
      </w:r>
    </w:p>
    <w:p w:rsidR="0074369E" w:rsidRPr="001125CE" w:rsidRDefault="0074369E" w:rsidP="0074369E">
      <w:pPr>
        <w:pStyle w:val="enumlev1"/>
      </w:pPr>
      <w:r w:rsidRPr="001125CE">
        <w:tab/>
        <w:t>14 de junio de 2012</w:t>
      </w:r>
      <w:r w:rsidRPr="001125CE">
        <w:tab/>
      </w:r>
      <w:r w:rsidRPr="001125CE">
        <w:tab/>
      </w:r>
      <w:r w:rsidRPr="001125CE">
        <w:tab/>
      </w:r>
      <w:r w:rsidRPr="001125CE">
        <w:tab/>
        <w:t>CE 1</w:t>
      </w:r>
    </w:p>
    <w:p w:rsidR="0074369E" w:rsidRPr="001125CE" w:rsidRDefault="0074369E" w:rsidP="0074369E">
      <w:pPr>
        <w:pStyle w:val="enumlev1"/>
      </w:pPr>
      <w:r w:rsidRPr="001125CE">
        <w:tab/>
        <w:t>4 a 11 de junio de 2013</w:t>
      </w:r>
      <w:r w:rsidRPr="001125CE">
        <w:tab/>
      </w:r>
      <w:r w:rsidRPr="001125CE">
        <w:tab/>
      </w:r>
      <w:r w:rsidRPr="001125CE">
        <w:tab/>
        <w:t>GT 1A, GT 1B y GT 1C</w:t>
      </w:r>
    </w:p>
    <w:p w:rsidR="0074369E" w:rsidRPr="001125CE" w:rsidRDefault="0074369E" w:rsidP="0074369E">
      <w:pPr>
        <w:pStyle w:val="enumlev1"/>
      </w:pPr>
      <w:r w:rsidRPr="001125CE">
        <w:tab/>
        <w:t>12 de junio de 2013</w:t>
      </w:r>
      <w:r w:rsidRPr="001125CE">
        <w:tab/>
      </w:r>
      <w:r w:rsidRPr="001125CE">
        <w:tab/>
      </w:r>
      <w:r w:rsidRPr="001125CE">
        <w:tab/>
      </w:r>
      <w:r w:rsidRPr="001125CE">
        <w:tab/>
        <w:t>CE 1</w:t>
      </w:r>
    </w:p>
    <w:p w:rsidR="0074369E" w:rsidRPr="001125CE" w:rsidRDefault="0074369E" w:rsidP="0074369E">
      <w:pPr>
        <w:pStyle w:val="enumlev1"/>
      </w:pPr>
      <w:r w:rsidRPr="001125CE">
        <w:tab/>
        <w:t>20 a 24 de enero de 2014</w:t>
      </w:r>
      <w:r w:rsidRPr="001125CE">
        <w:tab/>
      </w:r>
      <w:r w:rsidRPr="001125CE">
        <w:tab/>
      </w:r>
      <w:r w:rsidRPr="001125CE">
        <w:tab/>
        <w:t>GT</w:t>
      </w:r>
      <w:r w:rsidR="003E5A92" w:rsidRPr="001125CE">
        <w:t xml:space="preserve"> 1B</w:t>
      </w:r>
      <w:r w:rsidRPr="001125CE">
        <w:t>*</w:t>
      </w:r>
    </w:p>
    <w:p w:rsidR="0074369E" w:rsidRPr="001125CE" w:rsidRDefault="0074369E" w:rsidP="0074369E">
      <w:pPr>
        <w:pStyle w:val="enumlev1"/>
      </w:pPr>
      <w:r w:rsidRPr="001125CE">
        <w:tab/>
        <w:t>4 a 11 de junio de 2014</w:t>
      </w:r>
      <w:r w:rsidRPr="001125CE">
        <w:tab/>
      </w:r>
      <w:r w:rsidRPr="001125CE">
        <w:tab/>
      </w:r>
      <w:r w:rsidRPr="001125CE">
        <w:tab/>
        <w:t>GT 1A, GT 1B y GT 1C **</w:t>
      </w:r>
    </w:p>
    <w:p w:rsidR="0074369E" w:rsidRPr="001125CE" w:rsidRDefault="0074369E" w:rsidP="0074369E">
      <w:pPr>
        <w:pStyle w:val="enumlev1"/>
      </w:pPr>
      <w:r w:rsidRPr="001125CE">
        <w:tab/>
        <w:t>12 de junio de 2014</w:t>
      </w:r>
      <w:r w:rsidRPr="001125CE">
        <w:tab/>
      </w:r>
      <w:r w:rsidRPr="001125CE">
        <w:tab/>
      </w:r>
      <w:r w:rsidRPr="001125CE">
        <w:tab/>
      </w:r>
      <w:r w:rsidRPr="001125CE">
        <w:tab/>
        <w:t>CE 1</w:t>
      </w:r>
    </w:p>
    <w:p w:rsidR="0074369E" w:rsidRPr="001125CE" w:rsidRDefault="0074369E" w:rsidP="0074369E">
      <w:pPr>
        <w:pStyle w:val="enumlev1"/>
      </w:pPr>
      <w:r w:rsidRPr="001125CE">
        <w:tab/>
      </w:r>
      <w:r w:rsidRPr="001125CE">
        <w:rPr>
          <w:rFonts w:eastAsia="SimSun"/>
        </w:rPr>
        <w:t>3 a 10 de junio de 2015</w:t>
      </w:r>
      <w:r w:rsidRPr="001125CE">
        <w:tab/>
      </w:r>
      <w:r w:rsidRPr="001125CE">
        <w:tab/>
      </w:r>
      <w:r w:rsidRPr="001125CE">
        <w:tab/>
        <w:t>GT 1A***, GT 1B*** y GT 1C</w:t>
      </w:r>
    </w:p>
    <w:p w:rsidR="0074369E" w:rsidRPr="001125CE" w:rsidRDefault="0074369E" w:rsidP="0074369E">
      <w:pPr>
        <w:pStyle w:val="enumlev1"/>
      </w:pPr>
      <w:r w:rsidRPr="001125CE">
        <w:tab/>
        <w:t>11-12 de junio de 2015</w:t>
      </w:r>
      <w:r w:rsidRPr="001125CE">
        <w:tab/>
      </w:r>
      <w:r w:rsidRPr="001125CE">
        <w:tab/>
      </w:r>
      <w:r w:rsidRPr="001125CE">
        <w:tab/>
        <w:t>CE 1</w:t>
      </w:r>
    </w:p>
    <w:p w:rsidR="0074369E" w:rsidRPr="001125CE" w:rsidRDefault="000F1362" w:rsidP="00DD2898">
      <w:pPr>
        <w:tabs>
          <w:tab w:val="clear" w:pos="1134"/>
          <w:tab w:val="left" w:pos="567"/>
        </w:tabs>
      </w:pPr>
      <w:r w:rsidRPr="001125CE">
        <w:t>*</w:t>
      </w:r>
      <w:r w:rsidRPr="001125CE">
        <w:tab/>
      </w:r>
      <w:r w:rsidR="0074369E" w:rsidRPr="001125CE">
        <w:t xml:space="preserve">Además de esta reunión, el Grupo de Relator del GT 1A sobre la revisión del Manual CAT celebró una reunión del 20 al 22 de enero de 2014, y el 20 de enero de 2014 (véase la Sección 8) tuvo lugar un taller de la UIT sobre cuestiones de gestión del espectro relativas a la utilización de huecos por </w:t>
      </w:r>
      <w:r w:rsidR="000C6957" w:rsidRPr="001125CE">
        <w:t xml:space="preserve">sistemas </w:t>
      </w:r>
      <w:r w:rsidR="0074369E" w:rsidRPr="001125CE">
        <w:t xml:space="preserve">de </w:t>
      </w:r>
      <w:r w:rsidR="000C6957" w:rsidRPr="001125CE">
        <w:t xml:space="preserve">radiocomunicaciones cognitivos </w:t>
      </w:r>
      <w:r w:rsidR="0074369E" w:rsidRPr="001125CE">
        <w:t>(SRC).</w:t>
      </w:r>
    </w:p>
    <w:p w:rsidR="0074369E" w:rsidRPr="001125CE" w:rsidRDefault="00FE6DE1" w:rsidP="00AB445F">
      <w:pPr>
        <w:tabs>
          <w:tab w:val="clear" w:pos="1134"/>
          <w:tab w:val="left" w:pos="567"/>
        </w:tabs>
      </w:pPr>
      <w:r w:rsidRPr="001125CE">
        <w:t>**</w:t>
      </w:r>
      <w:r w:rsidRPr="001125CE">
        <w:tab/>
      </w:r>
      <w:r w:rsidR="0074369E" w:rsidRPr="001125CE">
        <w:t>Asimismo, el 3 de junio de 2014 (véase la Sección 8) se celebró un taller de la UIT sobre SRD y UWB.</w:t>
      </w:r>
    </w:p>
    <w:p w:rsidR="0074369E" w:rsidRPr="001125CE" w:rsidRDefault="002C3956" w:rsidP="002C3956">
      <w:pPr>
        <w:tabs>
          <w:tab w:val="clear" w:pos="1134"/>
          <w:tab w:val="left" w:pos="567"/>
        </w:tabs>
      </w:pPr>
      <w:r w:rsidRPr="001125CE">
        <w:t>***</w:t>
      </w:r>
      <w:r w:rsidRPr="001125CE">
        <w:tab/>
      </w:r>
      <w:r w:rsidR="0074369E" w:rsidRPr="001125CE">
        <w:t>Las reuniones de los GT 1A y 1B comenzaron el 4 de junio de 2015 y las reuniones de los Grupos de Relator se celebraron el 3 de junio de 2015.</w:t>
      </w:r>
    </w:p>
    <w:p w:rsidR="0074369E" w:rsidRPr="001125CE" w:rsidRDefault="0074369E" w:rsidP="0074369E">
      <w:pPr>
        <w:pStyle w:val="Heading1"/>
      </w:pPr>
      <w:r w:rsidRPr="001125CE">
        <w:t>5</w:t>
      </w:r>
      <w:r w:rsidRPr="001125CE">
        <w:tab/>
        <w:t>Principales actividades de los Grupos de Trabajo</w:t>
      </w:r>
    </w:p>
    <w:p w:rsidR="0074369E" w:rsidRPr="001125CE" w:rsidRDefault="0074369E" w:rsidP="0074369E">
      <w:pPr>
        <w:pStyle w:val="Heading2"/>
        <w:rPr>
          <w:lang w:eastAsia="ja-JP"/>
        </w:rPr>
      </w:pPr>
      <w:r w:rsidRPr="001125CE">
        <w:t>5.1</w:t>
      </w:r>
      <w:r w:rsidRPr="001125CE">
        <w:tab/>
        <w:t>Actividades relativas a las Resoluciones del UIT-R</w:t>
      </w:r>
    </w:p>
    <w:p w:rsidR="0074369E" w:rsidRPr="001125CE" w:rsidRDefault="0074369E" w:rsidP="003E3442">
      <w:pPr>
        <w:spacing w:after="120"/>
      </w:pPr>
      <w:r w:rsidRPr="001125CE">
        <w:t xml:space="preserve">Durante el periodo de estudios, </w:t>
      </w:r>
      <w:r w:rsidR="00A83A79" w:rsidRPr="001125CE">
        <w:t>la CE </w:t>
      </w:r>
      <w:r w:rsidRPr="001125CE">
        <w:t>1 llevó a cabo varias actividades relativas a las siguientes Resoluciones del UIT-R.</w:t>
      </w:r>
    </w:p>
    <w:tbl>
      <w:tblPr>
        <w:tblStyle w:val="TableGrid"/>
        <w:tblW w:w="0" w:type="auto"/>
        <w:tblLook w:val="04A0" w:firstRow="1" w:lastRow="0" w:firstColumn="1" w:lastColumn="0" w:noHBand="0" w:noVBand="1"/>
      </w:tblPr>
      <w:tblGrid>
        <w:gridCol w:w="1150"/>
        <w:gridCol w:w="2808"/>
        <w:gridCol w:w="5670"/>
      </w:tblGrid>
      <w:tr w:rsidR="0074369E" w:rsidRPr="001125CE" w:rsidTr="00B358CD">
        <w:trPr>
          <w:tblHeader/>
        </w:trPr>
        <w:tc>
          <w:tcPr>
            <w:tcW w:w="1150" w:type="dxa"/>
            <w:shd w:val="clear" w:color="auto" w:fill="FFFFFF" w:themeFill="background1"/>
            <w:vAlign w:val="center"/>
          </w:tcPr>
          <w:p w:rsidR="0074369E" w:rsidRPr="001125CE" w:rsidRDefault="0074369E" w:rsidP="00425464">
            <w:pPr>
              <w:pStyle w:val="Tablehead"/>
              <w:rPr>
                <w:lang w:eastAsia="ja-JP"/>
              </w:rPr>
            </w:pPr>
            <w:r w:rsidRPr="001125CE">
              <w:rPr>
                <w:lang w:eastAsia="ja-JP"/>
              </w:rPr>
              <w:t>Resolución</w:t>
            </w:r>
          </w:p>
        </w:tc>
        <w:tc>
          <w:tcPr>
            <w:tcW w:w="2808" w:type="dxa"/>
            <w:shd w:val="clear" w:color="auto" w:fill="FFFFFF" w:themeFill="background1"/>
            <w:vAlign w:val="center"/>
          </w:tcPr>
          <w:p w:rsidR="0074369E" w:rsidRPr="001125CE" w:rsidRDefault="0074369E" w:rsidP="00425464">
            <w:pPr>
              <w:pStyle w:val="Tablehead"/>
              <w:rPr>
                <w:lang w:eastAsia="ja-JP"/>
              </w:rPr>
            </w:pPr>
            <w:r w:rsidRPr="001125CE">
              <w:rPr>
                <w:lang w:eastAsia="ja-JP"/>
              </w:rPr>
              <w:t>Título</w:t>
            </w:r>
          </w:p>
        </w:tc>
        <w:tc>
          <w:tcPr>
            <w:tcW w:w="5670" w:type="dxa"/>
            <w:shd w:val="clear" w:color="auto" w:fill="FFFFFF" w:themeFill="background1"/>
            <w:vAlign w:val="center"/>
          </w:tcPr>
          <w:p w:rsidR="0074369E" w:rsidRPr="001125CE" w:rsidRDefault="0074369E" w:rsidP="00425464">
            <w:pPr>
              <w:pStyle w:val="Tablehead"/>
              <w:rPr>
                <w:lang w:eastAsia="ja-JP"/>
              </w:rPr>
            </w:pPr>
            <w:r w:rsidRPr="001125CE">
              <w:rPr>
                <w:lang w:eastAsia="ja-JP"/>
              </w:rPr>
              <w:t xml:space="preserve">Situación de los estudios de las contribuciones </w:t>
            </w:r>
            <w:r w:rsidR="00425464" w:rsidRPr="001125CE">
              <w:rPr>
                <w:lang w:eastAsia="ja-JP"/>
              </w:rPr>
              <w:br/>
            </w:r>
            <w:r w:rsidRPr="001125CE">
              <w:rPr>
                <w:lang w:eastAsia="ja-JP"/>
              </w:rPr>
              <w:t>de la CE</w:t>
            </w:r>
            <w:r w:rsidR="00387A45" w:rsidRPr="001125CE">
              <w:rPr>
                <w:lang w:eastAsia="ja-JP"/>
              </w:rPr>
              <w:t> </w:t>
            </w:r>
            <w:r w:rsidRPr="001125CE">
              <w:rPr>
                <w:lang w:eastAsia="ja-JP"/>
              </w:rPr>
              <w:t>1 y la CE</w:t>
            </w:r>
            <w:r w:rsidR="00387A45" w:rsidRPr="001125CE">
              <w:rPr>
                <w:lang w:eastAsia="ja-JP"/>
              </w:rPr>
              <w:t> </w:t>
            </w:r>
            <w:r w:rsidRPr="001125CE">
              <w:rPr>
                <w:lang w:eastAsia="ja-JP"/>
              </w:rPr>
              <w:t>2</w:t>
            </w:r>
          </w:p>
        </w:tc>
      </w:tr>
      <w:tr w:rsidR="0074369E" w:rsidRPr="001125CE" w:rsidTr="003E3442">
        <w:tc>
          <w:tcPr>
            <w:tcW w:w="1150" w:type="dxa"/>
          </w:tcPr>
          <w:p w:rsidR="0074369E" w:rsidRPr="001125CE" w:rsidRDefault="0074369E" w:rsidP="00F15BA6">
            <w:pPr>
              <w:pStyle w:val="Tabletext"/>
              <w:spacing w:before="2"/>
              <w:rPr>
                <w:lang w:eastAsia="ja-JP"/>
              </w:rPr>
            </w:pPr>
            <w:r w:rsidRPr="001125CE">
              <w:rPr>
                <w:lang w:eastAsia="ja-JP"/>
              </w:rPr>
              <w:t>11-4</w:t>
            </w:r>
          </w:p>
        </w:tc>
        <w:tc>
          <w:tcPr>
            <w:tcW w:w="2808" w:type="dxa"/>
          </w:tcPr>
          <w:p w:rsidR="0074369E" w:rsidRPr="001125CE" w:rsidRDefault="0074369E" w:rsidP="00F15BA6">
            <w:pPr>
              <w:pStyle w:val="Tabletext"/>
              <w:spacing w:before="0"/>
              <w:rPr>
                <w:sz w:val="21"/>
                <w:szCs w:val="21"/>
              </w:rPr>
            </w:pPr>
            <w:r w:rsidRPr="001125CE">
              <w:rPr>
                <w:rFonts w:asciiTheme="majorBidi" w:hAnsiTheme="majorBidi" w:cstheme="majorBidi"/>
              </w:rPr>
              <w:t>Perfeccionamiento del Sistema de Gestión del Espectro para los Países en Desarrollo</w:t>
            </w:r>
          </w:p>
        </w:tc>
        <w:tc>
          <w:tcPr>
            <w:tcW w:w="5670" w:type="dxa"/>
          </w:tcPr>
          <w:p w:rsidR="0074369E" w:rsidRPr="001125CE" w:rsidRDefault="0074369E" w:rsidP="00F15BA6">
            <w:pPr>
              <w:pStyle w:val="Tabletext"/>
              <w:spacing w:before="0"/>
              <w:ind w:left="284" w:hanging="284"/>
              <w:rPr>
                <w:lang w:eastAsia="ja-JP"/>
              </w:rPr>
            </w:pPr>
            <w:r w:rsidRPr="001125CE">
              <w:rPr>
                <w:lang w:eastAsia="ja-JP"/>
              </w:rPr>
              <w:t>–</w:t>
            </w:r>
            <w:r w:rsidRPr="001125CE">
              <w:rPr>
                <w:lang w:eastAsia="ja-JP"/>
              </w:rPr>
              <w:tab/>
              <w:t>Nueva edición del Manual de la UIT sobre Técnicas Informatizadas para la Gestión del Espectro</w:t>
            </w:r>
          </w:p>
          <w:p w:rsidR="0074369E" w:rsidRPr="001125CE" w:rsidRDefault="0074369E" w:rsidP="00F15BA6">
            <w:pPr>
              <w:pStyle w:val="Figurelegend"/>
              <w:keepNext w:val="0"/>
              <w:keepLines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after="40"/>
              <w:ind w:left="284" w:hanging="284"/>
              <w:rPr>
                <w:sz w:val="21"/>
                <w:szCs w:val="21"/>
                <w:highlight w:val="yellow"/>
                <w:lang w:eastAsia="ja-JP"/>
              </w:rPr>
            </w:pPr>
            <w:r w:rsidRPr="001125CE">
              <w:rPr>
                <w:sz w:val="20"/>
                <w:lang w:eastAsia="ja-JP"/>
              </w:rPr>
              <w:lastRenderedPageBreak/>
              <w:t>–</w:t>
            </w:r>
            <w:r w:rsidRPr="001125CE">
              <w:rPr>
                <w:sz w:val="20"/>
                <w:lang w:eastAsia="ja-JP"/>
              </w:rPr>
              <w:tab/>
            </w:r>
            <w:hyperlink r:id="rId8" w:history="1">
              <w:r w:rsidRPr="001125CE">
                <w:rPr>
                  <w:rStyle w:val="Hyperlink"/>
                  <w:sz w:val="20"/>
                  <w:lang w:eastAsia="ja-JP"/>
                </w:rPr>
                <w:t>Recomendación UIT-R SM.1370-2</w:t>
              </w:r>
            </w:hyperlink>
            <w:r w:rsidRPr="001125CE">
              <w:rPr>
                <w:sz w:val="20"/>
                <w:lang w:eastAsia="ja-JP"/>
              </w:rPr>
              <w:t xml:space="preserve"> sobre Directrices de diseño para la elaboración de sistemas de gestión automática del espectro</w:t>
            </w:r>
          </w:p>
        </w:tc>
      </w:tr>
      <w:tr w:rsidR="0074369E" w:rsidRPr="001125CE" w:rsidTr="003E3442">
        <w:tc>
          <w:tcPr>
            <w:tcW w:w="1150" w:type="dxa"/>
          </w:tcPr>
          <w:p w:rsidR="0074369E" w:rsidRPr="001125CE" w:rsidRDefault="0074369E" w:rsidP="00F15BA6">
            <w:pPr>
              <w:pStyle w:val="Tabletext"/>
              <w:spacing w:before="2"/>
              <w:rPr>
                <w:lang w:eastAsia="ja-JP"/>
              </w:rPr>
            </w:pPr>
            <w:r w:rsidRPr="001125CE">
              <w:rPr>
                <w:lang w:eastAsia="ja-JP"/>
              </w:rPr>
              <w:lastRenderedPageBreak/>
              <w:t>22-3</w:t>
            </w:r>
          </w:p>
        </w:tc>
        <w:tc>
          <w:tcPr>
            <w:tcW w:w="2808" w:type="dxa"/>
          </w:tcPr>
          <w:p w:rsidR="0074369E" w:rsidRPr="001125CE" w:rsidRDefault="0074369E" w:rsidP="00F15BA6">
            <w:pPr>
              <w:pStyle w:val="Tabletext"/>
              <w:spacing w:before="2"/>
              <w:rPr>
                <w:sz w:val="21"/>
                <w:szCs w:val="21"/>
              </w:rPr>
            </w:pPr>
            <w:r w:rsidRPr="001125CE">
              <w:rPr>
                <w:rFonts w:asciiTheme="majorBidi" w:hAnsiTheme="majorBidi" w:cstheme="majorBidi"/>
              </w:rPr>
              <w:t>Mejora de las prácticas y técnicas relativas a la gestión nacional del espectro radioeléctrico</w:t>
            </w:r>
          </w:p>
        </w:tc>
        <w:tc>
          <w:tcPr>
            <w:tcW w:w="5670" w:type="dxa"/>
          </w:tcPr>
          <w:p w:rsidR="0074369E" w:rsidRPr="001125CE" w:rsidRDefault="0074369E" w:rsidP="00F15BA6">
            <w:pPr>
              <w:pStyle w:val="Tabletext"/>
              <w:spacing w:before="0"/>
              <w:ind w:left="284" w:hanging="284"/>
              <w:rPr>
                <w:lang w:eastAsia="ja-JP"/>
              </w:rPr>
            </w:pPr>
            <w:r w:rsidRPr="001125CE">
              <w:rPr>
                <w:lang w:eastAsia="ja-JP"/>
              </w:rPr>
              <w:t>–</w:t>
            </w:r>
            <w:r w:rsidRPr="001125CE">
              <w:rPr>
                <w:lang w:eastAsia="ja-JP"/>
              </w:rPr>
              <w:tab/>
            </w:r>
            <w:hyperlink r:id="rId9" w:history="1">
              <w:r w:rsidRPr="001125CE">
                <w:rPr>
                  <w:rStyle w:val="Hyperlink"/>
                  <w:lang w:eastAsia="ja-JP"/>
                </w:rPr>
                <w:t>Recomendación UIT-R SM.1047-2</w:t>
              </w:r>
            </w:hyperlink>
            <w:r w:rsidRPr="001125CE">
              <w:rPr>
                <w:lang w:eastAsia="ja-JP"/>
              </w:rPr>
              <w:t xml:space="preserve"> sobre Gestión nacional del espectro</w:t>
            </w:r>
          </w:p>
          <w:p w:rsidR="0074369E" w:rsidRPr="001125CE" w:rsidRDefault="0074369E" w:rsidP="00F15BA6">
            <w:pPr>
              <w:pStyle w:val="Tabletext"/>
              <w:spacing w:before="0"/>
              <w:ind w:left="284" w:hanging="284"/>
              <w:rPr>
                <w:lang w:eastAsia="ja-JP"/>
              </w:rPr>
            </w:pPr>
            <w:r w:rsidRPr="001125CE">
              <w:rPr>
                <w:lang w:eastAsia="ja-JP"/>
              </w:rPr>
              <w:t>–</w:t>
            </w:r>
            <w:r w:rsidRPr="001125CE">
              <w:rPr>
                <w:lang w:eastAsia="ja-JP"/>
              </w:rPr>
              <w:tab/>
            </w:r>
            <w:hyperlink r:id="rId10" w:history="1">
              <w:r w:rsidRPr="001125CE">
                <w:rPr>
                  <w:rStyle w:val="Hyperlink"/>
                  <w:lang w:eastAsia="ja-JP"/>
                </w:rPr>
                <w:t>Recomendación UIT-R SM.1603-2</w:t>
              </w:r>
            </w:hyperlink>
            <w:r w:rsidRPr="001125CE">
              <w:rPr>
                <w:lang w:eastAsia="ja-JP"/>
              </w:rPr>
              <w:t xml:space="preserve"> sobre </w:t>
            </w:r>
            <w:r w:rsidR="00AF3CF0" w:rsidRPr="001125CE">
              <w:rPr>
                <w:lang w:eastAsia="ja-JP"/>
              </w:rPr>
              <w:t xml:space="preserve">Reorganización </w:t>
            </w:r>
            <w:r w:rsidRPr="001125CE">
              <w:rPr>
                <w:lang w:eastAsia="ja-JP"/>
              </w:rPr>
              <w:t>del espectro como método de gestión nacional del espectro</w:t>
            </w:r>
          </w:p>
          <w:p w:rsidR="0074369E" w:rsidRPr="001125CE" w:rsidRDefault="0074369E" w:rsidP="00F15BA6">
            <w:pPr>
              <w:pStyle w:val="Tabletext"/>
              <w:spacing w:before="0"/>
              <w:ind w:left="284" w:hanging="284"/>
              <w:rPr>
                <w:lang w:eastAsia="ja-JP"/>
              </w:rPr>
            </w:pPr>
            <w:r w:rsidRPr="001125CE">
              <w:rPr>
                <w:lang w:eastAsia="ja-JP"/>
              </w:rPr>
              <w:t>–</w:t>
            </w:r>
            <w:r w:rsidRPr="001125CE">
              <w:rPr>
                <w:lang w:eastAsia="ja-JP"/>
              </w:rPr>
              <w:tab/>
            </w:r>
            <w:hyperlink r:id="rId11" w:history="1">
              <w:r w:rsidRPr="001125CE">
                <w:rPr>
                  <w:rStyle w:val="Hyperlink"/>
                  <w:lang w:eastAsia="ja-JP"/>
                </w:rPr>
                <w:t>Informe UIT</w:t>
              </w:r>
              <w:r w:rsidRPr="001125CE">
                <w:rPr>
                  <w:rStyle w:val="Hyperlink"/>
                  <w:lang w:eastAsia="ja-JP"/>
                </w:rPr>
                <w:noBreakHyphen/>
                <w:t>R SM.2012-4</w:t>
              </w:r>
            </w:hyperlink>
            <w:r w:rsidRPr="001125CE">
              <w:rPr>
                <w:lang w:eastAsia="ja-JP"/>
              </w:rPr>
              <w:t xml:space="preserve"> sobre los Aspectos económicos de la gestión del espectro</w:t>
            </w:r>
          </w:p>
          <w:p w:rsidR="0074369E" w:rsidRPr="001125CE" w:rsidRDefault="0074369E" w:rsidP="00F15BA6">
            <w:pPr>
              <w:pStyle w:val="Figurelegend"/>
              <w:keepNext w:val="0"/>
              <w:keepLines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after="40"/>
              <w:ind w:left="284" w:hanging="284"/>
              <w:rPr>
                <w:sz w:val="21"/>
                <w:szCs w:val="21"/>
                <w:highlight w:val="yellow"/>
                <w:lang w:eastAsia="ja-JP"/>
              </w:rPr>
            </w:pPr>
            <w:r w:rsidRPr="001125CE">
              <w:rPr>
                <w:sz w:val="20"/>
                <w:lang w:eastAsia="ja-JP"/>
              </w:rPr>
              <w:t>–</w:t>
            </w:r>
            <w:r w:rsidRPr="001125CE">
              <w:rPr>
                <w:sz w:val="20"/>
                <w:lang w:eastAsia="ja-JP"/>
              </w:rPr>
              <w:tab/>
              <w:t>Nueva edición del Manual de la UIT sobre Gestión nacional del espectro</w:t>
            </w:r>
          </w:p>
        </w:tc>
      </w:tr>
      <w:tr w:rsidR="0074369E" w:rsidRPr="001125CE" w:rsidTr="003E3442">
        <w:tc>
          <w:tcPr>
            <w:tcW w:w="1150" w:type="dxa"/>
          </w:tcPr>
          <w:p w:rsidR="0074369E" w:rsidRPr="001125CE" w:rsidRDefault="0074369E" w:rsidP="00F15BA6">
            <w:pPr>
              <w:pStyle w:val="Tabletext"/>
              <w:spacing w:before="2"/>
              <w:rPr>
                <w:lang w:eastAsia="ja-JP"/>
              </w:rPr>
            </w:pPr>
            <w:r w:rsidRPr="001125CE">
              <w:rPr>
                <w:lang w:eastAsia="ja-JP"/>
              </w:rPr>
              <w:t>23-2</w:t>
            </w:r>
          </w:p>
        </w:tc>
        <w:tc>
          <w:tcPr>
            <w:tcW w:w="2808" w:type="dxa"/>
          </w:tcPr>
          <w:p w:rsidR="0074369E" w:rsidRPr="001125CE" w:rsidRDefault="0074369E" w:rsidP="00F15BA6">
            <w:pPr>
              <w:pStyle w:val="Tabletext"/>
              <w:spacing w:before="2"/>
              <w:rPr>
                <w:sz w:val="21"/>
                <w:szCs w:val="21"/>
              </w:rPr>
            </w:pPr>
            <w:r w:rsidRPr="001125CE">
              <w:rPr>
                <w:rFonts w:asciiTheme="majorBidi" w:hAnsiTheme="majorBidi" w:cstheme="majorBidi"/>
              </w:rPr>
              <w:t>Extensión al ámbito mundial del sistema internacional de comprobación técnica de las emisiones</w:t>
            </w:r>
          </w:p>
        </w:tc>
        <w:tc>
          <w:tcPr>
            <w:tcW w:w="5670" w:type="dxa"/>
          </w:tcPr>
          <w:p w:rsidR="0074369E" w:rsidRPr="001125CE" w:rsidRDefault="0074369E" w:rsidP="00F15BA6">
            <w:pPr>
              <w:pStyle w:val="Figurelegend"/>
              <w:keepNext w:val="0"/>
              <w:keepLines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after="40"/>
              <w:rPr>
                <w:sz w:val="20"/>
                <w:lang w:eastAsia="ja-JP"/>
              </w:rPr>
            </w:pPr>
            <w:r w:rsidRPr="001125CE">
              <w:rPr>
                <w:sz w:val="20"/>
                <w:lang w:eastAsia="ja-JP"/>
              </w:rPr>
              <w:t xml:space="preserve">Completado y pendiente de la adición de nuevas administraciones a la Lista VIII (por ejemplo, véase asimismo el </w:t>
            </w:r>
            <w:hyperlink r:id="rId12" w:history="1">
              <w:r w:rsidRPr="00F739C9">
                <w:rPr>
                  <w:rStyle w:val="Hyperlink"/>
                  <w:sz w:val="20"/>
                  <w:lang w:eastAsia="ja-JP"/>
                </w:rPr>
                <w:t>Informe UIT-R SM.2182</w:t>
              </w:r>
            </w:hyperlink>
            <w:r w:rsidRPr="001125CE">
              <w:rPr>
                <w:sz w:val="20"/>
                <w:lang w:eastAsia="ja-JP"/>
              </w:rPr>
              <w:t>)</w:t>
            </w:r>
          </w:p>
        </w:tc>
      </w:tr>
      <w:tr w:rsidR="0074369E" w:rsidRPr="001125CE" w:rsidTr="003E3442">
        <w:tc>
          <w:tcPr>
            <w:tcW w:w="1150" w:type="dxa"/>
          </w:tcPr>
          <w:p w:rsidR="0074369E" w:rsidRPr="001125CE" w:rsidRDefault="0074369E" w:rsidP="00F15BA6">
            <w:pPr>
              <w:pStyle w:val="Tabletext"/>
              <w:spacing w:before="2"/>
              <w:rPr>
                <w:rFonts w:asciiTheme="majorBidi" w:hAnsiTheme="majorBidi" w:cstheme="majorBidi"/>
                <w:lang w:eastAsia="ja-JP"/>
              </w:rPr>
            </w:pPr>
            <w:r w:rsidRPr="001125CE">
              <w:rPr>
                <w:rFonts w:asciiTheme="majorBidi" w:hAnsiTheme="majorBidi" w:cstheme="majorBidi"/>
                <w:lang w:eastAsia="ja-JP"/>
              </w:rPr>
              <w:t>54-1</w:t>
            </w:r>
          </w:p>
        </w:tc>
        <w:tc>
          <w:tcPr>
            <w:tcW w:w="2808" w:type="dxa"/>
          </w:tcPr>
          <w:p w:rsidR="0074369E" w:rsidRPr="001125CE" w:rsidRDefault="0074369E" w:rsidP="00F15BA6">
            <w:pPr>
              <w:pStyle w:val="Tabletext"/>
              <w:spacing w:before="2"/>
              <w:rPr>
                <w:sz w:val="21"/>
                <w:szCs w:val="21"/>
              </w:rPr>
            </w:pPr>
            <w:r w:rsidRPr="001125CE">
              <w:rPr>
                <w:rFonts w:asciiTheme="majorBidi" w:hAnsiTheme="majorBidi" w:cstheme="majorBidi"/>
              </w:rPr>
              <w:t>Estudios para lograr la armonización de los dispositivos de corto alcance</w:t>
            </w:r>
          </w:p>
        </w:tc>
        <w:tc>
          <w:tcPr>
            <w:tcW w:w="5670" w:type="dxa"/>
          </w:tcPr>
          <w:p w:rsidR="0074369E" w:rsidRPr="001125CE" w:rsidRDefault="0074369E" w:rsidP="00F15BA6">
            <w:pPr>
              <w:pStyle w:val="Tabletext"/>
              <w:spacing w:before="0"/>
              <w:ind w:left="284" w:hanging="284"/>
              <w:rPr>
                <w:lang w:eastAsia="ja-JP"/>
              </w:rPr>
            </w:pPr>
            <w:r w:rsidRPr="001125CE">
              <w:rPr>
                <w:lang w:eastAsia="ja-JP"/>
              </w:rPr>
              <w:t>–</w:t>
            </w:r>
            <w:r w:rsidRPr="001125CE">
              <w:rPr>
                <w:lang w:eastAsia="ja-JP"/>
              </w:rPr>
              <w:tab/>
            </w:r>
            <w:hyperlink r:id="rId13" w:history="1">
              <w:r w:rsidRPr="001125CE">
                <w:rPr>
                  <w:rStyle w:val="Hyperlink"/>
                  <w:lang w:eastAsia="ja-JP"/>
                </w:rPr>
                <w:t>Recomendación UIT-R SM.1896-0</w:t>
              </w:r>
            </w:hyperlink>
            <w:r w:rsidRPr="001125CE">
              <w:rPr>
                <w:lang w:eastAsia="ja-JP"/>
              </w:rPr>
              <w:t xml:space="preserve"> sobre Gamas de frecuencia para la armonización mundial o regional de los dispositivos de corto alcance</w:t>
            </w:r>
          </w:p>
          <w:p w:rsidR="0074369E" w:rsidRPr="001125CE" w:rsidRDefault="0074369E" w:rsidP="00F15BA6">
            <w:pPr>
              <w:pStyle w:val="Tabletext"/>
              <w:spacing w:before="0"/>
              <w:ind w:left="284" w:hanging="284"/>
              <w:rPr>
                <w:lang w:eastAsia="ja-JP"/>
              </w:rPr>
            </w:pPr>
            <w:r w:rsidRPr="001125CE">
              <w:rPr>
                <w:lang w:eastAsia="ja-JP"/>
              </w:rPr>
              <w:t>–</w:t>
            </w:r>
            <w:r w:rsidRPr="001125CE">
              <w:rPr>
                <w:lang w:eastAsia="ja-JP"/>
              </w:rPr>
              <w:tab/>
            </w:r>
            <w:hyperlink r:id="rId14" w:history="1">
              <w:r w:rsidRPr="001125CE">
                <w:rPr>
                  <w:rStyle w:val="Hyperlink"/>
                  <w:lang w:eastAsia="ja-JP"/>
                </w:rPr>
                <w:t>Informe UIT-R SM.2153-5</w:t>
              </w:r>
            </w:hyperlink>
            <w:r w:rsidRPr="001125CE">
              <w:rPr>
                <w:lang w:eastAsia="ja-JP"/>
              </w:rPr>
              <w:t xml:space="preserve"> sobre Parámetros técnicos y de explotación de los dispositivos de radiocomunicaciones de corto alcance y utilización del espectro por los mismos</w:t>
            </w:r>
          </w:p>
          <w:p w:rsidR="0074369E" w:rsidRPr="001125CE" w:rsidRDefault="0074369E" w:rsidP="00F15BA6">
            <w:pPr>
              <w:pStyle w:val="Tabletext"/>
              <w:spacing w:before="0"/>
              <w:ind w:left="284" w:hanging="284"/>
              <w:rPr>
                <w:lang w:eastAsia="ja-JP"/>
              </w:rPr>
            </w:pPr>
            <w:r w:rsidRPr="001125CE">
              <w:rPr>
                <w:lang w:eastAsia="ja-JP"/>
              </w:rPr>
              <w:t>–</w:t>
            </w:r>
            <w:r w:rsidRPr="001125CE">
              <w:rPr>
                <w:lang w:eastAsia="ja-JP"/>
              </w:rPr>
              <w:tab/>
            </w:r>
            <w:hyperlink r:id="rId15" w:history="1">
              <w:r w:rsidRPr="001125CE">
                <w:rPr>
                  <w:rStyle w:val="Hyperlink"/>
                  <w:lang w:eastAsia="ja-JP"/>
                </w:rPr>
                <w:t>Informe UIT</w:t>
              </w:r>
              <w:r w:rsidRPr="001125CE">
                <w:rPr>
                  <w:rStyle w:val="Hyperlink"/>
                  <w:lang w:eastAsia="ja-JP"/>
                </w:rPr>
                <w:noBreakHyphen/>
                <w:t>R SM.2255-0</w:t>
              </w:r>
            </w:hyperlink>
            <w:r w:rsidRPr="001125CE">
              <w:rPr>
                <w:lang w:eastAsia="ja-JP"/>
              </w:rPr>
              <w:t xml:space="preserve"> sobre Características técnicas, normas y bandas de frecuencias de funcionamiento para RFID y</w:t>
            </w:r>
            <w:r w:rsidR="00CC025E" w:rsidRPr="001125CE">
              <w:rPr>
                <w:lang w:eastAsia="ja-JP"/>
              </w:rPr>
              <w:t xml:space="preserve"> pos</w:t>
            </w:r>
            <w:r w:rsidR="00964604">
              <w:rPr>
                <w:lang w:eastAsia="ja-JP"/>
              </w:rPr>
              <w:t>ibilidades de armonización</w:t>
            </w:r>
          </w:p>
          <w:p w:rsidR="0074369E" w:rsidRPr="001125CE" w:rsidRDefault="0074369E" w:rsidP="00F15BA6">
            <w:pPr>
              <w:pStyle w:val="Tabletext"/>
              <w:spacing w:before="0"/>
              <w:ind w:left="284" w:hanging="284"/>
              <w:rPr>
                <w:lang w:eastAsia="ja-JP"/>
              </w:rPr>
            </w:pPr>
            <w:r w:rsidRPr="001125CE">
              <w:rPr>
                <w:lang w:eastAsia="ja-JP"/>
              </w:rPr>
              <w:t>–</w:t>
            </w:r>
            <w:r w:rsidRPr="001125CE">
              <w:rPr>
                <w:lang w:eastAsia="ja-JP"/>
              </w:rPr>
              <w:tab/>
              <w:t xml:space="preserve">Se organizó un </w:t>
            </w:r>
            <w:hyperlink r:id="rId16" w:history="1">
              <w:r w:rsidRPr="00504E17">
                <w:rPr>
                  <w:rStyle w:val="Hyperlink"/>
                  <w:lang w:eastAsia="ja-JP"/>
                </w:rPr>
                <w:t>Taller de la UIT sobre SRD y UWB</w:t>
              </w:r>
            </w:hyperlink>
            <w:r w:rsidRPr="001125CE">
              <w:rPr>
                <w:lang w:eastAsia="ja-JP"/>
              </w:rPr>
              <w:t xml:space="preserve"> el 3 de junio de 2014 (véase la Sección 8 del presente </w:t>
            </w:r>
            <w:r w:rsidR="00E15A37" w:rsidRPr="001125CE">
              <w:rPr>
                <w:lang w:eastAsia="ja-JP"/>
              </w:rPr>
              <w:t>Informe</w:t>
            </w:r>
            <w:r w:rsidRPr="001125CE">
              <w:rPr>
                <w:lang w:eastAsia="ja-JP"/>
              </w:rPr>
              <w:t>)</w:t>
            </w:r>
          </w:p>
          <w:p w:rsidR="0074369E" w:rsidRPr="001125CE" w:rsidRDefault="0074369E" w:rsidP="00E73B44">
            <w:pPr>
              <w:pStyle w:val="Tabletext"/>
              <w:spacing w:before="0"/>
              <w:ind w:left="284" w:hanging="284"/>
              <w:rPr>
                <w:sz w:val="21"/>
                <w:szCs w:val="21"/>
                <w:highlight w:val="yellow"/>
                <w:lang w:eastAsia="ja-JP"/>
              </w:rPr>
            </w:pPr>
            <w:r w:rsidRPr="001125CE">
              <w:rPr>
                <w:lang w:eastAsia="ja-JP"/>
              </w:rPr>
              <w:t>–</w:t>
            </w:r>
            <w:r w:rsidRPr="001125CE">
              <w:rPr>
                <w:lang w:eastAsia="ja-JP"/>
              </w:rPr>
              <w:tab/>
              <w:t xml:space="preserve">Grupo por </w:t>
            </w:r>
            <w:r w:rsidR="00E15A37" w:rsidRPr="001125CE">
              <w:rPr>
                <w:lang w:eastAsia="ja-JP"/>
              </w:rPr>
              <w:t xml:space="preserve">Correspondencia </w:t>
            </w:r>
            <w:r w:rsidRPr="001125CE">
              <w:rPr>
                <w:lang w:eastAsia="ja-JP"/>
              </w:rPr>
              <w:t>sobre clasificación de los RCA</w:t>
            </w:r>
          </w:p>
        </w:tc>
      </w:tr>
      <w:tr w:rsidR="0074369E" w:rsidRPr="001125CE" w:rsidTr="003E3442">
        <w:trPr>
          <w:trHeight w:val="1740"/>
        </w:trPr>
        <w:tc>
          <w:tcPr>
            <w:tcW w:w="1150" w:type="dxa"/>
          </w:tcPr>
          <w:p w:rsidR="0074369E" w:rsidRPr="001125CE" w:rsidRDefault="0074369E" w:rsidP="00F15BA6">
            <w:pPr>
              <w:pStyle w:val="Tabletext"/>
              <w:spacing w:before="2"/>
              <w:rPr>
                <w:rFonts w:asciiTheme="majorBidi" w:hAnsiTheme="majorBidi" w:cstheme="majorBidi"/>
                <w:lang w:eastAsia="ja-JP"/>
              </w:rPr>
            </w:pPr>
            <w:r w:rsidRPr="001125CE">
              <w:rPr>
                <w:rFonts w:asciiTheme="majorBidi" w:hAnsiTheme="majorBidi" w:cstheme="majorBidi"/>
                <w:lang w:eastAsia="ja-JP"/>
              </w:rPr>
              <w:t>58</w:t>
            </w:r>
          </w:p>
        </w:tc>
        <w:tc>
          <w:tcPr>
            <w:tcW w:w="2808" w:type="dxa"/>
          </w:tcPr>
          <w:p w:rsidR="0074369E" w:rsidRPr="001125CE" w:rsidRDefault="0074369E" w:rsidP="00F15BA6">
            <w:pPr>
              <w:pStyle w:val="Tabletext"/>
              <w:spacing w:before="2"/>
            </w:pPr>
            <w:r w:rsidRPr="001125CE">
              <w:t>Estudios sobre la implantación y utilización de sistemas de radiocomunicaciones inteligentes</w:t>
            </w:r>
          </w:p>
        </w:tc>
        <w:tc>
          <w:tcPr>
            <w:tcW w:w="5670" w:type="dxa"/>
          </w:tcPr>
          <w:p w:rsidR="0074369E" w:rsidRPr="001125CE" w:rsidRDefault="00E73B44" w:rsidP="00E73B44">
            <w:pPr>
              <w:pStyle w:val="Tabletext"/>
              <w:spacing w:before="0"/>
              <w:ind w:left="284" w:hanging="284"/>
              <w:rPr>
                <w:lang w:eastAsia="ja-JP"/>
              </w:rPr>
            </w:pPr>
            <w:r w:rsidRPr="001125CE">
              <w:rPr>
                <w:lang w:eastAsia="ja-JP"/>
              </w:rPr>
              <w:t>–</w:t>
            </w:r>
            <w:r w:rsidRPr="001125CE">
              <w:rPr>
                <w:lang w:eastAsia="ja-JP"/>
              </w:rPr>
              <w:tab/>
            </w:r>
            <w:r w:rsidR="0074369E" w:rsidRPr="001125CE">
              <w:rPr>
                <w:lang w:eastAsia="ja-JP"/>
              </w:rPr>
              <w:t>Documento de trabajo que servirá de base para el anteproyecto de nuevo Informe UIT-R SM.[CRS SPECTRUM MANAGEMENT CHALLENGES] – Principios sobre la gestión del espectro, retos y cuestiones en relación con el acceso dinámico a las bandas de frecuencia de sistemas radioeléctricos con capacidades cognitivas.</w:t>
            </w:r>
          </w:p>
          <w:p w:rsidR="0074369E" w:rsidRPr="001125CE" w:rsidRDefault="0074369E" w:rsidP="00F15BA6">
            <w:pPr>
              <w:pStyle w:val="Tabletext"/>
              <w:spacing w:before="0"/>
              <w:ind w:left="284" w:hanging="284"/>
              <w:rPr>
                <w:lang w:eastAsia="ja-JP"/>
              </w:rPr>
            </w:pPr>
            <w:r w:rsidRPr="001125CE">
              <w:rPr>
                <w:lang w:eastAsia="ja-JP"/>
              </w:rPr>
              <w:t>–</w:t>
            </w:r>
            <w:r w:rsidRPr="001125CE">
              <w:rPr>
                <w:lang w:eastAsia="ja-JP"/>
              </w:rPr>
              <w:tab/>
              <w:t xml:space="preserve">El 20 de enero de 2014 (véase la </w:t>
            </w:r>
            <w:r w:rsidR="00F77615" w:rsidRPr="001125CE">
              <w:rPr>
                <w:lang w:eastAsia="ja-JP"/>
              </w:rPr>
              <w:t xml:space="preserve">Sección </w:t>
            </w:r>
            <w:r w:rsidRPr="001125CE">
              <w:rPr>
                <w:lang w:eastAsia="ja-JP"/>
              </w:rPr>
              <w:t xml:space="preserve">8 del presente </w:t>
            </w:r>
            <w:r w:rsidR="00F77615" w:rsidRPr="001125CE">
              <w:rPr>
                <w:lang w:eastAsia="ja-JP"/>
              </w:rPr>
              <w:t>Informe</w:t>
            </w:r>
            <w:r w:rsidRPr="001125CE">
              <w:rPr>
                <w:lang w:eastAsia="ja-JP"/>
              </w:rPr>
              <w:t xml:space="preserve">) se celebró </w:t>
            </w:r>
            <w:hyperlink r:id="rId17" w:history="1">
              <w:r w:rsidRPr="001E510E">
                <w:rPr>
                  <w:lang w:eastAsia="ja-JP"/>
                </w:rPr>
                <w:t xml:space="preserve">un </w:t>
              </w:r>
              <w:r w:rsidR="00E75636" w:rsidRPr="002678E9">
                <w:rPr>
                  <w:rStyle w:val="Hyperlink"/>
                  <w:lang w:eastAsia="ja-JP"/>
                </w:rPr>
                <w:t xml:space="preserve">Taller </w:t>
              </w:r>
              <w:r w:rsidRPr="002678E9">
                <w:rPr>
                  <w:rStyle w:val="Hyperlink"/>
                  <w:lang w:eastAsia="ja-JP"/>
                </w:rPr>
                <w:t>de la UIT sobre cuestiones relativas a la gestión del espectro para la utilización de huecos por Sistemas de Radiocomunicaciones Cognitivos</w:t>
              </w:r>
            </w:hyperlink>
          </w:p>
          <w:p w:rsidR="0074369E" w:rsidRPr="001125CE" w:rsidRDefault="0074369E" w:rsidP="00F15BA6">
            <w:pPr>
              <w:pStyle w:val="Tabletext"/>
              <w:spacing w:before="0"/>
              <w:ind w:left="284" w:hanging="284"/>
              <w:rPr>
                <w:sz w:val="21"/>
                <w:szCs w:val="21"/>
                <w:highlight w:val="yellow"/>
                <w:lang w:eastAsia="ja-JP"/>
              </w:rPr>
            </w:pPr>
            <w:r w:rsidRPr="001125CE">
              <w:rPr>
                <w:lang w:eastAsia="ja-JP"/>
              </w:rPr>
              <w:t>–</w:t>
            </w:r>
            <w:r w:rsidRPr="001125CE">
              <w:rPr>
                <w:lang w:eastAsia="ja-JP"/>
              </w:rPr>
              <w:tab/>
            </w:r>
            <w:hyperlink r:id="rId18" w:history="1">
              <w:r w:rsidRPr="001125CE">
                <w:rPr>
                  <w:rStyle w:val="Hyperlink"/>
                </w:rPr>
                <w:t>Recomendación UIT-R SM.2039-0</w:t>
              </w:r>
            </w:hyperlink>
            <w:r w:rsidRPr="001125CE">
              <w:rPr>
                <w:lang w:eastAsia="ja-JP"/>
              </w:rPr>
              <w:t xml:space="preserve"> sobre </w:t>
            </w:r>
            <w:r w:rsidR="00F031A8" w:rsidRPr="001125CE">
              <w:rPr>
                <w:lang w:eastAsia="ja-JP"/>
              </w:rPr>
              <w:t xml:space="preserve">Evolución </w:t>
            </w:r>
            <w:r w:rsidRPr="001125CE">
              <w:rPr>
                <w:lang w:eastAsia="ja-JP"/>
              </w:rPr>
              <w:t>de la comprobación técnica del espectro</w:t>
            </w:r>
          </w:p>
        </w:tc>
      </w:tr>
    </w:tbl>
    <w:p w:rsidR="0074369E" w:rsidRPr="001125CE" w:rsidRDefault="0074369E" w:rsidP="005533AC">
      <w:r w:rsidRPr="001125CE">
        <w:t xml:space="preserve">En el </w:t>
      </w:r>
      <w:r w:rsidR="00FC285F" w:rsidRPr="001125CE">
        <w:t xml:space="preserve">Documento </w:t>
      </w:r>
      <w:r w:rsidRPr="001125CE">
        <w:t>1/1004 y sus Anexos 1 a 5 se presenta una propuesta de acción sobre las Resoluciones del UIT-R de interés especial para la CE 1, así como un proyecto de revisión de cinco de esas Resoluciones.</w:t>
      </w:r>
    </w:p>
    <w:p w:rsidR="0074369E" w:rsidRPr="001125CE" w:rsidRDefault="0074369E" w:rsidP="0074369E">
      <w:pPr>
        <w:pStyle w:val="Heading2"/>
        <w:rPr>
          <w:lang w:eastAsia="ja-JP"/>
        </w:rPr>
      </w:pPr>
      <w:r w:rsidRPr="001125CE">
        <w:t>5.2</w:t>
      </w:r>
      <w:r w:rsidRPr="001125CE">
        <w:tab/>
        <w:t>Grupo de Trabajo 1A</w:t>
      </w:r>
    </w:p>
    <w:p w:rsidR="0074369E" w:rsidRPr="001125CE" w:rsidRDefault="0074369E" w:rsidP="0074369E">
      <w:r w:rsidRPr="001125CE">
        <w:t>(Cuestiones 210-3/1, 221-2/1, 222/1, 236/1, 237/1)</w:t>
      </w:r>
    </w:p>
    <w:p w:rsidR="0074369E" w:rsidRPr="001125CE" w:rsidRDefault="0074369E" w:rsidP="0074369E">
      <w:r w:rsidRPr="001125CE">
        <w:t>Durante este periodo de estudios, el GT 1A presentó un proyecto de nueva Cuestión y el proyecto de Revisión de una Cuestión a la Comisión de Estudio 1 para su adopción.</w:t>
      </w:r>
    </w:p>
    <w:p w:rsidR="0074369E" w:rsidRPr="001125CE" w:rsidRDefault="0074369E" w:rsidP="0074369E">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5531"/>
        <w:gridCol w:w="2177"/>
      </w:tblGrid>
      <w:tr w:rsidR="0074369E" w:rsidRPr="001125CE" w:rsidTr="008B6604">
        <w:trPr>
          <w:cantSplit/>
          <w:tblHeader/>
        </w:trPr>
        <w:tc>
          <w:tcPr>
            <w:tcW w:w="1921" w:type="dxa"/>
            <w:vAlign w:val="center"/>
          </w:tcPr>
          <w:p w:rsidR="0074369E" w:rsidRPr="001125CE" w:rsidRDefault="0074369E" w:rsidP="00F15BA6">
            <w:pPr>
              <w:pStyle w:val="Tablehead"/>
            </w:pPr>
            <w:r w:rsidRPr="001125CE">
              <w:lastRenderedPageBreak/>
              <w:t>Cuestión y acción</w:t>
            </w:r>
          </w:p>
        </w:tc>
        <w:tc>
          <w:tcPr>
            <w:tcW w:w="5531" w:type="dxa"/>
            <w:vAlign w:val="center"/>
          </w:tcPr>
          <w:p w:rsidR="0074369E" w:rsidRPr="001125CE" w:rsidRDefault="0074369E" w:rsidP="00F15BA6">
            <w:pPr>
              <w:pStyle w:val="Tablehead"/>
            </w:pPr>
            <w:r w:rsidRPr="001125CE">
              <w:t>Título</w:t>
            </w:r>
          </w:p>
        </w:tc>
        <w:tc>
          <w:tcPr>
            <w:tcW w:w="2177" w:type="dxa"/>
            <w:vAlign w:val="center"/>
          </w:tcPr>
          <w:p w:rsidR="0074369E" w:rsidRPr="001125CE" w:rsidRDefault="0074369E" w:rsidP="00F15BA6">
            <w:pPr>
              <w:pStyle w:val="Tablehead"/>
            </w:pPr>
            <w:r w:rsidRPr="001125CE">
              <w:t>Circular Administrativa</w:t>
            </w:r>
          </w:p>
        </w:tc>
      </w:tr>
      <w:tr w:rsidR="00F33DD5" w:rsidRPr="001125CE" w:rsidTr="005C0CE0">
        <w:trPr>
          <w:cantSplit/>
        </w:trPr>
        <w:tc>
          <w:tcPr>
            <w:tcW w:w="1921" w:type="dxa"/>
          </w:tcPr>
          <w:p w:rsidR="00F33DD5" w:rsidRPr="001125CE" w:rsidRDefault="00F33DD5" w:rsidP="00F33DD5">
            <w:pPr>
              <w:pStyle w:val="Tabletext"/>
              <w:jc w:val="center"/>
            </w:pPr>
            <w:r w:rsidRPr="001125CE">
              <w:t xml:space="preserve">210-3/1 </w:t>
            </w:r>
            <w:r w:rsidRPr="001125CE">
              <w:br/>
              <w:t>Revisada</w:t>
            </w:r>
          </w:p>
        </w:tc>
        <w:tc>
          <w:tcPr>
            <w:tcW w:w="5531" w:type="dxa"/>
            <w:vAlign w:val="center"/>
          </w:tcPr>
          <w:p w:rsidR="00F33DD5" w:rsidRPr="001125CE" w:rsidRDefault="00F33DD5" w:rsidP="00F33DD5">
            <w:pPr>
              <w:pStyle w:val="Tabletext"/>
              <w:rPr>
                <w:iCs/>
                <w:lang w:eastAsia="zh-CN"/>
              </w:rPr>
            </w:pPr>
            <w:r w:rsidRPr="001125CE">
              <w:rPr>
                <w:iCs/>
                <w:lang w:eastAsia="zh-CN"/>
              </w:rPr>
              <w:t>Transmisión inalámbrica de potencia</w:t>
            </w:r>
          </w:p>
        </w:tc>
        <w:tc>
          <w:tcPr>
            <w:tcW w:w="2177" w:type="dxa"/>
            <w:vAlign w:val="center"/>
          </w:tcPr>
          <w:p w:rsidR="00F33DD5" w:rsidRPr="00C2192B" w:rsidRDefault="00F33DD5" w:rsidP="00F33DD5">
            <w:pPr>
              <w:pStyle w:val="Tabletext"/>
              <w:jc w:val="center"/>
              <w:rPr>
                <w:lang w:val="en-US"/>
              </w:rPr>
            </w:pPr>
            <w:r w:rsidRPr="00C2192B">
              <w:rPr>
                <w:lang w:val="en-US"/>
              </w:rPr>
              <w:t>CACE/593</w:t>
            </w:r>
          </w:p>
        </w:tc>
      </w:tr>
      <w:tr w:rsidR="00F33DD5" w:rsidRPr="001125CE" w:rsidTr="005C0CE0">
        <w:trPr>
          <w:cantSplit/>
        </w:trPr>
        <w:tc>
          <w:tcPr>
            <w:tcW w:w="1921" w:type="dxa"/>
          </w:tcPr>
          <w:p w:rsidR="00F33DD5" w:rsidRPr="001125CE" w:rsidRDefault="00F33DD5" w:rsidP="00F33DD5">
            <w:pPr>
              <w:pStyle w:val="Tabletext"/>
              <w:jc w:val="center"/>
            </w:pPr>
            <w:r w:rsidRPr="001125CE">
              <w:t xml:space="preserve">237/1 </w:t>
            </w:r>
            <w:r w:rsidRPr="001125CE">
              <w:br/>
              <w:t>Nueva</w:t>
            </w:r>
          </w:p>
        </w:tc>
        <w:tc>
          <w:tcPr>
            <w:tcW w:w="5531" w:type="dxa"/>
            <w:vAlign w:val="center"/>
          </w:tcPr>
          <w:p w:rsidR="00F33DD5" w:rsidRPr="001125CE" w:rsidRDefault="00F33DD5" w:rsidP="00F33DD5">
            <w:pPr>
              <w:pStyle w:val="Tabletext"/>
              <w:rPr>
                <w:iCs/>
                <w:lang w:eastAsia="zh-CN"/>
              </w:rPr>
            </w:pPr>
            <w:r w:rsidRPr="001125CE">
              <w:rPr>
                <w:iCs/>
                <w:lang w:eastAsia="zh-CN"/>
              </w:rPr>
              <w:t>Características técnicas y de funcionamiento de los servicios activos que funcionan en la gama 275-1 000 GHz</w:t>
            </w:r>
          </w:p>
        </w:tc>
        <w:tc>
          <w:tcPr>
            <w:tcW w:w="2177" w:type="dxa"/>
            <w:vAlign w:val="center"/>
          </w:tcPr>
          <w:p w:rsidR="00F33DD5" w:rsidRPr="00C2192B" w:rsidRDefault="00F33DD5" w:rsidP="00F33DD5">
            <w:pPr>
              <w:pStyle w:val="Tabletext"/>
              <w:jc w:val="center"/>
              <w:rPr>
                <w:lang w:val="en-US"/>
              </w:rPr>
            </w:pPr>
            <w:r w:rsidRPr="00C2192B">
              <w:rPr>
                <w:lang w:val="en-US"/>
              </w:rPr>
              <w:t>CACE/641</w:t>
            </w:r>
          </w:p>
        </w:tc>
      </w:tr>
    </w:tbl>
    <w:p w:rsidR="004D489C" w:rsidRPr="001125CE" w:rsidRDefault="004D489C" w:rsidP="004D489C">
      <w:pPr>
        <w:spacing w:before="0"/>
        <w:rPr>
          <w:sz w:val="14"/>
          <w:szCs w:val="10"/>
        </w:rPr>
      </w:pPr>
    </w:p>
    <w:p w:rsidR="0074369E" w:rsidRPr="001125CE" w:rsidRDefault="0074369E" w:rsidP="00363644">
      <w:r w:rsidRPr="001125CE">
        <w:t xml:space="preserve">Asimismo, presentó a la Comisión de Estudio 1 un proyecto de nueva Recomendación, dos proyectos de </w:t>
      </w:r>
      <w:r w:rsidR="008B3156" w:rsidRPr="001125CE">
        <w:t xml:space="preserve">revisión </w:t>
      </w:r>
      <w:r w:rsidRPr="001125CE">
        <w:t xml:space="preserve">de una Recomendación y el proyecto de revisión de otras dos Recomendaciones, así como cuatro proyectos de nuevo Informe, el proyecto de revisión ulterior de uno de ellos y dos proyectos de </w:t>
      </w:r>
      <w:r w:rsidR="00363644" w:rsidRPr="001125CE">
        <w:t xml:space="preserve">revisión </w:t>
      </w:r>
      <w:r w:rsidRPr="001125CE">
        <w:t>de otros dos Informes.</w:t>
      </w:r>
    </w:p>
    <w:p w:rsidR="0074369E" w:rsidRPr="001125CE" w:rsidRDefault="0074369E" w:rsidP="0074369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7"/>
        <w:gridCol w:w="5871"/>
        <w:gridCol w:w="1751"/>
      </w:tblGrid>
      <w:tr w:rsidR="0074369E" w:rsidRPr="001125CE" w:rsidTr="008B6604">
        <w:trPr>
          <w:cantSplit/>
          <w:tblHeader/>
        </w:trPr>
        <w:tc>
          <w:tcPr>
            <w:tcW w:w="2007" w:type="dxa"/>
            <w:vAlign w:val="center"/>
          </w:tcPr>
          <w:p w:rsidR="0074369E" w:rsidRPr="001125CE" w:rsidRDefault="0074369E" w:rsidP="00F15BA6">
            <w:pPr>
              <w:pStyle w:val="Tablehead"/>
            </w:pPr>
            <w:r w:rsidRPr="001125CE">
              <w:t>Recomendación y acción</w:t>
            </w:r>
          </w:p>
        </w:tc>
        <w:tc>
          <w:tcPr>
            <w:tcW w:w="5871" w:type="dxa"/>
            <w:vAlign w:val="center"/>
          </w:tcPr>
          <w:p w:rsidR="0074369E" w:rsidRPr="001125CE" w:rsidRDefault="0074369E" w:rsidP="00F15BA6">
            <w:pPr>
              <w:pStyle w:val="Tablehead"/>
            </w:pPr>
            <w:r w:rsidRPr="001125CE">
              <w:t>Título</w:t>
            </w:r>
          </w:p>
        </w:tc>
        <w:tc>
          <w:tcPr>
            <w:tcW w:w="1751" w:type="dxa"/>
            <w:vAlign w:val="center"/>
          </w:tcPr>
          <w:p w:rsidR="0074369E" w:rsidRPr="001125CE" w:rsidRDefault="0074369E" w:rsidP="00F15BA6">
            <w:pPr>
              <w:pStyle w:val="Tablehead"/>
            </w:pPr>
            <w:r w:rsidRPr="001125CE">
              <w:t>Circular Administrativa</w:t>
            </w:r>
          </w:p>
        </w:tc>
      </w:tr>
      <w:tr w:rsidR="0074369E" w:rsidRPr="001125CE" w:rsidTr="0051144A">
        <w:tc>
          <w:tcPr>
            <w:tcW w:w="2007" w:type="dxa"/>
            <w:vAlign w:val="center"/>
          </w:tcPr>
          <w:p w:rsidR="0074369E" w:rsidRPr="001125CE" w:rsidRDefault="0074369E" w:rsidP="00F15BA6">
            <w:pPr>
              <w:pStyle w:val="Tabletext"/>
              <w:jc w:val="center"/>
            </w:pPr>
            <w:r w:rsidRPr="001125CE">
              <w:t>SM.329-12</w:t>
            </w:r>
            <w:r w:rsidRPr="001125CE">
              <w:br/>
              <w:t>Revisada</w:t>
            </w:r>
          </w:p>
        </w:tc>
        <w:tc>
          <w:tcPr>
            <w:tcW w:w="5871" w:type="dxa"/>
            <w:vAlign w:val="center"/>
          </w:tcPr>
          <w:p w:rsidR="0074369E" w:rsidRPr="001125CE" w:rsidRDefault="0074369E" w:rsidP="00F15BA6">
            <w:pPr>
              <w:pStyle w:val="Tabletext"/>
              <w:rPr>
                <w:iCs/>
              </w:rPr>
            </w:pPr>
            <w:r w:rsidRPr="001125CE">
              <w:rPr>
                <w:iCs/>
              </w:rPr>
              <w:t>Emisiones no deseadas en el dominio no esencial</w:t>
            </w:r>
          </w:p>
        </w:tc>
        <w:tc>
          <w:tcPr>
            <w:tcW w:w="1751" w:type="dxa"/>
            <w:vAlign w:val="center"/>
          </w:tcPr>
          <w:p w:rsidR="0074369E" w:rsidRPr="001125CE" w:rsidRDefault="0074369E" w:rsidP="00F15BA6">
            <w:pPr>
              <w:pStyle w:val="Tabletext"/>
              <w:jc w:val="center"/>
            </w:pPr>
            <w:r w:rsidRPr="001125CE">
              <w:t>CACE/585</w:t>
            </w:r>
          </w:p>
        </w:tc>
      </w:tr>
      <w:tr w:rsidR="0074369E" w:rsidRPr="001125CE" w:rsidTr="0051144A">
        <w:tc>
          <w:tcPr>
            <w:tcW w:w="2007" w:type="dxa"/>
            <w:vAlign w:val="center"/>
          </w:tcPr>
          <w:p w:rsidR="0074369E" w:rsidRPr="001125CE" w:rsidRDefault="0074369E" w:rsidP="00F15BA6">
            <w:pPr>
              <w:pStyle w:val="Tabletext"/>
              <w:jc w:val="center"/>
            </w:pPr>
            <w:r w:rsidRPr="001125CE">
              <w:t>SM.1541-6</w:t>
            </w:r>
            <w:r w:rsidRPr="001125CE">
              <w:br/>
              <w:t>Revisada en dos ocasiones</w:t>
            </w:r>
          </w:p>
        </w:tc>
        <w:tc>
          <w:tcPr>
            <w:tcW w:w="5871" w:type="dxa"/>
            <w:vAlign w:val="center"/>
          </w:tcPr>
          <w:p w:rsidR="0074369E" w:rsidRPr="001125CE" w:rsidRDefault="0074369E" w:rsidP="00F15BA6">
            <w:pPr>
              <w:pStyle w:val="Tabletext"/>
              <w:rPr>
                <w:iCs/>
              </w:rPr>
            </w:pPr>
            <w:r w:rsidRPr="001125CE">
              <w:rPr>
                <w:iCs/>
              </w:rPr>
              <w:t>Emisiones no deseadas en el dominio fuera de banda</w:t>
            </w:r>
          </w:p>
        </w:tc>
        <w:tc>
          <w:tcPr>
            <w:tcW w:w="1751" w:type="dxa"/>
            <w:vAlign w:val="center"/>
          </w:tcPr>
          <w:p w:rsidR="0074369E" w:rsidRPr="001125CE" w:rsidRDefault="0074369E" w:rsidP="00F15BA6">
            <w:pPr>
              <w:pStyle w:val="Tabletext"/>
              <w:jc w:val="center"/>
            </w:pPr>
            <w:r w:rsidRPr="001125CE">
              <w:t>CACE/627</w:t>
            </w:r>
            <w:r w:rsidRPr="001125CE">
              <w:br/>
              <w:t>CACE/750</w:t>
            </w:r>
          </w:p>
        </w:tc>
      </w:tr>
      <w:tr w:rsidR="0074369E" w:rsidRPr="001125CE" w:rsidTr="0051144A">
        <w:tc>
          <w:tcPr>
            <w:tcW w:w="2007" w:type="dxa"/>
            <w:vAlign w:val="center"/>
          </w:tcPr>
          <w:p w:rsidR="0074369E" w:rsidRPr="001125CE" w:rsidRDefault="0074369E" w:rsidP="00F15BA6">
            <w:pPr>
              <w:pStyle w:val="Tabletext"/>
              <w:jc w:val="center"/>
            </w:pPr>
            <w:r w:rsidRPr="001125CE">
              <w:t>SM.1879-2</w:t>
            </w:r>
            <w:r w:rsidRPr="001125CE">
              <w:br/>
              <w:t>Revisada</w:t>
            </w:r>
          </w:p>
        </w:tc>
        <w:tc>
          <w:tcPr>
            <w:tcW w:w="5871" w:type="dxa"/>
            <w:vAlign w:val="center"/>
          </w:tcPr>
          <w:p w:rsidR="0074369E" w:rsidRPr="001125CE" w:rsidRDefault="0074369E" w:rsidP="00F15BA6">
            <w:pPr>
              <w:pStyle w:val="Tabletext"/>
              <w:rPr>
                <w:iCs/>
              </w:rPr>
            </w:pPr>
            <w:r w:rsidRPr="001125CE">
              <w:rPr>
                <w:iCs/>
              </w:rPr>
              <w:t>Repercusión de los sistemas de telecomunicaciones de alta velocidad de datos por líneas de transporte y distribución de energía eléctrica por debajo de 470 MHz</w:t>
            </w:r>
          </w:p>
        </w:tc>
        <w:tc>
          <w:tcPr>
            <w:tcW w:w="1751" w:type="dxa"/>
            <w:vAlign w:val="center"/>
          </w:tcPr>
          <w:p w:rsidR="0074369E" w:rsidRPr="001125CE" w:rsidRDefault="0074369E" w:rsidP="00F15BA6">
            <w:pPr>
              <w:pStyle w:val="Tabletext"/>
              <w:jc w:val="center"/>
            </w:pPr>
            <w:r w:rsidRPr="001125CE">
              <w:t>CACE/627</w:t>
            </w:r>
          </w:p>
        </w:tc>
      </w:tr>
      <w:tr w:rsidR="0074369E" w:rsidRPr="001125CE" w:rsidTr="0051144A">
        <w:tc>
          <w:tcPr>
            <w:tcW w:w="2007" w:type="dxa"/>
            <w:vAlign w:val="center"/>
          </w:tcPr>
          <w:p w:rsidR="0074369E" w:rsidRPr="001125CE" w:rsidRDefault="0074369E" w:rsidP="00F15BA6">
            <w:pPr>
              <w:pStyle w:val="Tabletext"/>
              <w:jc w:val="center"/>
            </w:pPr>
            <w:r w:rsidRPr="001125CE">
              <w:t>SM.2028-0</w:t>
            </w:r>
            <w:r w:rsidRPr="001125CE">
              <w:br/>
              <w:t>Nueva</w:t>
            </w:r>
          </w:p>
        </w:tc>
        <w:tc>
          <w:tcPr>
            <w:tcW w:w="5871" w:type="dxa"/>
            <w:vAlign w:val="center"/>
          </w:tcPr>
          <w:p w:rsidR="0074369E" w:rsidRPr="001125CE" w:rsidRDefault="0074369E" w:rsidP="00F15BA6">
            <w:pPr>
              <w:pStyle w:val="Tabletext"/>
              <w:rPr>
                <w:iCs/>
              </w:rPr>
            </w:pPr>
            <w:r w:rsidRPr="001125CE">
              <w:rPr>
                <w:iCs/>
              </w:rPr>
              <w:t>Cálculo de distancia de protección entre sistemas inductivos y servicios de radiocomunicaciones que utilizan frecuencias por debajo de 30 MHz</w:t>
            </w:r>
          </w:p>
        </w:tc>
        <w:tc>
          <w:tcPr>
            <w:tcW w:w="1751" w:type="dxa"/>
            <w:vAlign w:val="center"/>
          </w:tcPr>
          <w:p w:rsidR="0074369E" w:rsidRPr="001125CE" w:rsidRDefault="0074369E" w:rsidP="00F15BA6">
            <w:pPr>
              <w:pStyle w:val="Tabletext"/>
              <w:jc w:val="center"/>
            </w:pPr>
            <w:r w:rsidRPr="001125CE">
              <w:t>CACE/585</w:t>
            </w:r>
          </w:p>
        </w:tc>
      </w:tr>
    </w:tbl>
    <w:p w:rsidR="0074369E" w:rsidRPr="001125CE" w:rsidRDefault="0074369E" w:rsidP="0074369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5"/>
        <w:gridCol w:w="7634"/>
      </w:tblGrid>
      <w:tr w:rsidR="0074369E" w:rsidRPr="001125CE" w:rsidTr="008B6604">
        <w:trPr>
          <w:cantSplit/>
          <w:tblHeader/>
        </w:trPr>
        <w:tc>
          <w:tcPr>
            <w:tcW w:w="1995" w:type="dxa"/>
            <w:vAlign w:val="center"/>
          </w:tcPr>
          <w:p w:rsidR="0074369E" w:rsidRPr="001125CE" w:rsidRDefault="0074369E" w:rsidP="00F15BA6">
            <w:pPr>
              <w:pStyle w:val="Tablehead"/>
            </w:pPr>
            <w:r w:rsidRPr="001125CE">
              <w:t>Informe y acción</w:t>
            </w:r>
          </w:p>
        </w:tc>
        <w:tc>
          <w:tcPr>
            <w:tcW w:w="7634" w:type="dxa"/>
            <w:vAlign w:val="center"/>
          </w:tcPr>
          <w:p w:rsidR="0074369E" w:rsidRPr="001125CE" w:rsidRDefault="0074369E" w:rsidP="00F15BA6">
            <w:pPr>
              <w:pStyle w:val="Tablehead"/>
            </w:pPr>
            <w:r w:rsidRPr="001125CE">
              <w:t>Título</w:t>
            </w:r>
          </w:p>
        </w:tc>
      </w:tr>
      <w:tr w:rsidR="0074369E" w:rsidRPr="001125CE" w:rsidTr="008B6604">
        <w:tc>
          <w:tcPr>
            <w:tcW w:w="1995" w:type="dxa"/>
            <w:vAlign w:val="center"/>
          </w:tcPr>
          <w:p w:rsidR="0074369E" w:rsidRPr="001125CE" w:rsidRDefault="0074369E" w:rsidP="00F15BA6">
            <w:pPr>
              <w:pStyle w:val="Tabletext"/>
              <w:jc w:val="center"/>
            </w:pPr>
            <w:r w:rsidRPr="001125CE">
              <w:t>SM.2158-3</w:t>
            </w:r>
            <w:r w:rsidRPr="001125CE">
              <w:br/>
              <w:t xml:space="preserve">Revisado </w:t>
            </w:r>
          </w:p>
        </w:tc>
        <w:tc>
          <w:tcPr>
            <w:tcW w:w="7634" w:type="dxa"/>
            <w:vAlign w:val="center"/>
          </w:tcPr>
          <w:p w:rsidR="0074369E" w:rsidRPr="001125CE" w:rsidRDefault="0074369E" w:rsidP="00F15BA6">
            <w:pPr>
              <w:pStyle w:val="Tabletext"/>
              <w:rPr>
                <w:iCs/>
              </w:rPr>
            </w:pPr>
            <w:r w:rsidRPr="001125CE">
              <w:rPr>
                <w:iCs/>
              </w:rPr>
              <w:t>Repercusión de los sistemas de telecomunicaciones por líneas eléctricas en los sistemas de radiocomunicaciones que funcionan por debajo de 80 MHz</w:t>
            </w:r>
          </w:p>
        </w:tc>
      </w:tr>
      <w:tr w:rsidR="0074369E" w:rsidRPr="001125CE" w:rsidTr="008B6604">
        <w:tc>
          <w:tcPr>
            <w:tcW w:w="1995" w:type="dxa"/>
            <w:vAlign w:val="center"/>
          </w:tcPr>
          <w:p w:rsidR="0074369E" w:rsidRPr="001125CE" w:rsidRDefault="0074369E" w:rsidP="00F15BA6">
            <w:pPr>
              <w:pStyle w:val="Tabletext"/>
              <w:jc w:val="center"/>
            </w:pPr>
            <w:r w:rsidRPr="001125CE">
              <w:t>SM.2212-1</w:t>
            </w:r>
            <w:r w:rsidRPr="001125CE">
              <w:br/>
              <w:t>Revisado</w:t>
            </w:r>
          </w:p>
        </w:tc>
        <w:tc>
          <w:tcPr>
            <w:tcW w:w="7634" w:type="dxa"/>
            <w:vAlign w:val="center"/>
          </w:tcPr>
          <w:p w:rsidR="0074369E" w:rsidRPr="001125CE" w:rsidRDefault="0074369E" w:rsidP="00F15BA6">
            <w:pPr>
              <w:pStyle w:val="Tabletext"/>
              <w:rPr>
                <w:iCs/>
              </w:rPr>
            </w:pPr>
            <w:r w:rsidRPr="001125CE">
              <w:rPr>
                <w:iCs/>
              </w:rPr>
              <w:t>Incidencia de los sistemas de telecomunicaciones por líneas eléctricas en los sistemas de radiocomunicaciones que funcionan por encima de 80 MHz</w:t>
            </w:r>
          </w:p>
        </w:tc>
      </w:tr>
      <w:tr w:rsidR="0074369E" w:rsidRPr="001125CE" w:rsidTr="008B6604">
        <w:tc>
          <w:tcPr>
            <w:tcW w:w="1995" w:type="dxa"/>
            <w:vAlign w:val="center"/>
          </w:tcPr>
          <w:p w:rsidR="0074369E" w:rsidRPr="001125CE" w:rsidRDefault="0074369E" w:rsidP="00F15BA6">
            <w:pPr>
              <w:pStyle w:val="Tabletext"/>
              <w:jc w:val="center"/>
            </w:pPr>
            <w:r w:rsidRPr="001125CE">
              <w:t>SM.2269-0</w:t>
            </w:r>
            <w:r w:rsidRPr="001125CE">
              <w:br/>
              <w:t>Nuevo</w:t>
            </w:r>
          </w:p>
        </w:tc>
        <w:tc>
          <w:tcPr>
            <w:tcW w:w="7634" w:type="dxa"/>
            <w:vAlign w:val="center"/>
          </w:tcPr>
          <w:p w:rsidR="0074369E" w:rsidRPr="001125CE" w:rsidRDefault="0074369E" w:rsidP="00F15BA6">
            <w:pPr>
              <w:pStyle w:val="Tabletext"/>
              <w:rPr>
                <w:iCs/>
              </w:rPr>
            </w:pPr>
            <w:r w:rsidRPr="001125CE">
              <w:rPr>
                <w:iCs/>
              </w:rPr>
              <w:t>Metodología para relacionar la radiación procedente de instalaciones de telecomunicaciones por líneas eléctricas con la salida de un módem de telecomunicaciones por líneas eléctricas</w:t>
            </w:r>
          </w:p>
        </w:tc>
      </w:tr>
      <w:tr w:rsidR="0074369E" w:rsidRPr="001125CE" w:rsidTr="008B6604">
        <w:tc>
          <w:tcPr>
            <w:tcW w:w="1995" w:type="dxa"/>
            <w:vAlign w:val="center"/>
          </w:tcPr>
          <w:p w:rsidR="0074369E" w:rsidRPr="001125CE" w:rsidRDefault="0074369E" w:rsidP="00F15BA6">
            <w:pPr>
              <w:pStyle w:val="Tabletext"/>
              <w:jc w:val="center"/>
            </w:pPr>
            <w:r w:rsidRPr="001125CE">
              <w:t>SM.2303-1</w:t>
            </w:r>
            <w:r w:rsidRPr="001125CE">
              <w:br/>
              <w:t>Nuevo y revisado</w:t>
            </w:r>
          </w:p>
        </w:tc>
        <w:tc>
          <w:tcPr>
            <w:tcW w:w="7634" w:type="dxa"/>
            <w:vAlign w:val="center"/>
          </w:tcPr>
          <w:p w:rsidR="0074369E" w:rsidRPr="001125CE" w:rsidRDefault="0074369E" w:rsidP="00F15BA6">
            <w:pPr>
              <w:pStyle w:val="Tabletext"/>
              <w:rPr>
                <w:iCs/>
              </w:rPr>
            </w:pPr>
            <w:r w:rsidRPr="001125CE">
              <w:rPr>
                <w:iCs/>
              </w:rPr>
              <w:t>Transmisión inalámbrica de potencia mediante tecnologías distintas de las de haces radioeléctricos</w:t>
            </w:r>
          </w:p>
        </w:tc>
      </w:tr>
      <w:tr w:rsidR="0074369E" w:rsidRPr="001125CE" w:rsidTr="008B6604">
        <w:tc>
          <w:tcPr>
            <w:tcW w:w="1995" w:type="dxa"/>
            <w:vAlign w:val="center"/>
          </w:tcPr>
          <w:p w:rsidR="0074369E" w:rsidRPr="001125CE" w:rsidRDefault="0074369E" w:rsidP="00F15BA6">
            <w:pPr>
              <w:pStyle w:val="Tabletext"/>
              <w:jc w:val="center"/>
            </w:pPr>
            <w:r w:rsidRPr="001125CE">
              <w:t>SM.2351-0</w:t>
            </w:r>
            <w:r w:rsidRPr="001125CE">
              <w:br/>
              <w:t>Nuevo</w:t>
            </w:r>
          </w:p>
        </w:tc>
        <w:tc>
          <w:tcPr>
            <w:tcW w:w="7634" w:type="dxa"/>
            <w:vAlign w:val="center"/>
          </w:tcPr>
          <w:p w:rsidR="0074369E" w:rsidRPr="001125CE" w:rsidRDefault="0074369E" w:rsidP="00F15BA6">
            <w:pPr>
              <w:pStyle w:val="Tabletext"/>
              <w:rPr>
                <w:iCs/>
              </w:rPr>
            </w:pPr>
            <w:r w:rsidRPr="001125CE">
              <w:rPr>
                <w:iCs/>
              </w:rPr>
              <w:t>Sistemas de gestión de servicios públicos de redes inteligentes</w:t>
            </w:r>
          </w:p>
        </w:tc>
      </w:tr>
      <w:tr w:rsidR="0074369E" w:rsidRPr="001125CE" w:rsidTr="008B6604">
        <w:tc>
          <w:tcPr>
            <w:tcW w:w="1995" w:type="dxa"/>
            <w:vAlign w:val="center"/>
          </w:tcPr>
          <w:p w:rsidR="0074369E" w:rsidRPr="001125CE" w:rsidRDefault="0074369E" w:rsidP="00F15BA6">
            <w:pPr>
              <w:pStyle w:val="Tabletext"/>
              <w:jc w:val="center"/>
            </w:pPr>
            <w:r w:rsidRPr="001125CE">
              <w:t>SM.2352-0</w:t>
            </w:r>
            <w:r w:rsidRPr="001125CE">
              <w:br/>
              <w:t>Nuevo</w:t>
            </w:r>
          </w:p>
        </w:tc>
        <w:tc>
          <w:tcPr>
            <w:tcW w:w="7634" w:type="dxa"/>
            <w:vAlign w:val="center"/>
          </w:tcPr>
          <w:p w:rsidR="0074369E" w:rsidRPr="001125CE" w:rsidRDefault="0074369E" w:rsidP="00F15BA6">
            <w:pPr>
              <w:pStyle w:val="Tabletext"/>
              <w:rPr>
                <w:iCs/>
              </w:rPr>
            </w:pPr>
            <w:r w:rsidRPr="001125CE">
              <w:rPr>
                <w:iCs/>
              </w:rPr>
              <w:t>Tendencias en la tecnología de servicios activos en la gama de frecuencias 275-3 000 GHz</w:t>
            </w:r>
          </w:p>
        </w:tc>
      </w:tr>
    </w:tbl>
    <w:p w:rsidR="0074369E" w:rsidRPr="001125CE" w:rsidRDefault="0074369E" w:rsidP="0074369E">
      <w:r w:rsidRPr="001125CE">
        <w:t xml:space="preserve">En la Sección 7.1 se describen las actividades del GT 1A relacionadas con la </w:t>
      </w:r>
      <w:r w:rsidR="000B414F" w:rsidRPr="001125CE">
        <w:t xml:space="preserve">Edición </w:t>
      </w:r>
      <w:r w:rsidRPr="001125CE">
        <w:t>de 2015 del Manual de la UIT sobre técnicas informatizada</w:t>
      </w:r>
      <w:r w:rsidR="0019293A" w:rsidRPr="001125CE">
        <w:t>s para la gestión del espectro.</w:t>
      </w:r>
    </w:p>
    <w:p w:rsidR="0074369E" w:rsidRPr="001125CE" w:rsidRDefault="0074369E" w:rsidP="0074369E">
      <w:pPr>
        <w:pStyle w:val="Heading2"/>
        <w:rPr>
          <w:lang w:eastAsia="ja-JP"/>
        </w:rPr>
      </w:pPr>
      <w:r w:rsidRPr="001125CE">
        <w:t>5.2</w:t>
      </w:r>
      <w:r w:rsidRPr="001125CE">
        <w:tab/>
        <w:t>Grupo de Trabajo 1B</w:t>
      </w:r>
    </w:p>
    <w:p w:rsidR="0074369E" w:rsidRPr="001125CE" w:rsidRDefault="0074369E" w:rsidP="0051144A">
      <w:r w:rsidRPr="001125CE">
        <w:t>(Cuestiones 205-2/1, 208-1/1, 216-1/1 y también 210-3</w:t>
      </w:r>
      <w:r w:rsidR="0051144A">
        <w:t>/</w:t>
      </w:r>
      <w:r w:rsidRPr="001125CE">
        <w:t>1 una vez que el GT 1A haya facilitado los parámetros técnicos y de funcionamiento necesarios)</w:t>
      </w:r>
    </w:p>
    <w:p w:rsidR="0074369E" w:rsidRPr="001125CE" w:rsidRDefault="0074369E" w:rsidP="0074369E">
      <w:r w:rsidRPr="001125CE">
        <w:t>Durante este periodo de estudios, el GT 1B presentó el proyecto de revisión de tres Cuestiones a la Comisión de Estudio 1 para su adopción y propuso la supresión de una Cuestión.</w:t>
      </w:r>
    </w:p>
    <w:p w:rsidR="0074369E" w:rsidRPr="001125CE" w:rsidRDefault="0074369E" w:rsidP="0074369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3"/>
        <w:gridCol w:w="5833"/>
        <w:gridCol w:w="1753"/>
      </w:tblGrid>
      <w:tr w:rsidR="0074369E" w:rsidRPr="001125CE" w:rsidTr="008B6604">
        <w:trPr>
          <w:cantSplit/>
          <w:tblHeader/>
        </w:trPr>
        <w:tc>
          <w:tcPr>
            <w:tcW w:w="2043" w:type="dxa"/>
            <w:vAlign w:val="center"/>
          </w:tcPr>
          <w:p w:rsidR="0074369E" w:rsidRPr="001125CE" w:rsidRDefault="0074369E" w:rsidP="00F15BA6">
            <w:pPr>
              <w:pStyle w:val="Tablehead"/>
            </w:pPr>
            <w:r w:rsidRPr="001125CE">
              <w:lastRenderedPageBreak/>
              <w:t>Cuestión y acción</w:t>
            </w:r>
          </w:p>
        </w:tc>
        <w:tc>
          <w:tcPr>
            <w:tcW w:w="5833" w:type="dxa"/>
            <w:vAlign w:val="center"/>
          </w:tcPr>
          <w:p w:rsidR="0074369E" w:rsidRPr="001125CE" w:rsidRDefault="0074369E" w:rsidP="00F15BA6">
            <w:pPr>
              <w:pStyle w:val="Tablehead"/>
            </w:pPr>
            <w:r w:rsidRPr="001125CE">
              <w:t>Título</w:t>
            </w:r>
          </w:p>
        </w:tc>
        <w:tc>
          <w:tcPr>
            <w:tcW w:w="1753" w:type="dxa"/>
            <w:vAlign w:val="center"/>
          </w:tcPr>
          <w:p w:rsidR="0074369E" w:rsidRPr="001125CE" w:rsidRDefault="0074369E" w:rsidP="00F15BA6">
            <w:pPr>
              <w:pStyle w:val="Tablehead"/>
            </w:pPr>
            <w:r w:rsidRPr="001125CE">
              <w:t>Circular Administrativa</w:t>
            </w:r>
          </w:p>
        </w:tc>
      </w:tr>
      <w:tr w:rsidR="0074369E" w:rsidRPr="001125CE" w:rsidTr="008B6604">
        <w:trPr>
          <w:cantSplit/>
        </w:trPr>
        <w:tc>
          <w:tcPr>
            <w:tcW w:w="2043" w:type="dxa"/>
            <w:vAlign w:val="center"/>
          </w:tcPr>
          <w:p w:rsidR="0074369E" w:rsidRPr="001125CE" w:rsidRDefault="0074369E" w:rsidP="00F15BA6">
            <w:pPr>
              <w:pStyle w:val="Tabletext"/>
              <w:jc w:val="center"/>
            </w:pPr>
            <w:r w:rsidRPr="001125CE">
              <w:t>205-2/1</w:t>
            </w:r>
            <w:r w:rsidRPr="001125CE">
              <w:br/>
              <w:t>Revisada</w:t>
            </w:r>
          </w:p>
        </w:tc>
        <w:tc>
          <w:tcPr>
            <w:tcW w:w="5833" w:type="dxa"/>
            <w:vAlign w:val="center"/>
          </w:tcPr>
          <w:p w:rsidR="0074369E" w:rsidRPr="001125CE" w:rsidRDefault="0074369E" w:rsidP="00F15BA6">
            <w:pPr>
              <w:pStyle w:val="Tabletext"/>
              <w:rPr>
                <w:iCs/>
                <w:lang w:eastAsia="zh-CN"/>
              </w:rPr>
            </w:pPr>
            <w:r w:rsidRPr="001125CE">
              <w:rPr>
                <w:iCs/>
                <w:lang w:eastAsia="zh-CN"/>
              </w:rPr>
              <w:t>Estrategias a largo plazo para la utilización del espectro</w:t>
            </w:r>
          </w:p>
        </w:tc>
        <w:tc>
          <w:tcPr>
            <w:tcW w:w="1753" w:type="dxa"/>
            <w:vAlign w:val="center"/>
          </w:tcPr>
          <w:p w:rsidR="0074369E" w:rsidRPr="001125CE" w:rsidRDefault="0074369E" w:rsidP="00F15BA6">
            <w:pPr>
              <w:pStyle w:val="Tabletext"/>
              <w:jc w:val="center"/>
            </w:pPr>
            <w:r w:rsidRPr="001125CE">
              <w:t>CACE/751</w:t>
            </w:r>
          </w:p>
        </w:tc>
      </w:tr>
      <w:tr w:rsidR="0074369E" w:rsidRPr="001125CE" w:rsidTr="008B6604">
        <w:trPr>
          <w:cantSplit/>
        </w:trPr>
        <w:tc>
          <w:tcPr>
            <w:tcW w:w="2043" w:type="dxa"/>
            <w:vAlign w:val="center"/>
          </w:tcPr>
          <w:p w:rsidR="0074369E" w:rsidRPr="001125CE" w:rsidRDefault="0074369E" w:rsidP="00F15BA6">
            <w:pPr>
              <w:pStyle w:val="Tabletext"/>
              <w:jc w:val="center"/>
            </w:pPr>
            <w:r w:rsidRPr="001125CE">
              <w:t>208-1/1</w:t>
            </w:r>
            <w:r w:rsidRPr="001125CE">
              <w:br/>
              <w:t>Revisada</w:t>
            </w:r>
          </w:p>
        </w:tc>
        <w:tc>
          <w:tcPr>
            <w:tcW w:w="5833" w:type="dxa"/>
            <w:vAlign w:val="center"/>
          </w:tcPr>
          <w:p w:rsidR="0074369E" w:rsidRPr="001125CE" w:rsidRDefault="0074369E" w:rsidP="00F15BA6">
            <w:pPr>
              <w:pStyle w:val="Tabletext"/>
              <w:rPr>
                <w:iCs/>
              </w:rPr>
            </w:pPr>
            <w:r w:rsidRPr="001125CE">
              <w:rPr>
                <w:iCs/>
              </w:rPr>
              <w:t>Métodos alternativos de gestión nacional del espectro</w:t>
            </w:r>
          </w:p>
        </w:tc>
        <w:tc>
          <w:tcPr>
            <w:tcW w:w="1753" w:type="dxa"/>
            <w:vAlign w:val="center"/>
          </w:tcPr>
          <w:p w:rsidR="0074369E" w:rsidRPr="001125CE" w:rsidRDefault="0074369E" w:rsidP="00F15BA6">
            <w:pPr>
              <w:pStyle w:val="Tabletext"/>
              <w:jc w:val="center"/>
            </w:pPr>
            <w:r w:rsidRPr="001125CE">
              <w:t>CACE/751</w:t>
            </w:r>
          </w:p>
        </w:tc>
      </w:tr>
      <w:tr w:rsidR="0074369E" w:rsidRPr="001125CE" w:rsidDel="00AF3175" w:rsidTr="008B6604">
        <w:trPr>
          <w:cantSplit/>
        </w:trPr>
        <w:tc>
          <w:tcPr>
            <w:tcW w:w="2043" w:type="dxa"/>
            <w:vAlign w:val="center"/>
          </w:tcPr>
          <w:p w:rsidR="0074369E" w:rsidRPr="001125CE" w:rsidRDefault="0074369E" w:rsidP="00A81D88">
            <w:pPr>
              <w:pStyle w:val="Tabletext"/>
              <w:jc w:val="center"/>
            </w:pPr>
            <w:r w:rsidRPr="001125CE">
              <w:t>216-1/1</w:t>
            </w:r>
            <w:r w:rsidR="00A81D88" w:rsidRPr="001125CE">
              <w:br/>
            </w:r>
            <w:r w:rsidRPr="001125CE">
              <w:t>Revisada</w:t>
            </w:r>
          </w:p>
        </w:tc>
        <w:tc>
          <w:tcPr>
            <w:tcW w:w="5833" w:type="dxa"/>
            <w:vAlign w:val="center"/>
          </w:tcPr>
          <w:p w:rsidR="0074369E" w:rsidRPr="001125CE" w:rsidRDefault="0074369E" w:rsidP="00F15BA6">
            <w:pPr>
              <w:pStyle w:val="Tabletext"/>
              <w:rPr>
                <w:iCs/>
                <w:lang w:eastAsia="zh-CN"/>
              </w:rPr>
            </w:pPr>
            <w:r w:rsidRPr="001125CE">
              <w:rPr>
                <w:iCs/>
                <w:lang w:eastAsia="zh-CN"/>
              </w:rPr>
              <w:t>Reorganización del espectro como método de gestión nacional del espectro</w:t>
            </w:r>
          </w:p>
        </w:tc>
        <w:tc>
          <w:tcPr>
            <w:tcW w:w="1753" w:type="dxa"/>
            <w:vAlign w:val="center"/>
          </w:tcPr>
          <w:p w:rsidR="0074369E" w:rsidRPr="001125CE" w:rsidRDefault="0074369E" w:rsidP="00F15BA6">
            <w:pPr>
              <w:pStyle w:val="Tabletext"/>
              <w:jc w:val="center"/>
            </w:pPr>
            <w:r w:rsidRPr="001125CE">
              <w:t>CACE/751</w:t>
            </w:r>
          </w:p>
        </w:tc>
      </w:tr>
      <w:tr w:rsidR="0074369E" w:rsidRPr="001125CE" w:rsidDel="00AF3175" w:rsidTr="008B6604">
        <w:trPr>
          <w:cantSplit/>
        </w:trPr>
        <w:tc>
          <w:tcPr>
            <w:tcW w:w="2043" w:type="dxa"/>
            <w:vAlign w:val="center"/>
          </w:tcPr>
          <w:p w:rsidR="0074369E" w:rsidRPr="001125CE" w:rsidRDefault="0074369E" w:rsidP="00A81D88">
            <w:pPr>
              <w:pStyle w:val="Tabletext"/>
              <w:jc w:val="center"/>
            </w:pPr>
            <w:r w:rsidRPr="001125CE">
              <w:t>224/1</w:t>
            </w:r>
            <w:r w:rsidR="00A81D88" w:rsidRPr="001125CE">
              <w:br/>
            </w:r>
            <w:r w:rsidRPr="001125CE">
              <w:t>Suprimida</w:t>
            </w:r>
          </w:p>
        </w:tc>
        <w:tc>
          <w:tcPr>
            <w:tcW w:w="5833" w:type="dxa"/>
            <w:vAlign w:val="center"/>
          </w:tcPr>
          <w:p w:rsidR="0074369E" w:rsidRPr="001125CE" w:rsidRDefault="0074369E" w:rsidP="00F15BA6">
            <w:pPr>
              <w:pStyle w:val="Tabletext"/>
              <w:rPr>
                <w:iCs/>
                <w:lang w:eastAsia="zh-CN"/>
              </w:rPr>
            </w:pPr>
            <w:r w:rsidRPr="001125CE">
              <w:rPr>
                <w:iCs/>
                <w:lang w:eastAsia="zh-CN"/>
              </w:rPr>
              <w:t>Convergencia técnica con respecto a las aplicaciones multimedios interactivas de los servicios terrenales fijo, móvil y de radiodifusión y el entorno de reglamentación asociado</w:t>
            </w:r>
          </w:p>
        </w:tc>
        <w:tc>
          <w:tcPr>
            <w:tcW w:w="1753" w:type="dxa"/>
            <w:vAlign w:val="center"/>
          </w:tcPr>
          <w:p w:rsidR="0074369E" w:rsidRPr="001125CE" w:rsidRDefault="0074369E" w:rsidP="00F15BA6">
            <w:pPr>
              <w:pStyle w:val="Tabletext"/>
              <w:jc w:val="center"/>
            </w:pPr>
            <w:r w:rsidRPr="001125CE">
              <w:t>CACE/751</w:t>
            </w:r>
          </w:p>
        </w:tc>
      </w:tr>
    </w:tbl>
    <w:p w:rsidR="0074369E" w:rsidRPr="001125CE" w:rsidRDefault="0074369E" w:rsidP="0074369E">
      <w:pPr>
        <w:rPr>
          <w:sz w:val="10"/>
          <w:szCs w:val="10"/>
        </w:rPr>
      </w:pPr>
    </w:p>
    <w:p w:rsidR="0074369E" w:rsidRPr="001125CE" w:rsidRDefault="0074369E" w:rsidP="0074369E">
      <w:r w:rsidRPr="001125CE">
        <w:t>Asimismo presentó a la Comisión de Estudio 1 dos proyectos de revisión de una Recomendación y el proyecto de revisión de otras tres Recomendaciones, así como tres proyectos de revisión de un Informe, el proyecto de revisión de otros dos Informes y dos proyectos de nuevos Informes.</w:t>
      </w:r>
    </w:p>
    <w:p w:rsidR="0074369E" w:rsidRPr="001125CE" w:rsidRDefault="0074369E" w:rsidP="0074369E">
      <w:pPr>
        <w:rPr>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7"/>
        <w:gridCol w:w="5871"/>
        <w:gridCol w:w="1751"/>
      </w:tblGrid>
      <w:tr w:rsidR="0074369E" w:rsidRPr="001125CE" w:rsidTr="008B6604">
        <w:trPr>
          <w:cantSplit/>
          <w:tblHeader/>
        </w:trPr>
        <w:tc>
          <w:tcPr>
            <w:tcW w:w="2007" w:type="dxa"/>
            <w:vAlign w:val="center"/>
          </w:tcPr>
          <w:p w:rsidR="0074369E" w:rsidRPr="001125CE" w:rsidRDefault="0074369E" w:rsidP="00F15BA6">
            <w:pPr>
              <w:pStyle w:val="Tablehead"/>
            </w:pPr>
            <w:r w:rsidRPr="001125CE">
              <w:t>Recomendación y acción</w:t>
            </w:r>
          </w:p>
        </w:tc>
        <w:tc>
          <w:tcPr>
            <w:tcW w:w="5871" w:type="dxa"/>
            <w:vAlign w:val="center"/>
          </w:tcPr>
          <w:p w:rsidR="0074369E" w:rsidRPr="001125CE" w:rsidRDefault="0074369E" w:rsidP="00F15BA6">
            <w:pPr>
              <w:pStyle w:val="Tablehead"/>
            </w:pPr>
            <w:r w:rsidRPr="001125CE">
              <w:t>Título</w:t>
            </w:r>
          </w:p>
        </w:tc>
        <w:tc>
          <w:tcPr>
            <w:tcW w:w="1751" w:type="dxa"/>
            <w:vAlign w:val="center"/>
          </w:tcPr>
          <w:p w:rsidR="0074369E" w:rsidRPr="001125CE" w:rsidRDefault="0074369E" w:rsidP="00F15BA6">
            <w:pPr>
              <w:pStyle w:val="Tablehead"/>
            </w:pPr>
            <w:r w:rsidRPr="001125CE">
              <w:t>Circular Administrativa</w:t>
            </w:r>
          </w:p>
        </w:tc>
      </w:tr>
      <w:tr w:rsidR="0074369E" w:rsidRPr="001125CE" w:rsidTr="008B6604">
        <w:tc>
          <w:tcPr>
            <w:tcW w:w="2007" w:type="dxa"/>
            <w:vAlign w:val="center"/>
          </w:tcPr>
          <w:p w:rsidR="0074369E" w:rsidRPr="001125CE" w:rsidRDefault="0074369E" w:rsidP="0074343E">
            <w:pPr>
              <w:pStyle w:val="Tabletext"/>
              <w:jc w:val="center"/>
            </w:pPr>
            <w:r w:rsidRPr="001125CE">
              <w:t>SM.1047-2</w:t>
            </w:r>
            <w:r w:rsidR="0074343E">
              <w:br/>
            </w:r>
            <w:r w:rsidRPr="001125CE">
              <w:t>Revisada</w:t>
            </w:r>
          </w:p>
        </w:tc>
        <w:tc>
          <w:tcPr>
            <w:tcW w:w="5871" w:type="dxa"/>
            <w:vAlign w:val="center"/>
          </w:tcPr>
          <w:p w:rsidR="0074369E" w:rsidRPr="001125CE" w:rsidRDefault="0074369E" w:rsidP="00F15BA6">
            <w:pPr>
              <w:pStyle w:val="Tabletext"/>
              <w:rPr>
                <w:iCs/>
              </w:rPr>
            </w:pPr>
            <w:r w:rsidRPr="001125CE">
              <w:rPr>
                <w:iCs/>
              </w:rPr>
              <w:t>Gestión Nacional del Espectro</w:t>
            </w:r>
          </w:p>
        </w:tc>
        <w:tc>
          <w:tcPr>
            <w:tcW w:w="1751" w:type="dxa"/>
            <w:vAlign w:val="center"/>
          </w:tcPr>
          <w:p w:rsidR="0074369E" w:rsidRPr="001125CE" w:rsidRDefault="0074369E" w:rsidP="00F15BA6">
            <w:pPr>
              <w:pStyle w:val="Tabletext"/>
              <w:jc w:val="center"/>
            </w:pPr>
            <w:r w:rsidRPr="001125CE">
              <w:t>CACE/585</w:t>
            </w:r>
          </w:p>
        </w:tc>
      </w:tr>
      <w:tr w:rsidR="0074369E" w:rsidRPr="001125CE" w:rsidTr="008B6604">
        <w:tc>
          <w:tcPr>
            <w:tcW w:w="2007" w:type="dxa"/>
            <w:vAlign w:val="center"/>
          </w:tcPr>
          <w:p w:rsidR="0074369E" w:rsidRPr="001125CE" w:rsidDel="00C91300" w:rsidRDefault="0074369E" w:rsidP="00F15BA6">
            <w:pPr>
              <w:pStyle w:val="Tabletext"/>
              <w:jc w:val="center"/>
            </w:pPr>
            <w:r w:rsidRPr="001125CE">
              <w:t>SM.1370-2</w:t>
            </w:r>
            <w:r w:rsidRPr="001125CE">
              <w:br/>
              <w:t>Revisada</w:t>
            </w:r>
          </w:p>
        </w:tc>
        <w:tc>
          <w:tcPr>
            <w:tcW w:w="5871" w:type="dxa"/>
            <w:vAlign w:val="center"/>
          </w:tcPr>
          <w:p w:rsidR="0074369E" w:rsidRPr="001125CE" w:rsidDel="00C91300" w:rsidRDefault="0074369E" w:rsidP="00F15BA6">
            <w:pPr>
              <w:pStyle w:val="Tabletext"/>
              <w:rPr>
                <w:iCs/>
              </w:rPr>
            </w:pPr>
            <w:r w:rsidRPr="001125CE">
              <w:rPr>
                <w:iCs/>
              </w:rPr>
              <w:t>Directrices de diseño para la elaboración de sistemas de gestión automática del espectro</w:t>
            </w:r>
          </w:p>
        </w:tc>
        <w:tc>
          <w:tcPr>
            <w:tcW w:w="1751" w:type="dxa"/>
            <w:vAlign w:val="center"/>
          </w:tcPr>
          <w:p w:rsidR="0074369E" w:rsidRPr="001125CE" w:rsidDel="00C91300" w:rsidRDefault="0074369E" w:rsidP="00F15BA6">
            <w:pPr>
              <w:pStyle w:val="Tabletext"/>
              <w:jc w:val="center"/>
            </w:pPr>
            <w:r w:rsidRPr="001125CE">
              <w:t>CACE/627</w:t>
            </w:r>
          </w:p>
        </w:tc>
      </w:tr>
      <w:tr w:rsidR="0074369E" w:rsidRPr="001125CE" w:rsidTr="008B6604">
        <w:tc>
          <w:tcPr>
            <w:tcW w:w="2007" w:type="dxa"/>
            <w:vAlign w:val="center"/>
          </w:tcPr>
          <w:p w:rsidR="0074369E" w:rsidRPr="001125CE" w:rsidRDefault="0074369E" w:rsidP="00F15BA6">
            <w:pPr>
              <w:pStyle w:val="Tabletext"/>
              <w:jc w:val="center"/>
            </w:pPr>
            <w:r w:rsidRPr="001125CE">
              <w:t>SM.1413-3</w:t>
            </w:r>
            <w:r w:rsidRPr="001125CE">
              <w:br/>
              <w:t>Revisada</w:t>
            </w:r>
          </w:p>
        </w:tc>
        <w:tc>
          <w:tcPr>
            <w:tcW w:w="5871" w:type="dxa"/>
            <w:vAlign w:val="center"/>
          </w:tcPr>
          <w:p w:rsidR="0074369E" w:rsidRPr="001125CE" w:rsidRDefault="0074369E" w:rsidP="00F15BA6">
            <w:pPr>
              <w:pStyle w:val="Tabletext"/>
              <w:rPr>
                <w:iCs/>
              </w:rPr>
            </w:pPr>
            <w:r w:rsidRPr="001125CE">
              <w:rPr>
                <w:iCs/>
              </w:rPr>
              <w:t>Diccionario de Datos de Radiocomunicaciones para notificación y coordinación</w:t>
            </w:r>
          </w:p>
        </w:tc>
        <w:tc>
          <w:tcPr>
            <w:tcW w:w="1751" w:type="dxa"/>
            <w:vAlign w:val="center"/>
          </w:tcPr>
          <w:p w:rsidR="0074369E" w:rsidRPr="001125CE" w:rsidRDefault="0074369E" w:rsidP="00F15BA6">
            <w:pPr>
              <w:pStyle w:val="Tabletext"/>
              <w:jc w:val="center"/>
            </w:pPr>
            <w:r w:rsidRPr="001125CE">
              <w:t>CACE/687</w:t>
            </w:r>
          </w:p>
        </w:tc>
      </w:tr>
      <w:tr w:rsidR="0074369E" w:rsidRPr="001125CE" w:rsidTr="008B6604">
        <w:tc>
          <w:tcPr>
            <w:tcW w:w="2007" w:type="dxa"/>
            <w:vAlign w:val="center"/>
          </w:tcPr>
          <w:p w:rsidR="0074369E" w:rsidRPr="001125CE" w:rsidRDefault="0074369E" w:rsidP="00F15BA6">
            <w:pPr>
              <w:pStyle w:val="Tabletext"/>
              <w:jc w:val="center"/>
            </w:pPr>
            <w:r w:rsidRPr="001125CE">
              <w:t>SM.1603-2</w:t>
            </w:r>
            <w:r w:rsidRPr="001125CE">
              <w:br/>
              <w:t>Revisada en dos ocasiones</w:t>
            </w:r>
          </w:p>
        </w:tc>
        <w:tc>
          <w:tcPr>
            <w:tcW w:w="5871" w:type="dxa"/>
            <w:vAlign w:val="center"/>
          </w:tcPr>
          <w:p w:rsidR="0074369E" w:rsidRPr="001125CE" w:rsidRDefault="0074369E" w:rsidP="00F15BA6">
            <w:pPr>
              <w:pStyle w:val="Tabletext"/>
              <w:rPr>
                <w:iCs/>
              </w:rPr>
            </w:pPr>
            <w:r w:rsidRPr="001125CE">
              <w:rPr>
                <w:iCs/>
              </w:rPr>
              <w:t>Reorganización del espectro como método de gestión nacional del espectro</w:t>
            </w:r>
          </w:p>
        </w:tc>
        <w:tc>
          <w:tcPr>
            <w:tcW w:w="1751" w:type="dxa"/>
            <w:vAlign w:val="center"/>
          </w:tcPr>
          <w:p w:rsidR="0074369E" w:rsidRPr="001125CE" w:rsidRDefault="0074369E" w:rsidP="00F15BA6">
            <w:pPr>
              <w:pStyle w:val="Tabletext"/>
              <w:jc w:val="center"/>
            </w:pPr>
            <w:r w:rsidRPr="001125CE">
              <w:t>CACE/585</w:t>
            </w:r>
            <w:r w:rsidRPr="001125CE">
              <w:br/>
              <w:t>CACE/687</w:t>
            </w:r>
          </w:p>
        </w:tc>
      </w:tr>
    </w:tbl>
    <w:p w:rsidR="0074369E" w:rsidRPr="001125CE" w:rsidRDefault="0074369E" w:rsidP="0074369E">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5"/>
        <w:gridCol w:w="7634"/>
      </w:tblGrid>
      <w:tr w:rsidR="0074369E" w:rsidRPr="001125CE" w:rsidTr="00EF1E34">
        <w:trPr>
          <w:cantSplit/>
          <w:tblHeader/>
        </w:trPr>
        <w:tc>
          <w:tcPr>
            <w:tcW w:w="1995" w:type="dxa"/>
            <w:vAlign w:val="center"/>
          </w:tcPr>
          <w:p w:rsidR="0074369E" w:rsidRPr="001125CE" w:rsidRDefault="0074369E" w:rsidP="00F15BA6">
            <w:pPr>
              <w:pStyle w:val="Tablehead"/>
            </w:pPr>
            <w:r w:rsidRPr="001125CE">
              <w:t>Informe y acción</w:t>
            </w:r>
          </w:p>
        </w:tc>
        <w:tc>
          <w:tcPr>
            <w:tcW w:w="7634" w:type="dxa"/>
            <w:vAlign w:val="center"/>
          </w:tcPr>
          <w:p w:rsidR="0074369E" w:rsidRPr="001125CE" w:rsidRDefault="0074369E" w:rsidP="00F15BA6">
            <w:pPr>
              <w:pStyle w:val="Tablehead"/>
            </w:pPr>
            <w:r w:rsidRPr="001125CE">
              <w:t>Título</w:t>
            </w:r>
          </w:p>
        </w:tc>
      </w:tr>
      <w:tr w:rsidR="0074369E" w:rsidRPr="001125CE" w:rsidTr="00EF1E34">
        <w:tc>
          <w:tcPr>
            <w:tcW w:w="1995" w:type="dxa"/>
            <w:vAlign w:val="center"/>
          </w:tcPr>
          <w:p w:rsidR="0074369E" w:rsidRPr="001125CE" w:rsidRDefault="0074369E" w:rsidP="00F15BA6">
            <w:pPr>
              <w:pStyle w:val="Tabletext"/>
              <w:jc w:val="center"/>
            </w:pPr>
            <w:r w:rsidRPr="001125CE">
              <w:t>SM.2012-4</w:t>
            </w:r>
            <w:r w:rsidRPr="001125CE">
              <w:br/>
              <w:t>Revisado</w:t>
            </w:r>
          </w:p>
        </w:tc>
        <w:tc>
          <w:tcPr>
            <w:tcW w:w="7634" w:type="dxa"/>
            <w:vAlign w:val="center"/>
          </w:tcPr>
          <w:p w:rsidR="0074369E" w:rsidRPr="001125CE" w:rsidRDefault="0074369E" w:rsidP="00F15BA6">
            <w:pPr>
              <w:pStyle w:val="Tabletext"/>
              <w:rPr>
                <w:iCs/>
              </w:rPr>
            </w:pPr>
            <w:r w:rsidRPr="001125CE">
              <w:rPr>
                <w:iCs/>
              </w:rPr>
              <w:t xml:space="preserve">Aspectos económicos de la gestión del espectro </w:t>
            </w:r>
          </w:p>
        </w:tc>
      </w:tr>
      <w:tr w:rsidR="0074369E" w:rsidRPr="001125CE" w:rsidTr="00EF1E34">
        <w:tc>
          <w:tcPr>
            <w:tcW w:w="1995" w:type="dxa"/>
            <w:vAlign w:val="center"/>
          </w:tcPr>
          <w:p w:rsidR="0074369E" w:rsidRPr="001125CE" w:rsidRDefault="0074369E" w:rsidP="00F15BA6">
            <w:pPr>
              <w:pStyle w:val="Tabletext"/>
              <w:jc w:val="center"/>
            </w:pPr>
            <w:r w:rsidRPr="001125CE">
              <w:t>SM.2093-2</w:t>
            </w:r>
            <w:r w:rsidRPr="001125CE">
              <w:br/>
              <w:t>Revisado</w:t>
            </w:r>
          </w:p>
        </w:tc>
        <w:tc>
          <w:tcPr>
            <w:tcW w:w="7634" w:type="dxa"/>
            <w:vAlign w:val="center"/>
          </w:tcPr>
          <w:p w:rsidR="0074369E" w:rsidRPr="001125CE" w:rsidRDefault="0074369E" w:rsidP="00F15BA6">
            <w:pPr>
              <w:pStyle w:val="Tabletext"/>
              <w:rPr>
                <w:iCs/>
              </w:rPr>
            </w:pPr>
            <w:r w:rsidRPr="001125CE">
              <w:rPr>
                <w:iCs/>
              </w:rPr>
              <w:t>Orientaciones sobre el marco reglamentario para la gestión nacional del espectro</w:t>
            </w:r>
          </w:p>
        </w:tc>
      </w:tr>
      <w:tr w:rsidR="0074369E" w:rsidRPr="001125CE" w:rsidTr="00EF1E34">
        <w:tc>
          <w:tcPr>
            <w:tcW w:w="1995" w:type="dxa"/>
            <w:vAlign w:val="center"/>
          </w:tcPr>
          <w:p w:rsidR="0074369E" w:rsidRPr="001125CE" w:rsidRDefault="0074369E" w:rsidP="00F15BA6">
            <w:pPr>
              <w:pStyle w:val="Tabletext"/>
              <w:jc w:val="center"/>
            </w:pPr>
            <w:r w:rsidRPr="001125CE">
              <w:t>SM.2153-5</w:t>
            </w:r>
            <w:r w:rsidRPr="001125CE">
              <w:br/>
              <w:t>Revisado en tres ocasiones</w:t>
            </w:r>
          </w:p>
        </w:tc>
        <w:tc>
          <w:tcPr>
            <w:tcW w:w="7634" w:type="dxa"/>
            <w:vAlign w:val="center"/>
          </w:tcPr>
          <w:p w:rsidR="0074369E" w:rsidRPr="001125CE" w:rsidRDefault="0074369E" w:rsidP="00F15BA6">
            <w:pPr>
              <w:pStyle w:val="Tabletext"/>
              <w:rPr>
                <w:iCs/>
                <w:lang w:eastAsia="zh-CN"/>
              </w:rPr>
            </w:pPr>
            <w:r w:rsidRPr="001125CE">
              <w:rPr>
                <w:iCs/>
              </w:rPr>
              <w:t xml:space="preserve">Parámetros técnicos y de funcionamiento de los dispositivos de radiocomunicaciones de corto alcance y utilización del espectro por los mismos </w:t>
            </w:r>
          </w:p>
        </w:tc>
      </w:tr>
      <w:tr w:rsidR="0074369E" w:rsidRPr="001125CE" w:rsidTr="00EF1E34">
        <w:tc>
          <w:tcPr>
            <w:tcW w:w="1995" w:type="dxa"/>
            <w:vAlign w:val="center"/>
          </w:tcPr>
          <w:p w:rsidR="0074369E" w:rsidRPr="001125CE" w:rsidRDefault="0074369E" w:rsidP="008748EC">
            <w:pPr>
              <w:pStyle w:val="Tabletext"/>
              <w:jc w:val="center"/>
            </w:pPr>
            <w:r w:rsidRPr="001125CE">
              <w:t>SM.2255-0</w:t>
            </w:r>
            <w:r w:rsidR="008748EC">
              <w:br/>
            </w:r>
            <w:r w:rsidRPr="001125CE">
              <w:t>Nuevo</w:t>
            </w:r>
          </w:p>
        </w:tc>
        <w:tc>
          <w:tcPr>
            <w:tcW w:w="7634" w:type="dxa"/>
            <w:vAlign w:val="center"/>
          </w:tcPr>
          <w:p w:rsidR="0074369E" w:rsidRPr="001125CE" w:rsidRDefault="0074369E" w:rsidP="00F15BA6">
            <w:pPr>
              <w:pStyle w:val="Tabletext"/>
              <w:rPr>
                <w:iCs/>
              </w:rPr>
            </w:pPr>
            <w:r w:rsidRPr="001125CE">
              <w:rPr>
                <w:iCs/>
              </w:rPr>
              <w:t>Características técnicas, normas y bandas de frecuencia de funcionamiento de los dispositivos de identificación por radiofrecuencia (RFID) y posibilidades de armonización</w:t>
            </w:r>
          </w:p>
        </w:tc>
      </w:tr>
      <w:tr w:rsidR="0074369E" w:rsidRPr="001125CE" w:rsidTr="00EF1E34">
        <w:tc>
          <w:tcPr>
            <w:tcW w:w="1995" w:type="dxa"/>
            <w:vAlign w:val="center"/>
          </w:tcPr>
          <w:p w:rsidR="0074369E" w:rsidRPr="001125CE" w:rsidRDefault="0074369E" w:rsidP="00F15BA6">
            <w:pPr>
              <w:pStyle w:val="Tabletext"/>
              <w:jc w:val="center"/>
            </w:pPr>
            <w:r w:rsidRPr="001125CE">
              <w:t>SM.2353-0</w:t>
            </w:r>
            <w:r w:rsidRPr="001125CE">
              <w:rPr>
                <w:rStyle w:val="Hyperlink"/>
                <w:color w:val="auto"/>
                <w:u w:val="none"/>
              </w:rPr>
              <w:br/>
              <w:t>Nuevo</w:t>
            </w:r>
          </w:p>
        </w:tc>
        <w:tc>
          <w:tcPr>
            <w:tcW w:w="7634" w:type="dxa"/>
            <w:vAlign w:val="center"/>
          </w:tcPr>
          <w:p w:rsidR="0074369E" w:rsidRPr="001125CE" w:rsidRDefault="0074369E" w:rsidP="00F15BA6">
            <w:pPr>
              <w:pStyle w:val="Tabletext"/>
              <w:rPr>
                <w:iCs/>
              </w:rPr>
            </w:pPr>
            <w:r w:rsidRPr="001125CE">
              <w:rPr>
                <w:iCs/>
              </w:rPr>
              <w:t>Retos y oportunidades para la gestión del espectro fruto de la transición a la televisión digital terrenal en ondas decimétricas</w:t>
            </w:r>
          </w:p>
        </w:tc>
      </w:tr>
    </w:tbl>
    <w:p w:rsidR="0074369E" w:rsidRPr="001125CE" w:rsidRDefault="0074369E" w:rsidP="0074369E">
      <w:pPr>
        <w:rPr>
          <w:sz w:val="10"/>
          <w:szCs w:val="10"/>
        </w:rPr>
      </w:pPr>
    </w:p>
    <w:p w:rsidR="0074369E" w:rsidRPr="001125CE" w:rsidRDefault="0074369E" w:rsidP="0074369E">
      <w:r w:rsidRPr="001125CE">
        <w:t xml:space="preserve">En la </w:t>
      </w:r>
      <w:r w:rsidR="00503020" w:rsidRPr="001125CE">
        <w:t xml:space="preserve">Sección </w:t>
      </w:r>
      <w:r w:rsidRPr="001125CE">
        <w:t>7.2 se describen las actividades del GT 1B relativas a la Edición de 2015 del Manual de la UIT sobre gestión nacional del espectro</w:t>
      </w:r>
      <w:r w:rsidR="00CC025E" w:rsidRPr="001125CE">
        <w:t>.</w:t>
      </w:r>
    </w:p>
    <w:p w:rsidR="0074369E" w:rsidRPr="001125CE" w:rsidRDefault="0074369E" w:rsidP="0074369E">
      <w:pPr>
        <w:pStyle w:val="Heading2"/>
        <w:rPr>
          <w:lang w:eastAsia="ja-JP"/>
        </w:rPr>
      </w:pPr>
      <w:r w:rsidRPr="001125CE">
        <w:t>5.4</w:t>
      </w:r>
      <w:r w:rsidRPr="001125CE">
        <w:tab/>
        <w:t>Grupo de Trabajo 1C</w:t>
      </w:r>
    </w:p>
    <w:p w:rsidR="0074369E" w:rsidRPr="001125CE" w:rsidRDefault="0074369E" w:rsidP="0074369E">
      <w:r w:rsidRPr="001125CE">
        <w:t>(Cuestiones 232/1, 233-1/1, 235/1)</w:t>
      </w:r>
    </w:p>
    <w:p w:rsidR="0074369E" w:rsidRPr="001125CE" w:rsidRDefault="0074369E" w:rsidP="0074369E">
      <w:r w:rsidRPr="001125CE">
        <w:t>Durante este periodo de estudios, el GT 1C propuso a la Comisión de Estudio 1 la supresión de una Cuestión.</w:t>
      </w:r>
    </w:p>
    <w:p w:rsidR="0074369E" w:rsidRPr="001125CE" w:rsidRDefault="0074369E" w:rsidP="0074369E">
      <w:pPr>
        <w:rPr>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0"/>
        <w:gridCol w:w="5755"/>
        <w:gridCol w:w="1754"/>
      </w:tblGrid>
      <w:tr w:rsidR="0074369E" w:rsidRPr="001125CE" w:rsidTr="00EF1E34">
        <w:trPr>
          <w:cantSplit/>
          <w:tblHeader/>
        </w:trPr>
        <w:tc>
          <w:tcPr>
            <w:tcW w:w="2120" w:type="dxa"/>
            <w:vAlign w:val="center"/>
          </w:tcPr>
          <w:p w:rsidR="0074369E" w:rsidRPr="001125CE" w:rsidRDefault="0074369E" w:rsidP="00F15BA6">
            <w:pPr>
              <w:pStyle w:val="Tablehead"/>
            </w:pPr>
            <w:r w:rsidRPr="001125CE">
              <w:lastRenderedPageBreak/>
              <w:t>Cuestión y acción</w:t>
            </w:r>
          </w:p>
        </w:tc>
        <w:tc>
          <w:tcPr>
            <w:tcW w:w="5755" w:type="dxa"/>
            <w:vAlign w:val="center"/>
          </w:tcPr>
          <w:p w:rsidR="0074369E" w:rsidRPr="001125CE" w:rsidRDefault="0074369E" w:rsidP="00F15BA6">
            <w:pPr>
              <w:pStyle w:val="Tablehead"/>
            </w:pPr>
            <w:r w:rsidRPr="001125CE">
              <w:t>Título</w:t>
            </w:r>
          </w:p>
        </w:tc>
        <w:tc>
          <w:tcPr>
            <w:tcW w:w="1754" w:type="dxa"/>
            <w:vAlign w:val="center"/>
          </w:tcPr>
          <w:p w:rsidR="0074369E" w:rsidRPr="001125CE" w:rsidRDefault="0074369E" w:rsidP="00F15BA6">
            <w:pPr>
              <w:pStyle w:val="Tablehead"/>
            </w:pPr>
            <w:r w:rsidRPr="001125CE">
              <w:t>Circular Administrativa</w:t>
            </w:r>
          </w:p>
        </w:tc>
      </w:tr>
      <w:tr w:rsidR="0074369E" w:rsidRPr="001125CE" w:rsidTr="003E01DE">
        <w:trPr>
          <w:cantSplit/>
        </w:trPr>
        <w:tc>
          <w:tcPr>
            <w:tcW w:w="2120" w:type="dxa"/>
            <w:vAlign w:val="center"/>
          </w:tcPr>
          <w:p w:rsidR="0074369E" w:rsidRPr="001125CE" w:rsidRDefault="0074369E" w:rsidP="00F15BA6">
            <w:pPr>
              <w:pStyle w:val="Tabletext"/>
              <w:jc w:val="center"/>
            </w:pPr>
            <w:r w:rsidRPr="001125CE">
              <w:t>214/1</w:t>
            </w:r>
            <w:r w:rsidRPr="001125CE">
              <w:br/>
              <w:t>Suprimida</w:t>
            </w:r>
          </w:p>
        </w:tc>
        <w:tc>
          <w:tcPr>
            <w:tcW w:w="5755" w:type="dxa"/>
            <w:vAlign w:val="center"/>
          </w:tcPr>
          <w:p w:rsidR="0074369E" w:rsidRPr="001125CE" w:rsidRDefault="0074369E" w:rsidP="00F15BA6">
            <w:pPr>
              <w:pStyle w:val="Tabletext"/>
              <w:rPr>
                <w:iCs/>
                <w:lang w:eastAsia="zh-CN"/>
              </w:rPr>
            </w:pPr>
            <w:r w:rsidRPr="001125CE">
              <w:rPr>
                <w:iCs/>
                <w:lang w:eastAsia="zh-CN"/>
              </w:rPr>
              <w:t>Comprobación técnica de las señales de radiodifusión digital</w:t>
            </w:r>
          </w:p>
        </w:tc>
        <w:tc>
          <w:tcPr>
            <w:tcW w:w="1754" w:type="dxa"/>
            <w:vAlign w:val="center"/>
          </w:tcPr>
          <w:p w:rsidR="0074369E" w:rsidRPr="001125CE" w:rsidRDefault="0074369E" w:rsidP="00F15BA6">
            <w:pPr>
              <w:pStyle w:val="Tabletext"/>
              <w:jc w:val="center"/>
            </w:pPr>
            <w:r w:rsidRPr="001125CE">
              <w:t>CACE/593</w:t>
            </w:r>
          </w:p>
        </w:tc>
      </w:tr>
    </w:tbl>
    <w:p w:rsidR="0074369E" w:rsidRPr="001125CE" w:rsidRDefault="0074369E" w:rsidP="0074369E">
      <w:pPr>
        <w:spacing w:before="0"/>
        <w:rPr>
          <w:sz w:val="16"/>
          <w:szCs w:val="12"/>
        </w:rPr>
      </w:pPr>
    </w:p>
    <w:p w:rsidR="0074369E" w:rsidRPr="001125CE" w:rsidRDefault="0074369E" w:rsidP="0074369E">
      <w:r w:rsidRPr="001125CE">
        <w:t>Asimismo, presentó a la Comisión de Estudio 1 cuatro proyectos de nueva Recomendación, dos proyectos de revisión de dos Recomendaciones y proyectos de revisión de otras siete Recomendaciones, y propuso la supresión de tres Recomendaciones. También presentó a la Comisión de Estudio 1 ocho proyectos de nuevo Informe, tres proyectos de revisiones ulteriores de uno de ellos y el proyecto de revisión de otros dos Informes.</w:t>
      </w:r>
    </w:p>
    <w:p w:rsidR="0074369E" w:rsidRPr="001125CE" w:rsidRDefault="0074369E" w:rsidP="0074369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1"/>
        <w:gridCol w:w="5816"/>
        <w:gridCol w:w="1752"/>
      </w:tblGrid>
      <w:tr w:rsidR="0074369E" w:rsidRPr="001125CE" w:rsidTr="00EF1E34">
        <w:trPr>
          <w:cantSplit/>
          <w:tblHeader/>
        </w:trPr>
        <w:tc>
          <w:tcPr>
            <w:tcW w:w="2061" w:type="dxa"/>
            <w:vAlign w:val="center"/>
          </w:tcPr>
          <w:p w:rsidR="0074369E" w:rsidRPr="001125CE" w:rsidRDefault="0074369E" w:rsidP="00F15BA6">
            <w:pPr>
              <w:pStyle w:val="Tablehead"/>
            </w:pPr>
            <w:r w:rsidRPr="001125CE">
              <w:t>Recomendación y acción</w:t>
            </w:r>
          </w:p>
        </w:tc>
        <w:tc>
          <w:tcPr>
            <w:tcW w:w="5816" w:type="dxa"/>
            <w:vAlign w:val="center"/>
          </w:tcPr>
          <w:p w:rsidR="0074369E" w:rsidRPr="001125CE" w:rsidRDefault="0074369E" w:rsidP="00F15BA6">
            <w:pPr>
              <w:pStyle w:val="Tablehead"/>
            </w:pPr>
            <w:r w:rsidRPr="001125CE">
              <w:t>Título</w:t>
            </w:r>
          </w:p>
        </w:tc>
        <w:tc>
          <w:tcPr>
            <w:tcW w:w="1752" w:type="dxa"/>
            <w:vAlign w:val="center"/>
          </w:tcPr>
          <w:p w:rsidR="0074369E" w:rsidRPr="001125CE" w:rsidRDefault="0074369E" w:rsidP="00F15BA6">
            <w:pPr>
              <w:pStyle w:val="Tablehead"/>
            </w:pPr>
            <w:r w:rsidRPr="001125CE">
              <w:t>Circular Administrativa</w:t>
            </w:r>
          </w:p>
        </w:tc>
      </w:tr>
      <w:tr w:rsidR="0074369E" w:rsidRPr="001125CE" w:rsidTr="007D1705">
        <w:trPr>
          <w:cantSplit/>
        </w:trPr>
        <w:tc>
          <w:tcPr>
            <w:tcW w:w="2061" w:type="dxa"/>
            <w:vAlign w:val="center"/>
          </w:tcPr>
          <w:p w:rsidR="0074369E" w:rsidRPr="001125CE" w:rsidRDefault="0074369E" w:rsidP="00F15BA6">
            <w:pPr>
              <w:pStyle w:val="Tabletext"/>
              <w:jc w:val="center"/>
            </w:pPr>
            <w:r w:rsidRPr="001125CE">
              <w:t>SM.575-2</w:t>
            </w:r>
            <w:r w:rsidRPr="001125CE">
              <w:br/>
              <w:t>Revisada</w:t>
            </w:r>
          </w:p>
        </w:tc>
        <w:tc>
          <w:tcPr>
            <w:tcW w:w="5816" w:type="dxa"/>
            <w:vAlign w:val="center"/>
          </w:tcPr>
          <w:p w:rsidR="0074369E" w:rsidRPr="001125CE" w:rsidRDefault="0074369E" w:rsidP="002A71F1">
            <w:pPr>
              <w:pStyle w:val="Tabletext"/>
              <w:rPr>
                <w:iCs/>
              </w:rPr>
            </w:pPr>
            <w:r w:rsidRPr="001125CE">
              <w:rPr>
                <w:iCs/>
              </w:rPr>
              <w:t>Protección de las estaciones fijas de comprobación técnica contra la interferencia ocasionada por transmisores cercanos o potentes</w:t>
            </w:r>
          </w:p>
        </w:tc>
        <w:tc>
          <w:tcPr>
            <w:tcW w:w="1752" w:type="dxa"/>
            <w:vAlign w:val="center"/>
          </w:tcPr>
          <w:p w:rsidR="0074369E" w:rsidRPr="001125CE" w:rsidRDefault="0074369E" w:rsidP="00F15BA6">
            <w:pPr>
              <w:pStyle w:val="Tabletext"/>
              <w:jc w:val="center"/>
            </w:pPr>
            <w:r w:rsidRPr="001125CE">
              <w:t>CACE/640</w:t>
            </w:r>
          </w:p>
        </w:tc>
      </w:tr>
      <w:tr w:rsidR="0074369E" w:rsidRPr="001125CE" w:rsidTr="007D1705">
        <w:trPr>
          <w:cantSplit/>
        </w:trPr>
        <w:tc>
          <w:tcPr>
            <w:tcW w:w="2061" w:type="dxa"/>
            <w:vAlign w:val="center"/>
          </w:tcPr>
          <w:p w:rsidR="0074369E" w:rsidRPr="001125CE" w:rsidRDefault="0074369E" w:rsidP="00F15BA6">
            <w:pPr>
              <w:pStyle w:val="Tabletext"/>
              <w:jc w:val="center"/>
            </w:pPr>
            <w:r w:rsidRPr="001125CE">
              <w:t>SM.1051-3</w:t>
            </w:r>
            <w:r w:rsidRPr="001125CE">
              <w:br/>
              <w:t>Revisada</w:t>
            </w:r>
          </w:p>
        </w:tc>
        <w:tc>
          <w:tcPr>
            <w:tcW w:w="5816" w:type="dxa"/>
            <w:vAlign w:val="center"/>
          </w:tcPr>
          <w:p w:rsidR="0074369E" w:rsidRPr="001125CE" w:rsidRDefault="0074369E" w:rsidP="002A71F1">
            <w:pPr>
              <w:pStyle w:val="Tabletext"/>
              <w:rPr>
                <w:iCs/>
              </w:rPr>
            </w:pPr>
            <w:r w:rsidRPr="001125CE">
              <w:rPr>
                <w:iCs/>
              </w:rPr>
              <w:t>Prioridad de identificación y supresión de interferencia perjudicial en la banda 406-406,1 MHz</w:t>
            </w:r>
          </w:p>
        </w:tc>
        <w:tc>
          <w:tcPr>
            <w:tcW w:w="1752" w:type="dxa"/>
            <w:vAlign w:val="center"/>
          </w:tcPr>
          <w:p w:rsidR="0074369E" w:rsidRPr="001125CE" w:rsidRDefault="0074369E" w:rsidP="00F15BA6">
            <w:pPr>
              <w:pStyle w:val="Tabletext"/>
              <w:jc w:val="center"/>
            </w:pPr>
            <w:r w:rsidRPr="001125CE">
              <w:t>CACE/687</w:t>
            </w:r>
          </w:p>
        </w:tc>
      </w:tr>
      <w:tr w:rsidR="0074369E" w:rsidRPr="001125CE" w:rsidTr="007D1705">
        <w:trPr>
          <w:cantSplit/>
        </w:trPr>
        <w:tc>
          <w:tcPr>
            <w:tcW w:w="2061" w:type="dxa"/>
            <w:vAlign w:val="center"/>
          </w:tcPr>
          <w:p w:rsidR="0074369E" w:rsidRPr="001125CE" w:rsidRDefault="0074369E" w:rsidP="00F15BA6">
            <w:pPr>
              <w:pStyle w:val="Tabletext"/>
              <w:jc w:val="center"/>
            </w:pPr>
            <w:r w:rsidRPr="001125CE">
              <w:t>SM.1052</w:t>
            </w:r>
            <w:r w:rsidRPr="001125CE">
              <w:br/>
              <w:t>Suprimida</w:t>
            </w:r>
          </w:p>
        </w:tc>
        <w:tc>
          <w:tcPr>
            <w:tcW w:w="5816" w:type="dxa"/>
            <w:vAlign w:val="center"/>
          </w:tcPr>
          <w:p w:rsidR="0074369E" w:rsidRPr="001125CE" w:rsidRDefault="0074369E" w:rsidP="002A71F1">
            <w:pPr>
              <w:pStyle w:val="Tabletext"/>
              <w:rPr>
                <w:iCs/>
              </w:rPr>
            </w:pPr>
            <w:r w:rsidRPr="001125CE">
              <w:rPr>
                <w:iCs/>
              </w:rPr>
              <w:t>Identificación automática de las estaciones radioeléctricas</w:t>
            </w:r>
          </w:p>
        </w:tc>
        <w:tc>
          <w:tcPr>
            <w:tcW w:w="1752" w:type="dxa"/>
            <w:vAlign w:val="center"/>
          </w:tcPr>
          <w:p w:rsidR="0074369E" w:rsidRPr="001125CE" w:rsidRDefault="0074369E" w:rsidP="00F15BA6">
            <w:pPr>
              <w:pStyle w:val="Tabletext"/>
              <w:jc w:val="center"/>
            </w:pPr>
            <w:r w:rsidRPr="001125CE">
              <w:t>CACE/585</w:t>
            </w:r>
          </w:p>
        </w:tc>
      </w:tr>
      <w:tr w:rsidR="0074369E" w:rsidRPr="001125CE" w:rsidTr="007D1705">
        <w:trPr>
          <w:cantSplit/>
        </w:trPr>
        <w:tc>
          <w:tcPr>
            <w:tcW w:w="2061" w:type="dxa"/>
            <w:vAlign w:val="center"/>
          </w:tcPr>
          <w:p w:rsidR="0074369E" w:rsidRPr="001125CE" w:rsidRDefault="0074369E" w:rsidP="00F15BA6">
            <w:pPr>
              <w:pStyle w:val="Tabletext"/>
              <w:jc w:val="center"/>
            </w:pPr>
            <w:r w:rsidRPr="001125CE">
              <w:t>SM.1267</w:t>
            </w:r>
            <w:r w:rsidRPr="001125CE">
              <w:br/>
              <w:t>Suprimida</w:t>
            </w:r>
          </w:p>
        </w:tc>
        <w:tc>
          <w:tcPr>
            <w:tcW w:w="5816" w:type="dxa"/>
            <w:vAlign w:val="center"/>
          </w:tcPr>
          <w:p w:rsidR="0074369E" w:rsidRPr="001125CE" w:rsidRDefault="0074369E" w:rsidP="002A71F1">
            <w:pPr>
              <w:pStyle w:val="Tabletext"/>
              <w:rPr>
                <w:iCs/>
              </w:rPr>
            </w:pPr>
            <w:r w:rsidRPr="001125CE">
              <w:rPr>
                <w:iCs/>
              </w:rPr>
              <w:t>Acopio y publicación de datos de comprobación técnica para contribuir al proceso de asignación de frecuencias a los sistemas de satélites geoestacionarios.</w:t>
            </w:r>
          </w:p>
        </w:tc>
        <w:tc>
          <w:tcPr>
            <w:tcW w:w="1752" w:type="dxa"/>
            <w:vAlign w:val="center"/>
          </w:tcPr>
          <w:p w:rsidR="0074369E" w:rsidRPr="001125CE" w:rsidRDefault="0074369E" w:rsidP="00F15BA6">
            <w:pPr>
              <w:pStyle w:val="Tabletext"/>
              <w:jc w:val="center"/>
            </w:pPr>
            <w:r w:rsidRPr="001125CE">
              <w:t>CACE/585</w:t>
            </w:r>
          </w:p>
        </w:tc>
      </w:tr>
      <w:tr w:rsidR="0074369E" w:rsidRPr="001125CE" w:rsidTr="007D1705">
        <w:trPr>
          <w:cantSplit/>
        </w:trPr>
        <w:tc>
          <w:tcPr>
            <w:tcW w:w="2061" w:type="dxa"/>
            <w:vAlign w:val="center"/>
          </w:tcPr>
          <w:p w:rsidR="0074369E" w:rsidRPr="001125CE" w:rsidRDefault="0074369E" w:rsidP="00F15BA6">
            <w:pPr>
              <w:pStyle w:val="Tabletext"/>
              <w:jc w:val="center"/>
            </w:pPr>
            <w:r w:rsidRPr="001125CE">
              <w:t>SM.1268-3</w:t>
            </w:r>
            <w:r w:rsidRPr="001125CE">
              <w:br/>
              <w:t>Revisada</w:t>
            </w:r>
          </w:p>
        </w:tc>
        <w:tc>
          <w:tcPr>
            <w:tcW w:w="5816" w:type="dxa"/>
            <w:vAlign w:val="center"/>
          </w:tcPr>
          <w:p w:rsidR="0074369E" w:rsidRPr="001125CE" w:rsidRDefault="0074369E" w:rsidP="002A71F1">
            <w:pPr>
              <w:pStyle w:val="Tabletext"/>
              <w:rPr>
                <w:iCs/>
              </w:rPr>
            </w:pPr>
            <w:r w:rsidRPr="001125CE">
              <w:rPr>
                <w:iCs/>
              </w:rPr>
              <w:t>Método de medición de la máxima desviación de frecuencia de las emisiones de radiodifusión a utilizar en las estaciones de comprobación técnica</w:t>
            </w:r>
          </w:p>
        </w:tc>
        <w:tc>
          <w:tcPr>
            <w:tcW w:w="1752" w:type="dxa"/>
            <w:vAlign w:val="center"/>
          </w:tcPr>
          <w:p w:rsidR="0074369E" w:rsidRPr="001125CE" w:rsidRDefault="0074369E" w:rsidP="00F15BA6">
            <w:pPr>
              <w:pStyle w:val="Tabletext"/>
              <w:jc w:val="center"/>
            </w:pPr>
            <w:r w:rsidRPr="001125CE">
              <w:t>CACE/687</w:t>
            </w:r>
          </w:p>
        </w:tc>
      </w:tr>
      <w:tr w:rsidR="0074369E" w:rsidRPr="001125CE" w:rsidTr="007D1705">
        <w:trPr>
          <w:cantSplit/>
        </w:trPr>
        <w:tc>
          <w:tcPr>
            <w:tcW w:w="2061" w:type="dxa"/>
            <w:vAlign w:val="center"/>
          </w:tcPr>
          <w:p w:rsidR="0074369E" w:rsidRPr="001125CE" w:rsidDel="00693308" w:rsidRDefault="0074369E" w:rsidP="00F15BA6">
            <w:pPr>
              <w:pStyle w:val="Tabletext"/>
              <w:jc w:val="center"/>
            </w:pPr>
            <w:r w:rsidRPr="001125CE">
              <w:t>SM.1537-1</w:t>
            </w:r>
            <w:r w:rsidRPr="001125CE">
              <w:br/>
            </w:r>
            <w:r w:rsidR="001125CE" w:rsidRPr="001125CE">
              <w:t>Revisada</w:t>
            </w:r>
          </w:p>
        </w:tc>
        <w:tc>
          <w:tcPr>
            <w:tcW w:w="5816" w:type="dxa"/>
            <w:vAlign w:val="center"/>
          </w:tcPr>
          <w:p w:rsidR="0074369E" w:rsidRPr="001125CE" w:rsidDel="00693308" w:rsidRDefault="0074369E" w:rsidP="002A71F1">
            <w:pPr>
              <w:pStyle w:val="Tabletext"/>
            </w:pPr>
            <w:r w:rsidRPr="001125CE">
              <w:t>Automatización e integración de los sistemas de comprobación técnica del espectro con la gestión automática del espectro</w:t>
            </w:r>
          </w:p>
        </w:tc>
        <w:tc>
          <w:tcPr>
            <w:tcW w:w="1752" w:type="dxa"/>
            <w:vAlign w:val="center"/>
          </w:tcPr>
          <w:p w:rsidR="0074369E" w:rsidRPr="001125CE" w:rsidDel="00693308" w:rsidRDefault="0074369E" w:rsidP="00F15BA6">
            <w:pPr>
              <w:pStyle w:val="Tabletext"/>
              <w:jc w:val="center"/>
            </w:pPr>
            <w:r w:rsidRPr="001125CE">
              <w:t>CACE/627</w:t>
            </w:r>
          </w:p>
        </w:tc>
      </w:tr>
      <w:tr w:rsidR="0074369E" w:rsidRPr="001125CE" w:rsidTr="007D1705">
        <w:trPr>
          <w:cantSplit/>
        </w:trPr>
        <w:tc>
          <w:tcPr>
            <w:tcW w:w="2061" w:type="dxa"/>
            <w:vAlign w:val="center"/>
          </w:tcPr>
          <w:p w:rsidR="0074369E" w:rsidRPr="001125CE" w:rsidDel="00693308" w:rsidRDefault="0074369E" w:rsidP="00F15BA6">
            <w:pPr>
              <w:pStyle w:val="Tabletext"/>
              <w:jc w:val="center"/>
            </w:pPr>
            <w:r w:rsidRPr="001125CE">
              <w:t>SM.1600-2</w:t>
            </w:r>
            <w:r w:rsidRPr="001125CE">
              <w:br/>
            </w:r>
            <w:r w:rsidR="001125CE" w:rsidRPr="001125CE">
              <w:t>Revisada en dos ocasiones</w:t>
            </w:r>
          </w:p>
        </w:tc>
        <w:tc>
          <w:tcPr>
            <w:tcW w:w="5816" w:type="dxa"/>
            <w:vAlign w:val="center"/>
          </w:tcPr>
          <w:p w:rsidR="0074369E" w:rsidRPr="001125CE" w:rsidDel="00693308" w:rsidRDefault="0074369E" w:rsidP="002A71F1">
            <w:pPr>
              <w:pStyle w:val="Tabletext"/>
            </w:pPr>
            <w:r w:rsidRPr="001125CE">
              <w:t>Identificación técnica de las señales digitales</w:t>
            </w:r>
          </w:p>
        </w:tc>
        <w:tc>
          <w:tcPr>
            <w:tcW w:w="1752" w:type="dxa"/>
            <w:vAlign w:val="center"/>
          </w:tcPr>
          <w:p w:rsidR="0074369E" w:rsidRPr="001125CE" w:rsidDel="00693308" w:rsidRDefault="0074369E" w:rsidP="00F15BA6">
            <w:pPr>
              <w:pStyle w:val="Tabletext"/>
              <w:jc w:val="center"/>
            </w:pPr>
            <w:r w:rsidRPr="001125CE">
              <w:t>CACE/585</w:t>
            </w:r>
            <w:r w:rsidRPr="001125CE">
              <w:br/>
              <w:t>CACE/750</w:t>
            </w:r>
          </w:p>
        </w:tc>
      </w:tr>
      <w:tr w:rsidR="0074369E" w:rsidRPr="001125CE" w:rsidTr="007D1705">
        <w:trPr>
          <w:cantSplit/>
        </w:trPr>
        <w:tc>
          <w:tcPr>
            <w:tcW w:w="2061" w:type="dxa"/>
            <w:vAlign w:val="center"/>
          </w:tcPr>
          <w:p w:rsidR="0074369E" w:rsidRPr="001125CE" w:rsidRDefault="0074369E" w:rsidP="00F15BA6">
            <w:pPr>
              <w:pStyle w:val="Tabletext"/>
              <w:jc w:val="center"/>
            </w:pPr>
            <w:r w:rsidRPr="001125CE">
              <w:t>SM.1752</w:t>
            </w:r>
            <w:r w:rsidRPr="001125CE">
              <w:br/>
              <w:t>Suprimida</w:t>
            </w:r>
          </w:p>
        </w:tc>
        <w:tc>
          <w:tcPr>
            <w:tcW w:w="5816" w:type="dxa"/>
            <w:vAlign w:val="center"/>
          </w:tcPr>
          <w:p w:rsidR="0074369E" w:rsidRPr="001125CE" w:rsidRDefault="0074369E" w:rsidP="002A71F1">
            <w:pPr>
              <w:pStyle w:val="Tabletext"/>
            </w:pPr>
            <w:r w:rsidRPr="001125CE">
              <w:t xml:space="preserve"> Límites de emisiones no deseadas en condiciones de espacio libre.</w:t>
            </w:r>
          </w:p>
        </w:tc>
        <w:tc>
          <w:tcPr>
            <w:tcW w:w="1752" w:type="dxa"/>
            <w:vAlign w:val="center"/>
          </w:tcPr>
          <w:p w:rsidR="0074369E" w:rsidRPr="001125CE" w:rsidRDefault="0074369E" w:rsidP="00F15BA6">
            <w:pPr>
              <w:pStyle w:val="Tabletext"/>
              <w:jc w:val="center"/>
            </w:pPr>
            <w:r w:rsidRPr="001125CE">
              <w:t>CACE/585</w:t>
            </w:r>
          </w:p>
        </w:tc>
      </w:tr>
      <w:tr w:rsidR="0074369E" w:rsidRPr="001125CE" w:rsidTr="007D1705">
        <w:trPr>
          <w:cantSplit/>
        </w:trPr>
        <w:tc>
          <w:tcPr>
            <w:tcW w:w="2061" w:type="dxa"/>
            <w:vAlign w:val="center"/>
          </w:tcPr>
          <w:p w:rsidR="0074369E" w:rsidRPr="001125CE" w:rsidRDefault="0074369E" w:rsidP="00F15BA6">
            <w:pPr>
              <w:pStyle w:val="Tabletext"/>
              <w:jc w:val="center"/>
            </w:pPr>
            <w:r w:rsidRPr="001125CE">
              <w:t>SM.1753-2</w:t>
            </w:r>
            <w:r w:rsidRPr="001125CE">
              <w:br/>
              <w:t>Revisada</w:t>
            </w:r>
          </w:p>
        </w:tc>
        <w:tc>
          <w:tcPr>
            <w:tcW w:w="5816" w:type="dxa"/>
            <w:vAlign w:val="center"/>
          </w:tcPr>
          <w:p w:rsidR="0074369E" w:rsidRPr="001125CE" w:rsidRDefault="0074369E" w:rsidP="002A71F1">
            <w:pPr>
              <w:pStyle w:val="Tabletext"/>
            </w:pPr>
            <w:r w:rsidRPr="001125CE">
              <w:t>Métodos para medir el ruido radioeléctrico</w:t>
            </w:r>
          </w:p>
        </w:tc>
        <w:tc>
          <w:tcPr>
            <w:tcW w:w="1752" w:type="dxa"/>
            <w:vAlign w:val="center"/>
          </w:tcPr>
          <w:p w:rsidR="0074369E" w:rsidRPr="001125CE" w:rsidRDefault="0074369E" w:rsidP="00F15BA6">
            <w:pPr>
              <w:pStyle w:val="Tabletext"/>
              <w:jc w:val="center"/>
            </w:pPr>
            <w:r w:rsidRPr="001125CE">
              <w:t>CACE/</w:t>
            </w:r>
          </w:p>
        </w:tc>
      </w:tr>
      <w:tr w:rsidR="0074369E" w:rsidRPr="001125CE" w:rsidTr="007D1705">
        <w:trPr>
          <w:cantSplit/>
        </w:trPr>
        <w:tc>
          <w:tcPr>
            <w:tcW w:w="2061" w:type="dxa"/>
            <w:vAlign w:val="center"/>
          </w:tcPr>
          <w:p w:rsidR="0074369E" w:rsidRPr="001125CE" w:rsidRDefault="0074369E" w:rsidP="00F15BA6">
            <w:pPr>
              <w:pStyle w:val="Tabletext"/>
              <w:jc w:val="center"/>
            </w:pPr>
            <w:r w:rsidRPr="001125CE">
              <w:t>SM.1837-1</w:t>
            </w:r>
            <w:r w:rsidRPr="001125CE">
              <w:br/>
              <w:t>Revisada</w:t>
            </w:r>
          </w:p>
        </w:tc>
        <w:tc>
          <w:tcPr>
            <w:tcW w:w="5816" w:type="dxa"/>
            <w:vAlign w:val="center"/>
          </w:tcPr>
          <w:p w:rsidR="0074369E" w:rsidRPr="001125CE" w:rsidRDefault="0074369E" w:rsidP="002A71F1">
            <w:pPr>
              <w:pStyle w:val="Tabletext"/>
            </w:pPr>
            <w:r w:rsidRPr="001125CE">
              <w:t>Procedimiento de prueba para medir el nivel del punto de intercepción de 3er orden (IP3) de los receptores de comprobación técnica radioeléctrica</w:t>
            </w:r>
          </w:p>
        </w:tc>
        <w:tc>
          <w:tcPr>
            <w:tcW w:w="1752" w:type="dxa"/>
            <w:vAlign w:val="center"/>
          </w:tcPr>
          <w:p w:rsidR="0074369E" w:rsidRPr="001125CE" w:rsidRDefault="0074369E" w:rsidP="00F15BA6">
            <w:pPr>
              <w:pStyle w:val="Tabletext"/>
              <w:jc w:val="center"/>
            </w:pPr>
            <w:r w:rsidRPr="001125CE">
              <w:t>CACE/627</w:t>
            </w:r>
          </w:p>
        </w:tc>
      </w:tr>
      <w:tr w:rsidR="0074369E" w:rsidRPr="001125CE" w:rsidTr="007D1705">
        <w:trPr>
          <w:cantSplit/>
        </w:trPr>
        <w:tc>
          <w:tcPr>
            <w:tcW w:w="2061" w:type="dxa"/>
            <w:vAlign w:val="center"/>
          </w:tcPr>
          <w:p w:rsidR="0074369E" w:rsidRPr="001125CE" w:rsidDel="005B0503" w:rsidRDefault="0074369E" w:rsidP="00F15BA6">
            <w:pPr>
              <w:pStyle w:val="Tabletext"/>
              <w:jc w:val="center"/>
            </w:pPr>
            <w:r w:rsidRPr="001125CE">
              <w:t>SM.1875-2</w:t>
            </w:r>
            <w:r w:rsidRPr="001125CE">
              <w:br/>
              <w:t>Revisada en dos ocasiones</w:t>
            </w:r>
          </w:p>
        </w:tc>
        <w:tc>
          <w:tcPr>
            <w:tcW w:w="5816" w:type="dxa"/>
            <w:vAlign w:val="center"/>
          </w:tcPr>
          <w:p w:rsidR="0074369E" w:rsidRPr="001125CE" w:rsidDel="005B0503" w:rsidRDefault="0074369E" w:rsidP="002A71F1">
            <w:pPr>
              <w:pStyle w:val="Tabletext"/>
            </w:pPr>
            <w:r w:rsidRPr="001125CE">
              <w:t>Mediciones de la cobertura de la DVB-T y verificación de los criterios de planificación</w:t>
            </w:r>
          </w:p>
        </w:tc>
        <w:tc>
          <w:tcPr>
            <w:tcW w:w="1752" w:type="dxa"/>
            <w:vAlign w:val="center"/>
          </w:tcPr>
          <w:p w:rsidR="0074369E" w:rsidRPr="001125CE" w:rsidRDefault="0074369E" w:rsidP="00F15BA6">
            <w:pPr>
              <w:pStyle w:val="Tabletext"/>
              <w:jc w:val="center"/>
            </w:pPr>
            <w:r w:rsidRPr="001125CE">
              <w:t>CACE/627</w:t>
            </w:r>
          </w:p>
          <w:p w:rsidR="0074369E" w:rsidRPr="001125CE" w:rsidDel="005B0503" w:rsidRDefault="0074369E" w:rsidP="00F15BA6">
            <w:pPr>
              <w:pStyle w:val="Tabletext"/>
              <w:jc w:val="center"/>
            </w:pPr>
            <w:r w:rsidRPr="001125CE">
              <w:t>CACE/687</w:t>
            </w:r>
          </w:p>
        </w:tc>
      </w:tr>
      <w:tr w:rsidR="0074369E" w:rsidRPr="001125CE" w:rsidTr="007D1705">
        <w:trPr>
          <w:cantSplit/>
        </w:trPr>
        <w:tc>
          <w:tcPr>
            <w:tcW w:w="2061" w:type="dxa"/>
            <w:vAlign w:val="center"/>
          </w:tcPr>
          <w:p w:rsidR="0074369E" w:rsidRPr="001125CE" w:rsidRDefault="0074369E" w:rsidP="00F15BA6">
            <w:pPr>
              <w:pStyle w:val="Tabletext"/>
              <w:jc w:val="center"/>
            </w:pPr>
            <w:r w:rsidRPr="001125CE">
              <w:t>SM.1880-1</w:t>
            </w:r>
            <w:r w:rsidRPr="001125CE">
              <w:br/>
              <w:t>Revisada</w:t>
            </w:r>
          </w:p>
        </w:tc>
        <w:tc>
          <w:tcPr>
            <w:tcW w:w="5816" w:type="dxa"/>
            <w:vAlign w:val="center"/>
          </w:tcPr>
          <w:p w:rsidR="0074369E" w:rsidRPr="001125CE" w:rsidRDefault="0074369E" w:rsidP="002A71F1">
            <w:pPr>
              <w:pStyle w:val="Tabletext"/>
            </w:pPr>
            <w:r w:rsidRPr="001125CE">
              <w:t>Medición y evaluación de la ocupación del espectro</w:t>
            </w:r>
          </w:p>
        </w:tc>
        <w:tc>
          <w:tcPr>
            <w:tcW w:w="1752" w:type="dxa"/>
            <w:vAlign w:val="center"/>
          </w:tcPr>
          <w:p w:rsidR="0074369E" w:rsidRPr="001125CE" w:rsidRDefault="0074369E" w:rsidP="00F15BA6">
            <w:pPr>
              <w:pStyle w:val="Tabletext"/>
              <w:jc w:val="center"/>
            </w:pPr>
            <w:r w:rsidRPr="001125CE">
              <w:t>CACE/750</w:t>
            </w:r>
          </w:p>
        </w:tc>
      </w:tr>
      <w:tr w:rsidR="0074369E" w:rsidRPr="001125CE" w:rsidTr="007D1705">
        <w:trPr>
          <w:cantSplit/>
        </w:trPr>
        <w:tc>
          <w:tcPr>
            <w:tcW w:w="2061" w:type="dxa"/>
            <w:vAlign w:val="center"/>
          </w:tcPr>
          <w:p w:rsidR="0074369E" w:rsidRPr="001125CE" w:rsidRDefault="0074369E" w:rsidP="00F15BA6">
            <w:pPr>
              <w:pStyle w:val="Tabletext"/>
              <w:jc w:val="center"/>
            </w:pPr>
            <w:r w:rsidRPr="001125CE">
              <w:t>SM.2039-0</w:t>
            </w:r>
            <w:r w:rsidRPr="001125CE">
              <w:br/>
              <w:t>Nueva</w:t>
            </w:r>
          </w:p>
        </w:tc>
        <w:tc>
          <w:tcPr>
            <w:tcW w:w="5816" w:type="dxa"/>
            <w:vAlign w:val="center"/>
          </w:tcPr>
          <w:p w:rsidR="0074369E" w:rsidRPr="001125CE" w:rsidRDefault="0074369E" w:rsidP="002A71F1">
            <w:pPr>
              <w:pStyle w:val="Tabletext"/>
            </w:pPr>
            <w:r w:rsidRPr="001125CE">
              <w:t>Evolución de la comprobación técnica del espectro</w:t>
            </w:r>
          </w:p>
        </w:tc>
        <w:tc>
          <w:tcPr>
            <w:tcW w:w="1752" w:type="dxa"/>
            <w:vAlign w:val="center"/>
          </w:tcPr>
          <w:p w:rsidR="0074369E" w:rsidRPr="001125CE" w:rsidRDefault="0074369E" w:rsidP="00F15BA6">
            <w:pPr>
              <w:pStyle w:val="Tabletext"/>
              <w:jc w:val="center"/>
            </w:pPr>
            <w:r w:rsidRPr="001125CE">
              <w:t>CACE/627</w:t>
            </w:r>
          </w:p>
        </w:tc>
      </w:tr>
      <w:tr w:rsidR="0074369E" w:rsidRPr="001125CE" w:rsidTr="007D1705">
        <w:trPr>
          <w:cantSplit/>
        </w:trPr>
        <w:tc>
          <w:tcPr>
            <w:tcW w:w="2061" w:type="dxa"/>
            <w:vAlign w:val="center"/>
          </w:tcPr>
          <w:p w:rsidR="0074369E" w:rsidRPr="001125CE" w:rsidRDefault="0074369E" w:rsidP="00F15BA6">
            <w:pPr>
              <w:pStyle w:val="Tabletext"/>
              <w:jc w:val="center"/>
            </w:pPr>
            <w:r w:rsidRPr="001125CE">
              <w:t>SM.2060-0</w:t>
            </w:r>
            <w:r w:rsidRPr="001125CE">
              <w:br/>
              <w:t>Nueva</w:t>
            </w:r>
          </w:p>
        </w:tc>
        <w:tc>
          <w:tcPr>
            <w:tcW w:w="5816" w:type="dxa"/>
            <w:vAlign w:val="center"/>
          </w:tcPr>
          <w:p w:rsidR="0074369E" w:rsidRPr="001125CE" w:rsidRDefault="0074369E" w:rsidP="002A71F1">
            <w:pPr>
              <w:pStyle w:val="Tabletext"/>
            </w:pPr>
            <w:r w:rsidRPr="001125CE">
              <w:t>Procedimiento de prueba para medir la precisión de la radiogoniometría</w:t>
            </w:r>
          </w:p>
        </w:tc>
        <w:tc>
          <w:tcPr>
            <w:tcW w:w="1752" w:type="dxa"/>
            <w:vAlign w:val="center"/>
          </w:tcPr>
          <w:p w:rsidR="0074369E" w:rsidRPr="001125CE" w:rsidRDefault="0074369E" w:rsidP="00F15BA6">
            <w:pPr>
              <w:pStyle w:val="Tabletext"/>
              <w:jc w:val="center"/>
            </w:pPr>
            <w:r w:rsidRPr="001125CE">
              <w:t>CACE/697</w:t>
            </w:r>
          </w:p>
        </w:tc>
      </w:tr>
      <w:tr w:rsidR="0074369E" w:rsidRPr="001125CE" w:rsidTr="007D1705">
        <w:trPr>
          <w:cantSplit/>
        </w:trPr>
        <w:tc>
          <w:tcPr>
            <w:tcW w:w="2061" w:type="dxa"/>
            <w:vAlign w:val="center"/>
          </w:tcPr>
          <w:p w:rsidR="0074369E" w:rsidRPr="001125CE" w:rsidRDefault="0074369E" w:rsidP="00F15BA6">
            <w:pPr>
              <w:pStyle w:val="Tabletext"/>
              <w:jc w:val="center"/>
            </w:pPr>
            <w:r w:rsidRPr="001125CE">
              <w:t>SM.2061-0</w:t>
            </w:r>
            <w:r w:rsidRPr="001125CE">
              <w:br/>
              <w:t>Nueva</w:t>
            </w:r>
          </w:p>
        </w:tc>
        <w:tc>
          <w:tcPr>
            <w:tcW w:w="5816" w:type="dxa"/>
            <w:vAlign w:val="center"/>
          </w:tcPr>
          <w:p w:rsidR="0074369E" w:rsidRPr="001125CE" w:rsidRDefault="0074369E" w:rsidP="002A71F1">
            <w:pPr>
              <w:pStyle w:val="Tabletext"/>
            </w:pPr>
            <w:r w:rsidRPr="001125CE">
              <w:t>Procedimiento de prueba para medir la inmunidad de los sistemas de radiogoniometría contra la propagación multitrayecto</w:t>
            </w:r>
          </w:p>
        </w:tc>
        <w:tc>
          <w:tcPr>
            <w:tcW w:w="1752" w:type="dxa"/>
            <w:vAlign w:val="center"/>
          </w:tcPr>
          <w:p w:rsidR="0074369E" w:rsidRPr="001125CE" w:rsidRDefault="0074369E" w:rsidP="00F15BA6">
            <w:pPr>
              <w:pStyle w:val="Tabletext"/>
              <w:jc w:val="center"/>
            </w:pPr>
            <w:r w:rsidRPr="001125CE">
              <w:t>CACE/697</w:t>
            </w:r>
          </w:p>
        </w:tc>
      </w:tr>
      <w:tr w:rsidR="0074369E" w:rsidRPr="001125CE" w:rsidTr="007D1705">
        <w:trPr>
          <w:cantSplit/>
        </w:trPr>
        <w:tc>
          <w:tcPr>
            <w:tcW w:w="2061" w:type="dxa"/>
            <w:vAlign w:val="center"/>
          </w:tcPr>
          <w:p w:rsidR="0074369E" w:rsidRPr="001125CE" w:rsidRDefault="0074369E" w:rsidP="00F15BA6">
            <w:pPr>
              <w:pStyle w:val="Tabletext"/>
              <w:jc w:val="center"/>
            </w:pPr>
            <w:r w:rsidRPr="001125CE">
              <w:t>SM.2080-0</w:t>
            </w:r>
            <w:r w:rsidRPr="001125CE">
              <w:br/>
              <w:t>Nueva</w:t>
            </w:r>
          </w:p>
        </w:tc>
        <w:tc>
          <w:tcPr>
            <w:tcW w:w="5816" w:type="dxa"/>
            <w:vAlign w:val="center"/>
          </w:tcPr>
          <w:p w:rsidR="0074369E" w:rsidRPr="001125CE" w:rsidRDefault="0074369E" w:rsidP="002A71F1">
            <w:pPr>
              <w:pStyle w:val="Tabletext"/>
            </w:pPr>
            <w:r w:rsidRPr="001125CE">
              <w:t>Exactitud de la información horaria en los datos a la salida de los receptores de comprobación técnica</w:t>
            </w:r>
          </w:p>
        </w:tc>
        <w:tc>
          <w:tcPr>
            <w:tcW w:w="1752" w:type="dxa"/>
            <w:vAlign w:val="center"/>
          </w:tcPr>
          <w:p w:rsidR="0074369E" w:rsidRPr="001125CE" w:rsidRDefault="0074369E" w:rsidP="00F15BA6">
            <w:pPr>
              <w:pStyle w:val="Tabletext"/>
              <w:jc w:val="center"/>
            </w:pPr>
            <w:r w:rsidRPr="001125CE">
              <w:t>CACE/750</w:t>
            </w:r>
          </w:p>
        </w:tc>
      </w:tr>
    </w:tbl>
    <w:p w:rsidR="0074369E" w:rsidRPr="001125CE" w:rsidRDefault="0074369E" w:rsidP="0074369E">
      <w:pPr>
        <w:rPr>
          <w:sz w:val="16"/>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7"/>
        <w:gridCol w:w="7632"/>
      </w:tblGrid>
      <w:tr w:rsidR="0074369E" w:rsidRPr="001125CE" w:rsidTr="00EF1E34">
        <w:trPr>
          <w:cantSplit/>
          <w:tblHeader/>
        </w:trPr>
        <w:tc>
          <w:tcPr>
            <w:tcW w:w="1997" w:type="dxa"/>
            <w:vAlign w:val="center"/>
          </w:tcPr>
          <w:p w:rsidR="0074369E" w:rsidRPr="001125CE" w:rsidRDefault="0074369E" w:rsidP="00F15BA6">
            <w:pPr>
              <w:pStyle w:val="Tablehead"/>
            </w:pPr>
            <w:r w:rsidRPr="001125CE">
              <w:t>Informe y acción</w:t>
            </w:r>
          </w:p>
        </w:tc>
        <w:tc>
          <w:tcPr>
            <w:tcW w:w="7632" w:type="dxa"/>
            <w:vAlign w:val="center"/>
          </w:tcPr>
          <w:p w:rsidR="0074369E" w:rsidRPr="001125CE" w:rsidRDefault="0074369E" w:rsidP="00F15BA6">
            <w:pPr>
              <w:pStyle w:val="Tablehead"/>
            </w:pPr>
            <w:r w:rsidRPr="001125CE">
              <w:t>Título</w:t>
            </w:r>
          </w:p>
        </w:tc>
      </w:tr>
      <w:tr w:rsidR="0074369E" w:rsidRPr="001125CE" w:rsidTr="002A71F1">
        <w:tc>
          <w:tcPr>
            <w:tcW w:w="1997" w:type="dxa"/>
          </w:tcPr>
          <w:p w:rsidR="0074369E" w:rsidRPr="001125CE" w:rsidRDefault="0074369E" w:rsidP="00F15BA6">
            <w:pPr>
              <w:pStyle w:val="Tabletext"/>
              <w:jc w:val="center"/>
            </w:pPr>
            <w:r w:rsidRPr="001125CE">
              <w:t>SM.2056-1</w:t>
            </w:r>
            <w:r w:rsidRPr="001125CE">
              <w:br/>
              <w:t>Revisado</w:t>
            </w:r>
          </w:p>
        </w:tc>
        <w:tc>
          <w:tcPr>
            <w:tcW w:w="7632" w:type="dxa"/>
            <w:vAlign w:val="center"/>
          </w:tcPr>
          <w:p w:rsidR="0074369E" w:rsidRPr="001125CE" w:rsidRDefault="0074369E" w:rsidP="00F15BA6">
            <w:pPr>
              <w:pStyle w:val="Tabletext"/>
              <w:rPr>
                <w:iCs/>
              </w:rPr>
            </w:pPr>
            <w:r w:rsidRPr="001125CE">
              <w:rPr>
                <w:iCs/>
              </w:rPr>
              <w:t>Verificación con aeronave de los diagramas de antena de las estaciones de radiodifusión</w:t>
            </w:r>
          </w:p>
        </w:tc>
      </w:tr>
      <w:tr w:rsidR="0074369E" w:rsidRPr="001125CE" w:rsidTr="002A71F1">
        <w:tc>
          <w:tcPr>
            <w:tcW w:w="1997" w:type="dxa"/>
          </w:tcPr>
          <w:p w:rsidR="0074369E" w:rsidRPr="001125CE" w:rsidRDefault="0074369E" w:rsidP="00F15BA6">
            <w:pPr>
              <w:pStyle w:val="Tabletext"/>
              <w:jc w:val="center"/>
            </w:pPr>
            <w:r w:rsidRPr="001125CE">
              <w:t>SM.2211-1</w:t>
            </w:r>
            <w:r w:rsidRPr="001125CE">
              <w:br/>
              <w:t>Revisado</w:t>
            </w:r>
          </w:p>
        </w:tc>
        <w:tc>
          <w:tcPr>
            <w:tcW w:w="7632" w:type="dxa"/>
            <w:vAlign w:val="center"/>
          </w:tcPr>
          <w:p w:rsidR="0074369E" w:rsidRPr="001125CE" w:rsidRDefault="0074369E" w:rsidP="00F15BA6">
            <w:pPr>
              <w:pStyle w:val="Tabletext"/>
              <w:rPr>
                <w:iCs/>
              </w:rPr>
            </w:pPr>
            <w:r w:rsidRPr="001125CE">
              <w:rPr>
                <w:iCs/>
              </w:rPr>
              <w:t>Comparación entre los métodos de Diferencia de Tiempo de Llegada y Diferencia de Ángulo de Llegada para la geolocalización de señales</w:t>
            </w:r>
          </w:p>
        </w:tc>
      </w:tr>
      <w:tr w:rsidR="0074369E" w:rsidRPr="001125CE" w:rsidTr="002A71F1">
        <w:tc>
          <w:tcPr>
            <w:tcW w:w="1997" w:type="dxa"/>
            <w:vAlign w:val="center"/>
          </w:tcPr>
          <w:p w:rsidR="0074369E" w:rsidRPr="001125CE" w:rsidRDefault="0074369E" w:rsidP="00F15BA6">
            <w:pPr>
              <w:pStyle w:val="Tabletext"/>
              <w:jc w:val="center"/>
            </w:pPr>
            <w:r w:rsidRPr="001125CE">
              <w:t>SM.2256-0</w:t>
            </w:r>
            <w:r w:rsidRPr="001125CE">
              <w:br/>
              <w:t>Nuevo</w:t>
            </w:r>
          </w:p>
        </w:tc>
        <w:tc>
          <w:tcPr>
            <w:tcW w:w="7632" w:type="dxa"/>
            <w:vAlign w:val="center"/>
          </w:tcPr>
          <w:p w:rsidR="0074369E" w:rsidRPr="001125CE" w:rsidRDefault="0074369E" w:rsidP="00F15BA6">
            <w:pPr>
              <w:pStyle w:val="Tabletext"/>
              <w:rPr>
                <w:iCs/>
              </w:rPr>
            </w:pPr>
            <w:r w:rsidRPr="001125CE">
              <w:rPr>
                <w:iCs/>
              </w:rPr>
              <w:t>Medición y evaluación de la ocupación del espectro</w:t>
            </w:r>
          </w:p>
        </w:tc>
      </w:tr>
      <w:tr w:rsidR="0074369E" w:rsidRPr="001125CE" w:rsidTr="002A71F1">
        <w:tc>
          <w:tcPr>
            <w:tcW w:w="1997" w:type="dxa"/>
            <w:vAlign w:val="center"/>
          </w:tcPr>
          <w:p w:rsidR="0074369E" w:rsidRPr="001125CE" w:rsidRDefault="0074369E" w:rsidP="00F15BA6">
            <w:pPr>
              <w:pStyle w:val="Tabletext"/>
              <w:jc w:val="center"/>
            </w:pPr>
            <w:r w:rsidRPr="001125CE">
              <w:t>SM.2257-3</w:t>
            </w:r>
            <w:r w:rsidRPr="001125CE">
              <w:rPr>
                <w:rStyle w:val="Hyperlink"/>
                <w:rFonts w:asciiTheme="majorBidi" w:hAnsiTheme="majorBidi" w:cstheme="majorBidi"/>
              </w:rPr>
              <w:br/>
            </w:r>
            <w:r w:rsidRPr="001125CE">
              <w:t>Nuevo y revisado en tres ocasiones</w:t>
            </w:r>
          </w:p>
        </w:tc>
        <w:tc>
          <w:tcPr>
            <w:tcW w:w="7632" w:type="dxa"/>
            <w:vAlign w:val="center"/>
          </w:tcPr>
          <w:p w:rsidR="0074369E" w:rsidRPr="001125CE" w:rsidRDefault="0074369E" w:rsidP="00F15BA6">
            <w:pPr>
              <w:pStyle w:val="Tabletext"/>
              <w:rPr>
                <w:iCs/>
              </w:rPr>
            </w:pPr>
            <w:r w:rsidRPr="001125CE">
              <w:rPr>
                <w:iCs/>
              </w:rPr>
              <w:t>Gestión y comprobación técnica del espectro durante grandes eventos</w:t>
            </w:r>
          </w:p>
        </w:tc>
      </w:tr>
      <w:tr w:rsidR="0074369E" w:rsidRPr="001125CE" w:rsidTr="002A71F1">
        <w:tc>
          <w:tcPr>
            <w:tcW w:w="1997" w:type="dxa"/>
            <w:vAlign w:val="center"/>
          </w:tcPr>
          <w:p w:rsidR="0074369E" w:rsidRPr="001125CE" w:rsidRDefault="0074369E" w:rsidP="00F15BA6">
            <w:pPr>
              <w:pStyle w:val="Tabletext"/>
              <w:jc w:val="center"/>
            </w:pPr>
            <w:r w:rsidRPr="001125CE">
              <w:t>SM.2258-0</w:t>
            </w:r>
            <w:r w:rsidRPr="001125CE">
              <w:br/>
              <w:t>Nuevo</w:t>
            </w:r>
          </w:p>
        </w:tc>
        <w:tc>
          <w:tcPr>
            <w:tcW w:w="7632" w:type="dxa"/>
            <w:vAlign w:val="center"/>
          </w:tcPr>
          <w:p w:rsidR="0074369E" w:rsidRPr="001125CE" w:rsidRDefault="0074369E" w:rsidP="00F15BA6">
            <w:pPr>
              <w:pStyle w:val="Tabletext"/>
              <w:rPr>
                <w:iCs/>
              </w:rPr>
            </w:pPr>
            <w:r w:rsidRPr="001125CE">
              <w:rPr>
                <w:iCs/>
              </w:rPr>
              <w:t>Visión general de la detección y geolocalización de fuentes de interferencia que afectan a la banda 406,0-406,1 MHz utilizada por las radiobalizas de emergencia</w:t>
            </w:r>
          </w:p>
        </w:tc>
      </w:tr>
      <w:tr w:rsidR="0074369E" w:rsidRPr="001125CE" w:rsidTr="002A71F1">
        <w:tc>
          <w:tcPr>
            <w:tcW w:w="1997" w:type="dxa"/>
            <w:vAlign w:val="center"/>
          </w:tcPr>
          <w:p w:rsidR="0074369E" w:rsidRPr="001125CE" w:rsidRDefault="0074369E" w:rsidP="00F15BA6">
            <w:pPr>
              <w:pStyle w:val="Tabletext"/>
              <w:jc w:val="center"/>
            </w:pPr>
            <w:r w:rsidRPr="001125CE">
              <w:t>SM.2270-0</w:t>
            </w:r>
            <w:r w:rsidRPr="001125CE">
              <w:rPr>
                <w:rStyle w:val="Hyperlink"/>
                <w:rFonts w:asciiTheme="majorBidi" w:hAnsiTheme="majorBidi" w:cstheme="majorBidi"/>
              </w:rPr>
              <w:br/>
            </w:r>
            <w:r w:rsidRPr="001125CE">
              <w:t>Nuevo</w:t>
            </w:r>
          </w:p>
        </w:tc>
        <w:tc>
          <w:tcPr>
            <w:tcW w:w="7632" w:type="dxa"/>
            <w:vAlign w:val="center"/>
          </w:tcPr>
          <w:p w:rsidR="0074369E" w:rsidRPr="001125CE" w:rsidRDefault="0074369E" w:rsidP="00F15BA6">
            <w:pPr>
              <w:pStyle w:val="Tabletext"/>
              <w:rPr>
                <w:iCs/>
              </w:rPr>
            </w:pPr>
            <w:r w:rsidRPr="001125CE">
              <w:rPr>
                <w:iCs/>
              </w:rPr>
              <w:t>Tecnología de visualización de la fuente radioeléctrica para la comprobación técnica del espectro</w:t>
            </w:r>
          </w:p>
        </w:tc>
      </w:tr>
      <w:tr w:rsidR="0074369E" w:rsidRPr="001125CE" w:rsidTr="002A71F1">
        <w:tc>
          <w:tcPr>
            <w:tcW w:w="1997" w:type="dxa"/>
            <w:vAlign w:val="center"/>
          </w:tcPr>
          <w:p w:rsidR="0074369E" w:rsidRPr="001125CE" w:rsidRDefault="0074369E" w:rsidP="00F15BA6">
            <w:pPr>
              <w:pStyle w:val="Tabletext"/>
              <w:jc w:val="center"/>
            </w:pPr>
            <w:r w:rsidRPr="001125CE">
              <w:t>SM.2304-0</w:t>
            </w:r>
            <w:r w:rsidRPr="001125CE">
              <w:rPr>
                <w:rStyle w:val="Hyperlink"/>
                <w:rFonts w:asciiTheme="majorBidi" w:hAnsiTheme="majorBidi" w:cstheme="majorBidi"/>
              </w:rPr>
              <w:br/>
            </w:r>
            <w:r w:rsidRPr="001125CE">
              <w:t>Nuevo</w:t>
            </w:r>
          </w:p>
        </w:tc>
        <w:tc>
          <w:tcPr>
            <w:tcW w:w="7632" w:type="dxa"/>
            <w:vAlign w:val="center"/>
          </w:tcPr>
          <w:p w:rsidR="0074369E" w:rsidRPr="001125CE" w:rsidRDefault="0074369E" w:rsidP="00F15BA6">
            <w:pPr>
              <w:pStyle w:val="Tabletext"/>
              <w:rPr>
                <w:iCs/>
              </w:rPr>
            </w:pPr>
            <w:r w:rsidRPr="001125CE">
              <w:rPr>
                <w:iCs/>
              </w:rPr>
              <w:t>Aplicación de la identificación técnica y el análisis de señales digitales específicas</w:t>
            </w:r>
          </w:p>
        </w:tc>
      </w:tr>
      <w:tr w:rsidR="0074369E" w:rsidRPr="001125CE" w:rsidTr="002A71F1">
        <w:tc>
          <w:tcPr>
            <w:tcW w:w="1997" w:type="dxa"/>
            <w:vAlign w:val="center"/>
          </w:tcPr>
          <w:p w:rsidR="0074369E" w:rsidRPr="001125CE" w:rsidRDefault="0074369E" w:rsidP="00F15BA6">
            <w:pPr>
              <w:pStyle w:val="Tabletext"/>
              <w:jc w:val="center"/>
            </w:pPr>
            <w:r w:rsidRPr="001125CE">
              <w:t>SM.2354-0</w:t>
            </w:r>
            <w:r w:rsidRPr="001125CE">
              <w:rPr>
                <w:rStyle w:val="Hyperlink"/>
                <w:rFonts w:asciiTheme="majorBidi" w:hAnsiTheme="majorBidi" w:cstheme="majorBidi"/>
              </w:rPr>
              <w:t xml:space="preserve"> </w:t>
            </w:r>
            <w:r w:rsidRPr="001125CE">
              <w:rPr>
                <w:rStyle w:val="Hyperlink"/>
                <w:rFonts w:asciiTheme="majorBidi" w:hAnsiTheme="majorBidi" w:cstheme="majorBidi"/>
              </w:rPr>
              <w:br/>
            </w:r>
            <w:r w:rsidRPr="001125CE">
              <w:t>Nuevo</w:t>
            </w:r>
          </w:p>
        </w:tc>
        <w:tc>
          <w:tcPr>
            <w:tcW w:w="7632" w:type="dxa"/>
            <w:vAlign w:val="center"/>
          </w:tcPr>
          <w:p w:rsidR="0074369E" w:rsidRPr="001125CE" w:rsidRDefault="0074369E" w:rsidP="00F15BA6">
            <w:pPr>
              <w:pStyle w:val="Tabletext"/>
              <w:rPr>
                <w:iCs/>
              </w:rPr>
            </w:pPr>
            <w:r w:rsidRPr="001125CE">
              <w:rPr>
                <w:iCs/>
              </w:rPr>
              <w:t>Procedimiento de prueba alternativo para medir la exactitud e inmunidad de los sistemas de radiogoniometría mediante un simulador</w:t>
            </w:r>
          </w:p>
        </w:tc>
      </w:tr>
      <w:tr w:rsidR="0074369E" w:rsidRPr="001125CE" w:rsidTr="002A71F1">
        <w:tc>
          <w:tcPr>
            <w:tcW w:w="1997" w:type="dxa"/>
            <w:vAlign w:val="center"/>
          </w:tcPr>
          <w:p w:rsidR="0074369E" w:rsidRPr="001125CE" w:rsidRDefault="0074369E" w:rsidP="00F15BA6">
            <w:pPr>
              <w:pStyle w:val="Tabletext"/>
              <w:jc w:val="center"/>
            </w:pPr>
            <w:r w:rsidRPr="001125CE">
              <w:t>SM.2355-0</w:t>
            </w:r>
            <w:r w:rsidRPr="001125CE">
              <w:rPr>
                <w:rStyle w:val="Hyperlink"/>
                <w:rFonts w:asciiTheme="majorBidi" w:hAnsiTheme="majorBidi" w:cstheme="majorBidi"/>
              </w:rPr>
              <w:t xml:space="preserve"> </w:t>
            </w:r>
            <w:r w:rsidRPr="001125CE">
              <w:rPr>
                <w:rStyle w:val="Hyperlink"/>
                <w:rFonts w:asciiTheme="majorBidi" w:hAnsiTheme="majorBidi" w:cstheme="majorBidi"/>
              </w:rPr>
              <w:br/>
            </w:r>
            <w:r w:rsidRPr="001125CE">
              <w:t>Nuevo</w:t>
            </w:r>
          </w:p>
        </w:tc>
        <w:tc>
          <w:tcPr>
            <w:tcW w:w="7632" w:type="dxa"/>
            <w:vAlign w:val="center"/>
          </w:tcPr>
          <w:p w:rsidR="0074369E" w:rsidRPr="001125CE" w:rsidRDefault="0074369E" w:rsidP="00F15BA6">
            <w:pPr>
              <w:pStyle w:val="Tabletext"/>
              <w:rPr>
                <w:iCs/>
              </w:rPr>
            </w:pPr>
            <w:r w:rsidRPr="001125CE">
              <w:rPr>
                <w:iCs/>
              </w:rPr>
              <w:t>Evolución de la comprobación técnica del espectro</w:t>
            </w:r>
          </w:p>
        </w:tc>
      </w:tr>
      <w:tr w:rsidR="0074369E" w:rsidRPr="001125CE" w:rsidTr="002A71F1">
        <w:tc>
          <w:tcPr>
            <w:tcW w:w="1997" w:type="dxa"/>
            <w:vAlign w:val="center"/>
          </w:tcPr>
          <w:p w:rsidR="0074369E" w:rsidRPr="001125CE" w:rsidRDefault="0074369E" w:rsidP="00F15BA6">
            <w:pPr>
              <w:pStyle w:val="Tabletext"/>
              <w:jc w:val="center"/>
            </w:pPr>
            <w:r w:rsidRPr="001125CE">
              <w:t>SM.2356-0</w:t>
            </w:r>
            <w:r w:rsidRPr="001125CE">
              <w:rPr>
                <w:rStyle w:val="Hyperlink"/>
                <w:rFonts w:asciiTheme="majorBidi" w:hAnsiTheme="majorBidi" w:cstheme="majorBidi"/>
              </w:rPr>
              <w:br/>
            </w:r>
            <w:r w:rsidRPr="001125CE">
              <w:t>Nuevo</w:t>
            </w:r>
          </w:p>
        </w:tc>
        <w:tc>
          <w:tcPr>
            <w:tcW w:w="7632" w:type="dxa"/>
            <w:vAlign w:val="center"/>
          </w:tcPr>
          <w:p w:rsidR="0074369E" w:rsidRPr="001125CE" w:rsidRDefault="0074369E" w:rsidP="00F15BA6">
            <w:pPr>
              <w:pStyle w:val="Tabletext"/>
              <w:rPr>
                <w:iCs/>
              </w:rPr>
            </w:pPr>
            <w:r w:rsidRPr="001125CE">
              <w:rPr>
                <w:iCs/>
              </w:rPr>
              <w:t>Procedimientos de planificación y optimización de las redes de comprobación técnica del espectro en la gama de frecuencias de ondas métricas y decimétricas</w:t>
            </w:r>
          </w:p>
        </w:tc>
      </w:tr>
    </w:tbl>
    <w:p w:rsidR="0074369E" w:rsidRPr="001125CE" w:rsidRDefault="0074369E" w:rsidP="0074369E">
      <w:pPr>
        <w:spacing w:before="0"/>
        <w:rPr>
          <w:sz w:val="16"/>
          <w:szCs w:val="12"/>
        </w:rPr>
      </w:pPr>
    </w:p>
    <w:p w:rsidR="0074369E" w:rsidRPr="001125CE" w:rsidRDefault="0074369E" w:rsidP="0074369E">
      <w:pPr>
        <w:pStyle w:val="Heading1"/>
      </w:pPr>
      <w:r w:rsidRPr="001125CE">
        <w:t>6</w:t>
      </w:r>
      <w:r w:rsidRPr="001125CE">
        <w:tab/>
        <w:t>Preparativos para la Conferencia Mundial de Radiocomunicaciones de 2015 (CMR-15) y para la segunda sesión de la Reunión Preparatoria de la Conferencia (RPC) para la CMR-15</w:t>
      </w:r>
    </w:p>
    <w:p w:rsidR="0074369E" w:rsidRPr="001125CE" w:rsidRDefault="0074369E" w:rsidP="0074369E">
      <w:r w:rsidRPr="001125CE">
        <w:t xml:space="preserve">De conformidad con el Anexo 1, § 2.2 de la Resolución UIT-R 2-6, la primera sesión de la Reunión Preparatoria de la Conferencia para la CMR-15 (RPC15-1) designó al Grupo de Trabajo 1B como grupo responsable de las cuestiones 9.1.4, 9.1.6 y 9.1.7 relativas al punto 9.1 orden del día de la CMR-15 con objeto de realizar estudios y elaborar proyectos de texto de la RPC en respuesta respectivamente a las Resoluciones </w:t>
      </w:r>
      <w:r w:rsidRPr="001125CE">
        <w:rPr>
          <w:b/>
          <w:bCs/>
        </w:rPr>
        <w:t>67 (CMR-12)</w:t>
      </w:r>
      <w:r w:rsidRPr="001125CE">
        <w:t xml:space="preserve">, </w:t>
      </w:r>
      <w:r w:rsidRPr="001125CE">
        <w:rPr>
          <w:b/>
          <w:bCs/>
        </w:rPr>
        <w:t>957 (CMR-12)</w:t>
      </w:r>
      <w:r w:rsidRPr="001125CE">
        <w:t xml:space="preserve"> y </w:t>
      </w:r>
      <w:r w:rsidRPr="001125CE">
        <w:rPr>
          <w:b/>
          <w:bCs/>
        </w:rPr>
        <w:t>647 (Rev.CMR</w:t>
      </w:r>
      <w:r w:rsidRPr="001125CE">
        <w:rPr>
          <w:b/>
          <w:bCs/>
        </w:rPr>
        <w:noBreakHyphen/>
        <w:t>12)</w:t>
      </w:r>
      <w:r w:rsidRPr="001125CE">
        <w:t>.</w:t>
      </w:r>
    </w:p>
    <w:p w:rsidR="0074369E" w:rsidRPr="001125CE" w:rsidRDefault="0074369E" w:rsidP="0074369E">
      <w:r w:rsidRPr="001125CE">
        <w:t>El GT 1B examinó estas cuestiones y elaboró los proyectos de texto de la RPC antes del plazo fijado, los cuales se incorporaron al proyecto de Informe de la RPC. Esos textos se examinaron durante la segunda sesión de la RPC y se incluyeron en el Informe de la RPC a la CMR-15 con algunas modificaciones de las opciones con arreglo a lo establecido en 9.1.7.</w:t>
      </w:r>
    </w:p>
    <w:p w:rsidR="0074369E" w:rsidRPr="001125CE" w:rsidRDefault="0074369E" w:rsidP="00FE06D0">
      <w:pPr>
        <w:pStyle w:val="Heading1"/>
      </w:pPr>
      <w:r w:rsidRPr="001125CE">
        <w:t>7</w:t>
      </w:r>
      <w:r w:rsidRPr="001125CE">
        <w:tab/>
        <w:t xml:space="preserve">Manuales UIT–R </w:t>
      </w:r>
    </w:p>
    <w:p w:rsidR="0074369E" w:rsidRPr="001125CE" w:rsidRDefault="0074369E" w:rsidP="00FA0ECC">
      <w:r w:rsidRPr="001125CE">
        <w:t xml:space="preserve">La Comisión de Estudio 1 es responsable de otros tres Manuales, el </w:t>
      </w:r>
      <w:r w:rsidRPr="001125CE">
        <w:rPr>
          <w:i/>
          <w:iCs/>
        </w:rPr>
        <w:t>Manual sobre gestión nacional del espectro,</w:t>
      </w:r>
      <w:r w:rsidRPr="001125CE">
        <w:t xml:space="preserve"> el </w:t>
      </w:r>
      <w:r w:rsidRPr="001125CE">
        <w:rPr>
          <w:i/>
          <w:iCs/>
        </w:rPr>
        <w:t>Manual de técnicas informatizadas para la gestión del espectro y el Manual sobre comprobación técnica del espectro</w:t>
      </w:r>
      <w:r w:rsidRPr="001125CE">
        <w:t>. Durante este per</w:t>
      </w:r>
      <w:r w:rsidR="00FA0ECC">
        <w:t>i</w:t>
      </w:r>
      <w:r w:rsidRPr="001125CE">
        <w:t xml:space="preserve">odo de estudios, los GT 1A y </w:t>
      </w:r>
      <w:r w:rsidR="0082651F">
        <w:t xml:space="preserve">GT </w:t>
      </w:r>
      <w:r w:rsidRPr="001125CE">
        <w:t>1B trabajaron en la revisión de los dos primeros Manuales en estrecha colaboración con el GT 1C.</w:t>
      </w:r>
    </w:p>
    <w:p w:rsidR="0074369E" w:rsidRPr="001125CE" w:rsidRDefault="0074369E" w:rsidP="0074369E">
      <w:pPr>
        <w:pStyle w:val="Heading2"/>
      </w:pPr>
      <w:r w:rsidRPr="001125CE">
        <w:t>7.1</w:t>
      </w:r>
      <w:r w:rsidRPr="001125CE">
        <w:tab/>
        <w:t>Manual sobre Técnicas Informatizadas para la Gestión del Espectro.</w:t>
      </w:r>
    </w:p>
    <w:p w:rsidR="0074369E" w:rsidRPr="001125CE" w:rsidRDefault="0074369E" w:rsidP="0074369E">
      <w:r w:rsidRPr="001125CE">
        <w:t xml:space="preserve">En junio de 2011, el GT 1A estableció un Grupo de </w:t>
      </w:r>
      <w:r w:rsidR="00105FC7" w:rsidRPr="001125CE">
        <w:t xml:space="preserve">Relator </w:t>
      </w:r>
      <w:r w:rsidRPr="001125CE">
        <w:t>para preparar una revisión de la edición de 2005 del Manual sobre Técnicas Informatizadas para la Gestión del Espectro. El trabajo concluyó en la reunión del GT 1A de junio de 2014 y la nueva edición de ese M</w:t>
      </w:r>
      <w:r w:rsidR="008325BB" w:rsidRPr="001125CE">
        <w:t>anual fue aprobada por la CE 1.</w:t>
      </w:r>
    </w:p>
    <w:p w:rsidR="0074369E" w:rsidRPr="001125CE" w:rsidRDefault="0074369E" w:rsidP="0074369E">
      <w:pPr>
        <w:pStyle w:val="Heading2"/>
      </w:pPr>
      <w:r w:rsidRPr="001125CE">
        <w:lastRenderedPageBreak/>
        <w:t>7.2</w:t>
      </w:r>
      <w:r w:rsidRPr="001125CE">
        <w:tab/>
        <w:t>Manual sobre Gestión Nacional del Espectro</w:t>
      </w:r>
    </w:p>
    <w:p w:rsidR="0074369E" w:rsidRPr="001125CE" w:rsidRDefault="0074369E" w:rsidP="007F725B">
      <w:r w:rsidRPr="001125CE">
        <w:t xml:space="preserve">En junio de 2011, el GT 1B </w:t>
      </w:r>
      <w:r w:rsidR="007F725B">
        <w:t>estableció un Grupo por</w:t>
      </w:r>
      <w:r w:rsidRPr="001125CE">
        <w:t xml:space="preserve"> </w:t>
      </w:r>
      <w:r w:rsidR="007F725B" w:rsidRPr="001125CE">
        <w:t xml:space="preserve">Correspondencia </w:t>
      </w:r>
      <w:r w:rsidR="00F82072" w:rsidRPr="001125CE">
        <w:t>que se sustituyó en junio de 201</w:t>
      </w:r>
      <w:r w:rsidRPr="001125CE">
        <w:t xml:space="preserve">2 por un Grupo de </w:t>
      </w:r>
      <w:r w:rsidR="0078053C" w:rsidRPr="001125CE">
        <w:t xml:space="preserve">Relator </w:t>
      </w:r>
      <w:r w:rsidRPr="001125CE">
        <w:t>con objeto de elaborar una revisión de la edición de 2005 del Manual de Gestión Nacional de Espectro. El trabajo concluyó en la reunión del GT 1B de junio de 2014 y la nueva edición de ese M</w:t>
      </w:r>
      <w:r w:rsidR="009A61F5" w:rsidRPr="001125CE">
        <w:t>anual fue aprobada por la CE 1.</w:t>
      </w:r>
    </w:p>
    <w:p w:rsidR="0074369E" w:rsidRPr="001125CE" w:rsidRDefault="0074369E" w:rsidP="0074369E">
      <w:pPr>
        <w:pStyle w:val="Heading2"/>
        <w:rPr>
          <w:b w:val="0"/>
          <w:bCs/>
        </w:rPr>
      </w:pPr>
      <w:r w:rsidRPr="001125CE">
        <w:t>7.3</w:t>
      </w:r>
      <w:r w:rsidRPr="001125CE">
        <w:tab/>
        <w:t>Manual sobre comprobación técnica del espectro</w:t>
      </w:r>
    </w:p>
    <w:p w:rsidR="00F82072" w:rsidRPr="001125CE" w:rsidRDefault="00F82072" w:rsidP="00F82072">
      <w:r w:rsidRPr="001125CE">
        <w:t>La última revisión</w:t>
      </w:r>
      <w:r w:rsidR="009804A6">
        <w:t xml:space="preserve"> </w:t>
      </w:r>
      <w:r w:rsidRPr="001125CE">
        <w:t>del Manual sobre comprobación técnica del espectro se aprobó en 2010 y sigue en vigor.</w:t>
      </w:r>
    </w:p>
    <w:p w:rsidR="0074369E" w:rsidRPr="001125CE" w:rsidRDefault="0074369E" w:rsidP="0074369E">
      <w:pPr>
        <w:pStyle w:val="Heading1"/>
      </w:pPr>
      <w:r w:rsidRPr="001125CE">
        <w:t>8</w:t>
      </w:r>
      <w:r w:rsidRPr="001125CE">
        <w:tab/>
        <w:t>Talleres de la UIT organizados por la Comisión de Estudio 1</w:t>
      </w:r>
    </w:p>
    <w:p w:rsidR="0074369E" w:rsidRPr="00443078" w:rsidRDefault="0074369E" w:rsidP="00443078">
      <w:pPr>
        <w:pStyle w:val="Headingi"/>
        <w:ind w:left="1134" w:hanging="1134"/>
        <w:rPr>
          <w:lang w:val="en-US"/>
        </w:rPr>
      </w:pPr>
      <w:r w:rsidRPr="00443078">
        <w:rPr>
          <w:lang w:val="en-US"/>
        </w:rPr>
        <w:t>•</w:t>
      </w:r>
      <w:r w:rsidRPr="00443078">
        <w:rPr>
          <w:lang w:val="en-US"/>
        </w:rPr>
        <w:tab/>
        <w:t>Taller de la UIT: Cuestiones sobre la gestión del espectro para la utilización de espacios blancos por sistemas de radiocomunicaciones cognitivos (Ginebra, 20 de enero de 2014)</w:t>
      </w:r>
    </w:p>
    <w:p w:rsidR="0074369E" w:rsidRPr="001125CE" w:rsidRDefault="0074369E" w:rsidP="00C95524">
      <w:pPr>
        <w:tabs>
          <w:tab w:val="clear" w:pos="1134"/>
          <w:tab w:val="clear" w:pos="1871"/>
          <w:tab w:val="clear" w:pos="2268"/>
        </w:tabs>
        <w:overflowPunct/>
        <w:autoSpaceDE/>
        <w:autoSpaceDN/>
        <w:adjustRightInd/>
        <w:jc w:val="both"/>
        <w:textAlignment w:val="auto"/>
        <w:rPr>
          <w:szCs w:val="24"/>
          <w:lang w:eastAsia="ru-RU"/>
        </w:rPr>
      </w:pPr>
      <w:r w:rsidRPr="001125CE">
        <w:rPr>
          <w:szCs w:val="24"/>
          <w:lang w:eastAsia="ru-RU"/>
        </w:rPr>
        <w:t xml:space="preserve">El objetivo del </w:t>
      </w:r>
      <w:r w:rsidR="007C7C3C" w:rsidRPr="001125CE">
        <w:rPr>
          <w:szCs w:val="24"/>
          <w:lang w:eastAsia="ru-RU"/>
        </w:rPr>
        <w:t xml:space="preserve">Taller </w:t>
      </w:r>
      <w:r w:rsidRPr="001125CE">
        <w:rPr>
          <w:szCs w:val="24"/>
          <w:lang w:eastAsia="ru-RU"/>
        </w:rPr>
        <w:t xml:space="preserve">fue proporcionar una visión de alto nivel sobre cuestiones relativas a la gestión del espectro para la utilización de espacios en blanco por sistemas de radiocomunicaciones cognitivos en las radiocomunicaciones, a raíz de los resultados de la AR-12 y CMR-12 (punto 1.19 del orden del día), en particular la aprobación de la Recomendación 76 (CMR-12) y la Resolución UIT-R 58. El </w:t>
      </w:r>
      <w:r w:rsidR="009A410C" w:rsidRPr="001125CE">
        <w:rPr>
          <w:szCs w:val="24"/>
          <w:lang w:eastAsia="ru-RU"/>
        </w:rPr>
        <w:t xml:space="preserve">Taller </w:t>
      </w:r>
      <w:r w:rsidRPr="001125CE">
        <w:rPr>
          <w:szCs w:val="24"/>
          <w:lang w:eastAsia="ru-RU"/>
        </w:rPr>
        <w:t xml:space="preserve">incluyó un resumen de los estudios conexos en curso del UIT-R y presentaciones sobre las posibles cuestiones que figuran en el programa (creación y responsabilidad o mantenimiento de la base de datos sobre espectro y </w:t>
      </w:r>
      <w:r w:rsidR="00294C58">
        <w:rPr>
          <w:szCs w:val="24"/>
          <w:lang w:eastAsia="ru-RU"/>
        </w:rPr>
        <w:t>geo</w:t>
      </w:r>
      <w:r w:rsidRPr="001125CE">
        <w:rPr>
          <w:szCs w:val="24"/>
          <w:lang w:eastAsia="ru-RU"/>
        </w:rPr>
        <w:t xml:space="preserve">ubicación para la utilización de dispositivos que usan espacios en blanco; </w:t>
      </w:r>
      <w:r w:rsidR="003B7EBB">
        <w:rPr>
          <w:szCs w:val="24"/>
          <w:lang w:eastAsia="ru-RU"/>
        </w:rPr>
        <w:t xml:space="preserve">ii) </w:t>
      </w:r>
      <w:r w:rsidRPr="001125CE">
        <w:rPr>
          <w:szCs w:val="24"/>
          <w:lang w:eastAsia="ru-RU"/>
        </w:rPr>
        <w:t xml:space="preserve">régimen de concesión de licencias y autorizaciones de red en relación con los espacios en blanco; iii) protección de los servicios de radiocomunicaciones existentes; iv) coordinación en las zonas fronterizas; v) aspectos económicos o interés comercial, etc.). También se proporcionó información sobre estudios de caso y experimentos o ensayos, en particular en relación con determinados aspectos reglamentarios conexos y actividades regionales, lo cual dio lugar a un fructífero debate mediante el intercambio de ideas y puntos de vista. Puede ampliarse información sobre este </w:t>
      </w:r>
      <w:r w:rsidR="0014624D" w:rsidRPr="001125CE">
        <w:rPr>
          <w:szCs w:val="24"/>
          <w:lang w:eastAsia="ru-RU"/>
        </w:rPr>
        <w:t xml:space="preserve">Taller </w:t>
      </w:r>
      <w:r w:rsidRPr="001125CE">
        <w:rPr>
          <w:szCs w:val="24"/>
          <w:lang w:eastAsia="ru-RU"/>
        </w:rPr>
        <w:t>en la dirección web:</w:t>
      </w:r>
      <w:r w:rsidR="00C2730C" w:rsidRPr="001125CE">
        <w:rPr>
          <w:szCs w:val="24"/>
          <w:lang w:eastAsia="ru-RU"/>
        </w:rPr>
        <w:t xml:space="preserve"> </w:t>
      </w:r>
      <w:hyperlink r:id="rId19" w:history="1">
        <w:r w:rsidR="00C2730C" w:rsidRPr="001125CE">
          <w:rPr>
            <w:rStyle w:val="Hyperlink"/>
          </w:rPr>
          <w:t>www.itu.int/go/ITU-R/RWP1B-SMWSCRS-14</w:t>
        </w:r>
      </w:hyperlink>
      <w:r w:rsidRPr="001125CE">
        <w:rPr>
          <w:szCs w:val="24"/>
          <w:lang w:eastAsia="ru-RU"/>
        </w:rPr>
        <w:t xml:space="preserve">. Este </w:t>
      </w:r>
      <w:r w:rsidR="0014624D" w:rsidRPr="001125CE">
        <w:rPr>
          <w:szCs w:val="24"/>
          <w:lang w:eastAsia="ru-RU"/>
        </w:rPr>
        <w:t xml:space="preserve">Taller </w:t>
      </w:r>
      <w:r w:rsidRPr="001125CE">
        <w:rPr>
          <w:szCs w:val="24"/>
          <w:lang w:eastAsia="ru-RU"/>
        </w:rPr>
        <w:t xml:space="preserve">facilitó un debate abierto sobre los temas anteriormente mencionados, así como un intercambio fluido de ideas, opiniones y propuestas de medidas futuras. En el Documento </w:t>
      </w:r>
      <w:hyperlink r:id="rId20" w:history="1">
        <w:r w:rsidR="00C95524" w:rsidRPr="001125CE">
          <w:rPr>
            <w:rStyle w:val="Hyperlink"/>
          </w:rPr>
          <w:t>1/INFO/4</w:t>
        </w:r>
      </w:hyperlink>
      <w:r w:rsidR="00C95524" w:rsidRPr="001125CE">
        <w:rPr>
          <w:szCs w:val="24"/>
          <w:lang w:eastAsia="ru-RU"/>
        </w:rPr>
        <w:t xml:space="preserve"> </w:t>
      </w:r>
      <w:r w:rsidRPr="001125CE">
        <w:rPr>
          <w:szCs w:val="24"/>
          <w:lang w:eastAsia="ru-RU"/>
        </w:rPr>
        <w:t>se proporciona el resumen pertinente.</w:t>
      </w:r>
    </w:p>
    <w:p w:rsidR="0074369E" w:rsidRPr="008B61AF" w:rsidRDefault="0074369E" w:rsidP="008B61AF">
      <w:pPr>
        <w:pStyle w:val="Headingi"/>
        <w:ind w:left="1134" w:hanging="1134"/>
        <w:rPr>
          <w:lang w:val="en-US"/>
        </w:rPr>
      </w:pPr>
      <w:r w:rsidRPr="008B61AF">
        <w:rPr>
          <w:lang w:val="en-US"/>
        </w:rPr>
        <w:t>•</w:t>
      </w:r>
      <w:r w:rsidRPr="008B61AF">
        <w:rPr>
          <w:lang w:val="en-US"/>
        </w:rPr>
        <w:tab/>
        <w:t>Taller de la UIT sobre dispositivos de corto alcance y dispositivos de banda ultraancha (3 de junio de 2014)</w:t>
      </w:r>
    </w:p>
    <w:p w:rsidR="0074369E" w:rsidRPr="001125CE" w:rsidRDefault="0074369E" w:rsidP="00C2730C">
      <w:pPr>
        <w:tabs>
          <w:tab w:val="clear" w:pos="1134"/>
          <w:tab w:val="clear" w:pos="1871"/>
          <w:tab w:val="clear" w:pos="2268"/>
        </w:tabs>
        <w:overflowPunct/>
        <w:autoSpaceDE/>
        <w:autoSpaceDN/>
        <w:adjustRightInd/>
        <w:jc w:val="both"/>
        <w:textAlignment w:val="auto"/>
        <w:rPr>
          <w:szCs w:val="24"/>
          <w:lang w:eastAsia="ru-RU"/>
        </w:rPr>
      </w:pPr>
      <w:r w:rsidRPr="001125CE">
        <w:rPr>
          <w:szCs w:val="24"/>
          <w:lang w:eastAsia="ru-RU"/>
        </w:rPr>
        <w:t xml:space="preserve">Habida cuenta de que es imprescindible armonizar la utilización del espectro para maximizar el beneficio y la eficiencia en la adopción de dispositivos de radiocomunicaciones de corto alcance (RCA) a nivel mundial a tenor del enorme crecimiento y la proliferación transfronteriza de los RCA, en particular la adopción internacional de la banda ultraancha, con miras a alentar la implantación plena y organizada de las tecnologías más modernas disponibles, el </w:t>
      </w:r>
      <w:r w:rsidR="0014624D" w:rsidRPr="001125CE">
        <w:rPr>
          <w:szCs w:val="24"/>
          <w:lang w:eastAsia="ru-RU"/>
        </w:rPr>
        <w:t xml:space="preserve">Taller </w:t>
      </w:r>
      <w:r w:rsidRPr="001125CE">
        <w:rPr>
          <w:szCs w:val="24"/>
          <w:lang w:eastAsia="ru-RU"/>
        </w:rPr>
        <w:t xml:space="preserve">tuvo como objetivo determinar las zonas del espectro que pueden armonizarse a nivel mundial o regional para facilitar la adopción internacional de aplicaciones RCA y sus tecnologías conexas. El </w:t>
      </w:r>
      <w:r w:rsidR="0014624D" w:rsidRPr="001125CE">
        <w:rPr>
          <w:szCs w:val="24"/>
          <w:lang w:eastAsia="ru-RU"/>
        </w:rPr>
        <w:t xml:space="preserve">Taller </w:t>
      </w:r>
      <w:r w:rsidRPr="001125CE">
        <w:rPr>
          <w:szCs w:val="24"/>
          <w:lang w:eastAsia="ru-RU"/>
        </w:rPr>
        <w:t xml:space="preserve">comprendió una breve presentación del marco del UIT-R relativo a los estudios de estos temas (en particular la Resolución UIT-R 54-1), el análisis de la situación de la armonización de RCA en todo el mundo y de la situación de los estudios del UIT-R, así como algunos ejemplos de RCA específicos objeto de armonización regional o internacional, y los avances y estudios más recientes sobre UWB y RFID. La información presentada en el </w:t>
      </w:r>
      <w:r w:rsidR="0014624D" w:rsidRPr="001125CE">
        <w:rPr>
          <w:szCs w:val="24"/>
          <w:lang w:eastAsia="ru-RU"/>
        </w:rPr>
        <w:t>Taller</w:t>
      </w:r>
      <w:r w:rsidRPr="001125CE">
        <w:rPr>
          <w:szCs w:val="24"/>
          <w:lang w:eastAsia="ru-RU"/>
        </w:rPr>
        <w:t xml:space="preserve">, así como las opiniones, observaciones, medidas prescriptivas y propuestas formuladas en un fructífero debate se examinaron ulteriormente en el marco del GT 1B. </w:t>
      </w:r>
      <w:r w:rsidRPr="001125CE">
        <w:rPr>
          <w:szCs w:val="24"/>
          <w:lang w:eastAsia="ru-RU"/>
        </w:rPr>
        <w:lastRenderedPageBreak/>
        <w:t xml:space="preserve">Puede ampliarse información sobre este </w:t>
      </w:r>
      <w:r w:rsidR="0014624D" w:rsidRPr="001125CE">
        <w:rPr>
          <w:szCs w:val="24"/>
          <w:lang w:eastAsia="ru-RU"/>
        </w:rPr>
        <w:t xml:space="preserve">Taller </w:t>
      </w:r>
      <w:r w:rsidRPr="001125CE">
        <w:rPr>
          <w:szCs w:val="24"/>
          <w:lang w:eastAsia="ru-RU"/>
        </w:rPr>
        <w:t xml:space="preserve">en la dirección web: </w:t>
      </w:r>
      <w:hyperlink r:id="rId21" w:history="1">
        <w:r w:rsidR="00C2730C" w:rsidRPr="001125CE">
          <w:rPr>
            <w:rStyle w:val="Hyperlink"/>
            <w:szCs w:val="24"/>
            <w:lang w:eastAsia="ru-RU"/>
          </w:rPr>
          <w:t>www.itu.int/go/ITU-R/RWP1B-SRD-UWB-14</w:t>
        </w:r>
      </w:hyperlink>
      <w:r w:rsidR="00C2730C" w:rsidRPr="001125CE">
        <w:rPr>
          <w:lang w:eastAsia="ru-RU"/>
        </w:rPr>
        <w:t>.</w:t>
      </w:r>
    </w:p>
    <w:p w:rsidR="0074369E" w:rsidRPr="001125CE" w:rsidRDefault="0074369E" w:rsidP="0074369E">
      <w:pPr>
        <w:pStyle w:val="Heading1"/>
      </w:pPr>
      <w:r w:rsidRPr="001125CE">
        <w:t>9</w:t>
      </w:r>
      <w:r w:rsidRPr="001125CE">
        <w:tab/>
        <w:t>Coordinación con otros grupos</w:t>
      </w:r>
    </w:p>
    <w:p w:rsidR="0074369E" w:rsidRPr="001125CE" w:rsidRDefault="0074369E" w:rsidP="0074369E">
      <w:r w:rsidRPr="001125CE">
        <w:t>Además de la coordinación normal con las Comisiones de Estudio en función de las necesidades, los Grupos de Trabajo y otros grupos en el seno del Sector de Radiocomunicaciones de la UIT, la Comisión de Estudio 1 mantiene una línea de cooperación sobre distintas cuestiones con el Sector de Desarrollo, el Sector de Normalización y el Comité Internacional Especial de Perturbaciones Radioeléctricas, así como con otras organizaciones externas.</w:t>
      </w:r>
    </w:p>
    <w:p w:rsidR="0074369E" w:rsidRPr="001125CE" w:rsidRDefault="0074369E" w:rsidP="0074369E">
      <w:pPr>
        <w:pStyle w:val="Heading2"/>
        <w:rPr>
          <w:lang w:eastAsia="ja-JP"/>
        </w:rPr>
      </w:pPr>
      <w:r w:rsidRPr="001125CE">
        <w:t>9.1</w:t>
      </w:r>
      <w:r w:rsidRPr="001125CE">
        <w:tab/>
        <w:t>Sector de Desarrollo de las Telecomunicaciones de la UIT</w:t>
      </w:r>
      <w:r w:rsidRPr="001125CE">
        <w:rPr>
          <w:bCs/>
        </w:rPr>
        <w:t xml:space="preserve"> (UIT-D)</w:t>
      </w:r>
    </w:p>
    <w:p w:rsidR="0074369E" w:rsidRPr="001125CE" w:rsidRDefault="0074369E" w:rsidP="0074369E">
      <w:pPr>
        <w:rPr>
          <w:bCs/>
        </w:rPr>
      </w:pPr>
      <w:r w:rsidRPr="001125CE">
        <w:t>A fin de apoyar la gestión del espectro, principalmente en los países en desarrollo, la Comisión de Estudio 1 sigue colaborando con la Comisión de Estudio 2 del UIT-D (antes de la CMDT-14) y la Comisión de Estudio 1 del UIT-D (desde la CMDT-14) en virtud de la Resolución 9 del UIT</w:t>
      </w:r>
      <w:r w:rsidRPr="001125CE">
        <w:noBreakHyphen/>
        <w:t xml:space="preserve">D, </w:t>
      </w:r>
      <w:r w:rsidRPr="001125CE">
        <w:rPr>
          <w:bCs/>
          <w:i/>
          <w:iCs/>
          <w:szCs w:val="22"/>
        </w:rPr>
        <w:t>Participación de los países, en particular de los países en desarrollo, en la gestión del espectro de frecuencias</w:t>
      </w:r>
      <w:r w:rsidRPr="001125CE">
        <w:t>, revisada por la Conferencia Mundial de Desarrollo de las Telecomunicaciones de 2014 (CMDT-14) (Dubái)</w:t>
      </w:r>
      <w:r w:rsidRPr="001125CE">
        <w:rPr>
          <w:bCs/>
        </w:rPr>
        <w:t>.</w:t>
      </w:r>
    </w:p>
    <w:p w:rsidR="0074369E" w:rsidRPr="001125CE" w:rsidRDefault="00E8378A" w:rsidP="0074369E">
      <w:pPr>
        <w:rPr>
          <w:bCs/>
        </w:rPr>
      </w:pPr>
      <w:r>
        <w:rPr>
          <w:bCs/>
        </w:rPr>
        <w:t>Durante el peri</w:t>
      </w:r>
      <w:r w:rsidR="0074369E" w:rsidRPr="001125CE">
        <w:rPr>
          <w:bCs/>
        </w:rPr>
        <w:t>odo de estudios se celebraron en Ginebra seis reuniones del Grupo de Trabajo Mixto UIT-D/UIT-R sobre la Resolución 9:</w:t>
      </w:r>
    </w:p>
    <w:p w:rsidR="0074369E" w:rsidRPr="001125CE" w:rsidRDefault="0074369E" w:rsidP="00F92337">
      <w:pPr>
        <w:pStyle w:val="enumlev1"/>
        <w:tabs>
          <w:tab w:val="clear" w:pos="3345"/>
          <w:tab w:val="left" w:pos="2835"/>
        </w:tabs>
      </w:pPr>
      <w:r w:rsidRPr="001125CE">
        <w:rPr>
          <w:i/>
          <w:iCs/>
        </w:rPr>
        <w:t>(antes de la CMDT-14)</w:t>
      </w:r>
      <w:r w:rsidR="00F92337" w:rsidRPr="001125CE">
        <w:tab/>
      </w:r>
      <w:r w:rsidRPr="001125CE">
        <w:t>21 de septiembre de 2012, durante la reunión de la CE 2 del UIT-D;</w:t>
      </w:r>
    </w:p>
    <w:p w:rsidR="0074369E" w:rsidRPr="001125CE" w:rsidRDefault="00F92337" w:rsidP="00F92337">
      <w:pPr>
        <w:pStyle w:val="enumlev1"/>
        <w:tabs>
          <w:tab w:val="clear" w:pos="3345"/>
          <w:tab w:val="left" w:pos="2835"/>
        </w:tabs>
      </w:pPr>
      <w:r w:rsidRPr="001125CE">
        <w:tab/>
      </w:r>
      <w:r w:rsidRPr="001125CE">
        <w:tab/>
      </w:r>
      <w:r w:rsidRPr="001125CE">
        <w:tab/>
      </w:r>
      <w:r w:rsidR="0074369E" w:rsidRPr="001125CE">
        <w:t xml:space="preserve">13 de junio de 2013, inmediatamente después de la reunión de la </w:t>
      </w:r>
      <w:r w:rsidRPr="001125CE">
        <w:t>CE </w:t>
      </w:r>
      <w:r w:rsidR="0074369E" w:rsidRPr="001125CE">
        <w:t xml:space="preserve">1 </w:t>
      </w:r>
      <w:r w:rsidR="002A3208" w:rsidRPr="001125CE">
        <w:tab/>
      </w:r>
      <w:r w:rsidR="002A3208" w:rsidRPr="001125CE">
        <w:tab/>
      </w:r>
      <w:r w:rsidR="0074369E" w:rsidRPr="001125CE">
        <w:t>del UIT-R;</w:t>
      </w:r>
    </w:p>
    <w:p w:rsidR="0074369E" w:rsidRPr="001125CE" w:rsidRDefault="00F92337" w:rsidP="00F92337">
      <w:pPr>
        <w:pStyle w:val="enumlev1"/>
        <w:tabs>
          <w:tab w:val="clear" w:pos="3345"/>
          <w:tab w:val="left" w:pos="2835"/>
        </w:tabs>
      </w:pPr>
      <w:r w:rsidRPr="001125CE">
        <w:tab/>
      </w:r>
      <w:r w:rsidRPr="001125CE">
        <w:tab/>
      </w:r>
      <w:r w:rsidRPr="001125CE">
        <w:tab/>
      </w:r>
      <w:r w:rsidR="0074369E" w:rsidRPr="001125CE">
        <w:t>19 de septiembre de 2013, durante la reunión de la CE 2 del UIT-D;</w:t>
      </w:r>
    </w:p>
    <w:p w:rsidR="0074369E" w:rsidRPr="001125CE" w:rsidRDefault="0047357A" w:rsidP="0047357A">
      <w:pPr>
        <w:pStyle w:val="enumlev1"/>
      </w:pPr>
      <w:r w:rsidRPr="001125CE">
        <w:rPr>
          <w:i/>
          <w:iCs/>
        </w:rPr>
        <w:t>(desde la CMDT-14)</w:t>
      </w:r>
      <w:r w:rsidRPr="001125CE">
        <w:tab/>
      </w:r>
      <w:r w:rsidR="0074369E" w:rsidRPr="001125CE">
        <w:t>18 de septiembre de 2014, durante la reunión de la CE 1 del UIT-D;</w:t>
      </w:r>
    </w:p>
    <w:p w:rsidR="0074369E" w:rsidRPr="001125CE" w:rsidRDefault="0047357A" w:rsidP="004D0F1A">
      <w:pPr>
        <w:pStyle w:val="enumlev1"/>
      </w:pPr>
      <w:r w:rsidRPr="001125CE">
        <w:tab/>
      </w:r>
      <w:r w:rsidRPr="001125CE">
        <w:tab/>
      </w:r>
      <w:r w:rsidRPr="001125CE">
        <w:tab/>
      </w:r>
      <w:r w:rsidR="0074369E" w:rsidRPr="001125CE">
        <w:t xml:space="preserve">20 de abril de 2015, durante las reuniones del Grupo de Relator </w:t>
      </w:r>
      <w:r w:rsidR="004D0F1A" w:rsidRPr="001125CE">
        <w:t xml:space="preserve">de la </w:t>
      </w:r>
      <w:r w:rsidR="004D0F1A" w:rsidRPr="001125CE">
        <w:tab/>
      </w:r>
      <w:r w:rsidR="004D0F1A" w:rsidRPr="001125CE">
        <w:tab/>
      </w:r>
      <w:r w:rsidR="004D0F1A" w:rsidRPr="001125CE">
        <w:tab/>
        <w:t>CE </w:t>
      </w:r>
      <w:r w:rsidR="0074369E" w:rsidRPr="001125CE">
        <w:t>1 del UIT-D;</w:t>
      </w:r>
    </w:p>
    <w:p w:rsidR="0074369E" w:rsidRPr="001125CE" w:rsidRDefault="0047357A" w:rsidP="0047357A">
      <w:pPr>
        <w:pStyle w:val="enumlev1"/>
      </w:pPr>
      <w:r w:rsidRPr="001125CE">
        <w:tab/>
      </w:r>
      <w:r w:rsidRPr="001125CE">
        <w:tab/>
      </w:r>
      <w:r w:rsidRPr="001125CE">
        <w:tab/>
      </w:r>
      <w:r w:rsidR="0074369E" w:rsidRPr="001125CE">
        <w:t>16 de septiembre de 2015, durante la reunión de la CE 1 del UIT-D.</w:t>
      </w:r>
    </w:p>
    <w:p w:rsidR="0074369E" w:rsidRPr="001125CE" w:rsidRDefault="0074369E" w:rsidP="0074369E">
      <w:pPr>
        <w:rPr>
          <w:bCs/>
        </w:rPr>
      </w:pPr>
      <w:r w:rsidRPr="001125CE">
        <w:rPr>
          <w:bCs/>
        </w:rPr>
        <w:t>El preside</w:t>
      </w:r>
      <w:r w:rsidR="00C22E14">
        <w:rPr>
          <w:bCs/>
        </w:rPr>
        <w:t>nte de la CE </w:t>
      </w:r>
      <w:r w:rsidR="009804A6">
        <w:rPr>
          <w:bCs/>
        </w:rPr>
        <w:t>1 fue designado co</w:t>
      </w:r>
      <w:r w:rsidRPr="001125CE">
        <w:rPr>
          <w:bCs/>
        </w:rPr>
        <w:t>presidente de dicho G</w:t>
      </w:r>
      <w:r w:rsidR="008C2B0E">
        <w:rPr>
          <w:bCs/>
        </w:rPr>
        <w:t>rupo de Trabajo Mixto UIT</w:t>
      </w:r>
      <w:r w:rsidR="008C2B0E">
        <w:rPr>
          <w:bCs/>
        </w:rPr>
        <w:noBreakHyphen/>
        <w:t>D/UIT</w:t>
      </w:r>
      <w:r w:rsidR="008C2B0E">
        <w:rPr>
          <w:bCs/>
        </w:rPr>
        <w:noBreakHyphen/>
      </w:r>
      <w:r w:rsidRPr="001125CE">
        <w:rPr>
          <w:bCs/>
        </w:rPr>
        <w:t xml:space="preserve">R sobre la Resolución 9. La CE 1 del UIT-R seguirá colaborando intensamente con las Comisiones de Estudio del UIT-D en apoyo al UIT-D y para evitar la duplicación del trabajo entre los dos sectores y velar por que el Informe previsto para la próxima CMDT en la Resolución 9 esté en consonancia con las Recomendaciones y los </w:t>
      </w:r>
      <w:r w:rsidR="006D7498" w:rsidRPr="001125CE">
        <w:rPr>
          <w:bCs/>
        </w:rPr>
        <w:t>Informes del UIT-R pertinentes.</w:t>
      </w:r>
    </w:p>
    <w:p w:rsidR="0074369E" w:rsidRPr="001125CE" w:rsidRDefault="0074369E" w:rsidP="0074369E">
      <w:pPr>
        <w:pStyle w:val="Heading2"/>
        <w:rPr>
          <w:lang w:eastAsia="ja-JP"/>
        </w:rPr>
      </w:pPr>
      <w:r w:rsidRPr="001125CE">
        <w:t>9.2</w:t>
      </w:r>
      <w:r w:rsidRPr="001125CE">
        <w:tab/>
        <w:t xml:space="preserve">Sector de Normalización de las Telecomunicaciones de la UIT </w:t>
      </w:r>
      <w:r w:rsidRPr="001125CE">
        <w:rPr>
          <w:bCs/>
        </w:rPr>
        <w:t>(UIT-T)</w:t>
      </w:r>
    </w:p>
    <w:p w:rsidR="0074369E" w:rsidRPr="001125CE" w:rsidRDefault="0074369E" w:rsidP="0074369E">
      <w:r w:rsidRPr="001125CE">
        <w:t>La Comisión de Estudio 1 sigue colaborando con distintos grupos del UIT-T en diversas cuestiones:</w:t>
      </w:r>
    </w:p>
    <w:p w:rsidR="0074369E" w:rsidRPr="001125CE" w:rsidRDefault="0074369E" w:rsidP="0074369E">
      <w:pPr>
        <w:pStyle w:val="enumlev1"/>
      </w:pPr>
      <w:r w:rsidRPr="001125CE">
        <w:t>•</w:t>
      </w:r>
      <w:r w:rsidRPr="001125CE">
        <w:tab/>
        <w:t>colabora con la Comisión de Estudio 15 del UIT-T en materia de recomendaciones sobre niveles de radiación procedentes de equipo PLC y varios sistemas de cables;</w:t>
      </w:r>
    </w:p>
    <w:p w:rsidR="0074369E" w:rsidRPr="001125CE" w:rsidRDefault="0074369E" w:rsidP="0074369E">
      <w:pPr>
        <w:pStyle w:val="enumlev1"/>
      </w:pPr>
      <w:r w:rsidRPr="001125CE">
        <w:t>•</w:t>
      </w:r>
      <w:r w:rsidRPr="001125CE">
        <w:tab/>
        <w:t>formula recomendaciones sobre bandas de frecuencias para redes domésticas inalámbricas;</w:t>
      </w:r>
    </w:p>
    <w:p w:rsidR="0074369E" w:rsidRPr="001125CE" w:rsidRDefault="00C2730C" w:rsidP="0074369E">
      <w:pPr>
        <w:pStyle w:val="enumlev1"/>
      </w:pPr>
      <w:r w:rsidRPr="001125CE">
        <w:t>•</w:t>
      </w:r>
      <w:r w:rsidRPr="001125CE">
        <w:tab/>
      </w:r>
      <w:r w:rsidR="0074369E" w:rsidRPr="001125CE">
        <w:t>plantea cuestiones de medición relativas a la exposición de las personas a los campos electromagnéticos;</w:t>
      </w:r>
    </w:p>
    <w:p w:rsidR="0074369E" w:rsidRPr="001125CE" w:rsidRDefault="0074369E" w:rsidP="00C2730C">
      <w:pPr>
        <w:pStyle w:val="enumlev1"/>
      </w:pPr>
      <w:r w:rsidRPr="001125CE">
        <w:t>•</w:t>
      </w:r>
      <w:r w:rsidRPr="001125CE">
        <w:tab/>
        <w:t>responde a una petición de información sobre el impacto de las tecnologías de radiocomunicaciones procedente del Grupo Temático del UIT-T sobre el cambio climático</w:t>
      </w:r>
      <w:r w:rsidR="007C028A" w:rsidRPr="001125CE">
        <w:t>.</w:t>
      </w:r>
    </w:p>
    <w:p w:rsidR="0074369E" w:rsidRPr="001125CE" w:rsidRDefault="0074369E" w:rsidP="0074369E">
      <w:pPr>
        <w:pStyle w:val="Heading2"/>
        <w:rPr>
          <w:lang w:eastAsia="ja-JP"/>
        </w:rPr>
      </w:pPr>
      <w:r w:rsidRPr="001125CE">
        <w:lastRenderedPageBreak/>
        <w:t>9.3</w:t>
      </w:r>
      <w:r w:rsidRPr="001125CE">
        <w:tab/>
        <w:t xml:space="preserve">Comité Internacional Especial de Perturbaciones Radioeléctricas </w:t>
      </w:r>
      <w:r w:rsidRPr="001125CE">
        <w:rPr>
          <w:bCs/>
        </w:rPr>
        <w:t>(CISPR)</w:t>
      </w:r>
    </w:p>
    <w:p w:rsidR="0074369E" w:rsidRPr="001125CE" w:rsidRDefault="0074369E" w:rsidP="0074369E">
      <w:r w:rsidRPr="001125CE">
        <w:t>A través de su Relator, el Sr. Ollivier (Francia) y la Sra. Mendel (Alemania (República Federal de)), la Comisión de Estudio 1 sigue trabajando estrechamente con el CISPR en lo relativo a los límites y los métodos de medición de la radiación causada por equipo industrial, científico y médico (ICM), así como la armonización de frecuencia para la transmisión inalámbrica de potencia. La Comisión de Estudio 1 también ha trabajado con el CISPR para recabar datos sobre las características de los servicios de radiocomunicación con vistas a utilizarlos para establecer límites de radiación ICM y elaborar la base de datos del CISPR.</w:t>
      </w:r>
    </w:p>
    <w:p w:rsidR="0074369E" w:rsidRPr="001125CE" w:rsidRDefault="0074369E" w:rsidP="0074369E">
      <w:pPr>
        <w:pStyle w:val="Heading1"/>
      </w:pPr>
      <w:r w:rsidRPr="001125CE">
        <w:t>10</w:t>
      </w:r>
      <w:r w:rsidRPr="001125CE">
        <w:tab/>
        <w:t>Objetivos para 2016-2019</w:t>
      </w:r>
    </w:p>
    <w:p w:rsidR="0074369E" w:rsidRPr="001125CE" w:rsidRDefault="0074369E" w:rsidP="0074369E">
      <w:pPr>
        <w:pStyle w:val="enumlev1"/>
        <w:tabs>
          <w:tab w:val="clear" w:pos="1134"/>
          <w:tab w:val="clear" w:pos="1871"/>
          <w:tab w:val="clear" w:pos="2608"/>
          <w:tab w:val="clear" w:pos="3345"/>
        </w:tabs>
        <w:ind w:left="0" w:firstLine="0"/>
        <w:jc w:val="both"/>
      </w:pPr>
      <w:r w:rsidRPr="001125CE">
        <w:t>De conformidad con el Plan operacional del UIT-R para 2016-2019, una de las prioridades principales del UIT-R es establecer y actualizar reglamentos internacionales sobre la utilización del espectro de radiofrecuencia y las órbitas de satélite, así como Recomendaciones, Informes y Manuales internacionales relativos a una utilización eficiente del espectro de radiofrecue</w:t>
      </w:r>
      <w:r w:rsidR="002160BC" w:rsidRPr="001125CE">
        <w:t>ncia y las órbitas de satélite.</w:t>
      </w:r>
    </w:p>
    <w:p w:rsidR="0074369E" w:rsidRPr="001125CE" w:rsidRDefault="0074369E" w:rsidP="0074369E">
      <w:pPr>
        <w:pStyle w:val="enumlev1"/>
        <w:tabs>
          <w:tab w:val="clear" w:pos="1134"/>
          <w:tab w:val="clear" w:pos="1871"/>
        </w:tabs>
        <w:ind w:left="0" w:firstLine="0"/>
      </w:pPr>
      <w:r w:rsidRPr="001125CE">
        <w:t>La gestión eficiente del espectro a escalas internacional y nacional plantea nuevos retos a raíz de las necesidades específicas de nuevas tecnologías como CRS, IMT-2020, IoT, M2M, RFID, y sistemas de nanosatélites y picosatélites para acceso al espectro. La gestión del espectro debe permitir satisfacer oportunamente la demanda de espectro para las nuevas tecnologías, evitar la interferencia en los entornos de los sistemas nuevos y los existentes y fomentar el uso innovador y eficiente del espectro.</w:t>
      </w:r>
    </w:p>
    <w:p w:rsidR="0074369E" w:rsidRPr="001125CE" w:rsidRDefault="0074369E" w:rsidP="0074369E">
      <w:pPr>
        <w:pStyle w:val="enumlev1"/>
        <w:tabs>
          <w:tab w:val="clear" w:pos="1134"/>
          <w:tab w:val="clear" w:pos="1871"/>
          <w:tab w:val="clear" w:pos="2608"/>
          <w:tab w:val="clear" w:pos="3345"/>
        </w:tabs>
        <w:ind w:left="0" w:firstLine="0"/>
        <w:jc w:val="both"/>
      </w:pPr>
      <w:r w:rsidRPr="001125CE">
        <w:t xml:space="preserve">La CE 1 del UIT-R contribuirá a esta actividad en 2016-2019 mediante la elaboración de nuevos informes del UIT-R solicitados por la AR-15 y la CMR-15, así como con la identificación de las mejores prácticas y la revisión de las </w:t>
      </w:r>
      <w:r w:rsidR="00F11B81">
        <w:t>Recomendaciones</w:t>
      </w:r>
      <w:r w:rsidRPr="001125CE">
        <w:t>/Informes del UIT-R existentes con respecto a las técnicas de ingeniería de espectro, las metodologías de gestión del espectro y la comprobación técnica del espectro.</w:t>
      </w:r>
    </w:p>
    <w:p w:rsidR="0074369E" w:rsidRPr="001125CE" w:rsidRDefault="0074369E" w:rsidP="00CC025E">
      <w:r w:rsidRPr="001125CE">
        <w:t>En relación con las técnicas de ingeniería de espectro, los temas enumerados a continuación constituirán los objetivos principales para el periodo 2016-2019:</w:t>
      </w:r>
    </w:p>
    <w:p w:rsidR="0074369E" w:rsidRPr="001125CE" w:rsidRDefault="007F35D9" w:rsidP="00CC025E">
      <w:pPr>
        <w:pStyle w:val="enumlev1"/>
      </w:pPr>
      <w:r w:rsidRPr="001125CE">
        <w:t>–</w:t>
      </w:r>
      <w:r w:rsidR="0074369E" w:rsidRPr="001125CE">
        <w:tab/>
        <w:t>revisión de los informes sobre principios y métodos generales de compartición entre servicios de radiocomunicaciones o entre estaciones radioeléctricas;</w:t>
      </w:r>
    </w:p>
    <w:p w:rsidR="0074369E" w:rsidRPr="001125CE" w:rsidRDefault="007F35D9" w:rsidP="00CC025E">
      <w:pPr>
        <w:pStyle w:val="enumlev1"/>
      </w:pPr>
      <w:r w:rsidRPr="001125CE">
        <w:t>–</w:t>
      </w:r>
      <w:r w:rsidR="0074369E" w:rsidRPr="001125CE">
        <w:tab/>
        <w:t>análisis de las herramientas de evaluación de la interferencia de sistemas de cables, en particular el efecto de acumulación y el egreso de interferencia radiada por edificios;</w:t>
      </w:r>
    </w:p>
    <w:p w:rsidR="0074369E" w:rsidRPr="001125CE" w:rsidRDefault="007F35D9" w:rsidP="00CC025E">
      <w:pPr>
        <w:pStyle w:val="enumlev1"/>
      </w:pPr>
      <w:r w:rsidRPr="001125CE">
        <w:t>–</w:t>
      </w:r>
      <w:r w:rsidR="0074369E" w:rsidRPr="001125CE">
        <w:tab/>
        <w:t>avance de los estudios sobre los sistemas de gestión inteligente de la red eléctrica;</w:t>
      </w:r>
    </w:p>
    <w:p w:rsidR="0074369E" w:rsidRPr="001125CE" w:rsidRDefault="007F35D9" w:rsidP="00CC025E">
      <w:pPr>
        <w:pStyle w:val="enumlev1"/>
      </w:pPr>
      <w:r w:rsidRPr="001125CE">
        <w:t>–</w:t>
      </w:r>
      <w:r w:rsidR="0074369E" w:rsidRPr="001125CE">
        <w:tab/>
        <w:t>conclusión de los estudios sobre sistemas de transmisión inalámbrica de potencia;</w:t>
      </w:r>
    </w:p>
    <w:p w:rsidR="0074369E" w:rsidRPr="001125CE" w:rsidRDefault="007F35D9" w:rsidP="00CC025E">
      <w:pPr>
        <w:pStyle w:val="enumlev1"/>
      </w:pPr>
      <w:r w:rsidRPr="001125CE">
        <w:t>–</w:t>
      </w:r>
      <w:r w:rsidR="0074369E" w:rsidRPr="001125CE">
        <w:tab/>
        <w:t>avance de los estudios sobre características técnicas y operacionales de los servicios activos que funcionan en la gama de 275-1 000 GHz;</w:t>
      </w:r>
    </w:p>
    <w:p w:rsidR="0074369E" w:rsidRPr="001125CE" w:rsidRDefault="00CC025E" w:rsidP="00CC025E">
      <w:pPr>
        <w:pStyle w:val="enumlev1"/>
      </w:pPr>
      <w:r w:rsidRPr="001125CE">
        <w:t>–</w:t>
      </w:r>
      <w:r w:rsidRPr="001125CE">
        <w:tab/>
      </w:r>
      <w:r w:rsidR="0074369E" w:rsidRPr="001125CE">
        <w:t xml:space="preserve">conclusión de los estudios sobre las características de las emisiones no deseadas en los dominios fuera de </w:t>
      </w:r>
      <w:r w:rsidRPr="001125CE">
        <w:t xml:space="preserve">banda y no esencial </w:t>
      </w:r>
      <w:r w:rsidR="0074369E" w:rsidRPr="001125CE">
        <w:t xml:space="preserve">para la tecnología de modulación digital utilizada en los sistemas de comunicaciones de banda ancha; </w:t>
      </w:r>
    </w:p>
    <w:p w:rsidR="0074369E" w:rsidRPr="001125CE" w:rsidRDefault="007F35D9" w:rsidP="00CC025E">
      <w:pPr>
        <w:pStyle w:val="enumlev1"/>
      </w:pPr>
      <w:r w:rsidRPr="001125CE">
        <w:t>–</w:t>
      </w:r>
      <w:r w:rsidR="0074369E" w:rsidRPr="001125CE">
        <w:tab/>
        <w:t>continuación del intercambio de información y puntos de vista entre las partes interesadas en el UIT-T, UIT-R y otras organizaciones de normalización acerca de cuestiones de interés común, en particular la coexistencia de las telecomunicaciones alámbricas con los sistemas de</w:t>
      </w:r>
      <w:r w:rsidRPr="001125CE">
        <w:t xml:space="preserve"> comunicaciones radioeléctricas.</w:t>
      </w:r>
    </w:p>
    <w:p w:rsidR="0074369E" w:rsidRPr="001125CE" w:rsidRDefault="0074369E" w:rsidP="0074369E">
      <w:r w:rsidRPr="001125CE">
        <w:t>Con respecto a las metodologías de gestión de espectro y estrategias económicas, los trabajos proseguirán con arreglo a las Resoluciones y Cuestiones del UIT-R (incluidas las establecidas en 2016-2019), por ejemplo:</w:t>
      </w:r>
    </w:p>
    <w:p w:rsidR="0074369E" w:rsidRPr="001125CE" w:rsidRDefault="002A1835" w:rsidP="00CC025E">
      <w:pPr>
        <w:pStyle w:val="enumlev1"/>
      </w:pPr>
      <w:r w:rsidRPr="001125CE">
        <w:lastRenderedPageBreak/>
        <w:t>–</w:t>
      </w:r>
      <w:r w:rsidR="0074369E" w:rsidRPr="001125CE">
        <w:tab/>
        <w:t xml:space="preserve">revisión de los informes sobre la estrategia de gestión de espectro a largo plazo; </w:t>
      </w:r>
    </w:p>
    <w:p w:rsidR="0074369E" w:rsidRPr="001125CE" w:rsidRDefault="002A1835" w:rsidP="00CC025E">
      <w:pPr>
        <w:pStyle w:val="enumlev1"/>
      </w:pPr>
      <w:r w:rsidRPr="001125CE">
        <w:t>–</w:t>
      </w:r>
      <w:r w:rsidR="0074369E" w:rsidRPr="001125CE">
        <w:tab/>
        <w:t xml:space="preserve">elaboración de informes sobre enfoques innovadores de reglamentación del espectro para la compartición de espectro entre varios servicios; </w:t>
      </w:r>
    </w:p>
    <w:p w:rsidR="0074369E" w:rsidRPr="001125CE" w:rsidRDefault="00CC025E" w:rsidP="00CC025E">
      <w:pPr>
        <w:pStyle w:val="enumlev1"/>
      </w:pPr>
      <w:r w:rsidRPr="001125CE">
        <w:t>–</w:t>
      </w:r>
      <w:r w:rsidRPr="001125CE">
        <w:tab/>
      </w:r>
      <w:r w:rsidR="0074369E" w:rsidRPr="001125CE">
        <w:t xml:space="preserve">elaboración de informes sobre la aplicación del acceso dinámico al espectro; </w:t>
      </w:r>
    </w:p>
    <w:p w:rsidR="0074369E" w:rsidRPr="001125CE" w:rsidRDefault="002A1835" w:rsidP="00CC025E">
      <w:pPr>
        <w:pStyle w:val="enumlev1"/>
      </w:pPr>
      <w:r w:rsidRPr="001125CE">
        <w:t>–</w:t>
      </w:r>
      <w:r w:rsidR="0074369E" w:rsidRPr="001125CE">
        <w:tab/>
        <w:t xml:space="preserve">elaboración de informes sobre armonización de frecuencia y otros aspectos de gestión del espectro para diversas aplicaciones radioeléctricas (por ejemplo RCA, RFID, transmisión inalámbrica de potencia, IoT); </w:t>
      </w:r>
    </w:p>
    <w:p w:rsidR="0074369E" w:rsidRPr="001125CE" w:rsidRDefault="002A1835" w:rsidP="00CC025E">
      <w:pPr>
        <w:pStyle w:val="enumlev1"/>
      </w:pPr>
      <w:r w:rsidRPr="001125CE">
        <w:t>–</w:t>
      </w:r>
      <w:r w:rsidR="0074369E" w:rsidRPr="001125CE">
        <w:tab/>
        <w:t>revisión de los informes sobre cuestiones económicas del espectro, en particular los precios aplicables al espectro, las subastas de espectro y la reorganización del espectro</w:t>
      </w:r>
      <w:r w:rsidR="00CC025E" w:rsidRPr="001125CE">
        <w:t>.</w:t>
      </w:r>
    </w:p>
    <w:p w:rsidR="0074369E" w:rsidRPr="001125CE" w:rsidRDefault="0074369E" w:rsidP="0074369E">
      <w:r w:rsidRPr="001125CE">
        <w:t>En lo concerniente a la comprobación técnica del espectro, los objetivos principales serán:</w:t>
      </w:r>
    </w:p>
    <w:p w:rsidR="0074369E" w:rsidRPr="001125CE" w:rsidRDefault="00D03618" w:rsidP="0074369E">
      <w:pPr>
        <w:pStyle w:val="enumlev1"/>
      </w:pPr>
      <w:r w:rsidRPr="001125CE">
        <w:t>–</w:t>
      </w:r>
      <w:r w:rsidR="0074369E" w:rsidRPr="001125CE">
        <w:tab/>
        <w:t>elaboración de informes relativos a la comprobación técnica de las redes de satélite;</w:t>
      </w:r>
    </w:p>
    <w:p w:rsidR="0074369E" w:rsidRPr="001125CE" w:rsidRDefault="00D03618" w:rsidP="0074369E">
      <w:pPr>
        <w:pStyle w:val="enumlev1"/>
      </w:pPr>
      <w:r w:rsidRPr="001125CE">
        <w:t>–</w:t>
      </w:r>
      <w:r w:rsidR="0074369E" w:rsidRPr="001125CE">
        <w:tab/>
        <w:t>elaboración de informes sobre identificación técnica de las señales digitales como complemento de la información que figura en la Recomendación UIT-R SM.1600</w:t>
      </w:r>
      <w:r w:rsidR="006A534F" w:rsidRPr="001125CE">
        <w:t>, «</w:t>
      </w:r>
      <w:r w:rsidR="0074369E" w:rsidRPr="001125CE">
        <w:t>Identificación técnica de las señales digitales</w:t>
      </w:r>
      <w:r w:rsidR="006A534F" w:rsidRPr="001125CE">
        <w:t>»;</w:t>
      </w:r>
    </w:p>
    <w:p w:rsidR="0074369E" w:rsidRPr="001125CE" w:rsidRDefault="00D03618" w:rsidP="0074369E">
      <w:pPr>
        <w:pStyle w:val="enumlev1"/>
      </w:pPr>
      <w:r w:rsidRPr="001125CE">
        <w:t>–</w:t>
      </w:r>
      <w:r w:rsidR="0074369E" w:rsidRPr="001125CE">
        <w:tab/>
        <w:t>elaboración de informes relativos a la comprobación técnica de la zona de servicio para sistemas digitales;</w:t>
      </w:r>
    </w:p>
    <w:p w:rsidR="0074369E" w:rsidRPr="001125CE" w:rsidRDefault="00D03618" w:rsidP="0074369E">
      <w:pPr>
        <w:pStyle w:val="enumlev1"/>
      </w:pPr>
      <w:r w:rsidRPr="001125CE">
        <w:t>–</w:t>
      </w:r>
      <w:r w:rsidR="0074369E" w:rsidRPr="001125CE">
        <w:tab/>
        <w:t>elaboración de informes sobre la precisión y sensibilidad de la radiogoniometría;</w:t>
      </w:r>
    </w:p>
    <w:p w:rsidR="0074369E" w:rsidRPr="001125CE" w:rsidRDefault="00D03618" w:rsidP="0074369E">
      <w:pPr>
        <w:pStyle w:val="enumlev1"/>
      </w:pPr>
      <w:r w:rsidRPr="001125CE">
        <w:t>–</w:t>
      </w:r>
      <w:r w:rsidR="0074369E" w:rsidRPr="001125CE">
        <w:tab/>
        <w:t>elaboración de informes sobre almacenamiento de datos I/Q.</w:t>
      </w:r>
    </w:p>
    <w:p w:rsidR="0074369E" w:rsidRPr="001125CE" w:rsidRDefault="0074369E" w:rsidP="0074369E">
      <w:r w:rsidRPr="001125CE">
        <w:t xml:space="preserve">Otro de los objetivos para el periodo de estudios 2016-2019 es seguir examinando los informes del UIT-R existentes, habida cuenta de las nuevas necesidades en materia de comprobación técnica y evolución de los sistemas de radiocomunicaciones, en particular: </w:t>
      </w:r>
    </w:p>
    <w:p w:rsidR="0074369E" w:rsidRPr="001125CE" w:rsidRDefault="0074369E" w:rsidP="0074369E">
      <w:pPr>
        <w:pStyle w:val="enumlev1"/>
      </w:pPr>
      <w:r w:rsidRPr="001125CE">
        <w:t xml:space="preserve">– </w:t>
      </w:r>
      <w:r w:rsidRPr="001125CE">
        <w:tab/>
        <w:t>la revisión de los informes relativos a la inspección de las estaciones radioeléctricas;</w:t>
      </w:r>
    </w:p>
    <w:p w:rsidR="0074369E" w:rsidRPr="001125CE" w:rsidRDefault="0074369E" w:rsidP="0074369E">
      <w:pPr>
        <w:pStyle w:val="enumlev1"/>
      </w:pPr>
      <w:r w:rsidRPr="001125CE">
        <w:t xml:space="preserve">– </w:t>
      </w:r>
      <w:r w:rsidRPr="001125CE">
        <w:tab/>
        <w:t>la revisión de la técnica de comprobación técnica para las mediciones de ocupación del espectro.</w:t>
      </w:r>
    </w:p>
    <w:p w:rsidR="0074369E" w:rsidRPr="001125CE" w:rsidRDefault="0074369E" w:rsidP="0074369E">
      <w:r w:rsidRPr="001125CE">
        <w:t>Asimismo, a raíz del éxito de los talleres organizados durante el ciclo de estudios conjuntamente con las reuniones de la CE 1 y/o los Grupos de trabajo, la CE 1 y/o sus grupos de trabajo podrían organizar nuevos talleres para facilitar el intercambio de información sobre cuestiones importantes en el marco de la CE 1</w:t>
      </w:r>
      <w:r w:rsidR="007F1BD1" w:rsidRPr="001125CE">
        <w:t>.</w:t>
      </w:r>
    </w:p>
    <w:p w:rsidR="0074369E" w:rsidRPr="001125CE" w:rsidRDefault="0074369E" w:rsidP="0074369E">
      <w:pPr>
        <w:pStyle w:val="Heading1"/>
      </w:pPr>
      <w:r w:rsidRPr="001125CE">
        <w:t>11</w:t>
      </w:r>
      <w:r w:rsidR="001139D9">
        <w:tab/>
        <w:t>Observaciones finales</w:t>
      </w:r>
    </w:p>
    <w:p w:rsidR="0074369E" w:rsidRPr="001125CE" w:rsidRDefault="0074369E" w:rsidP="0074369E">
      <w:r w:rsidRPr="001125CE">
        <w:t>Quiero expresar mi más sincero agradecimiento a los Vicepresidentes de la Comisión de Estudio 1 y a los Presidentes y Vicepresidentes de los Grupos de Trabajo. Quiero también dar las gracias a todos aquellos que fueron Relatores de los Grupos de Relator</w:t>
      </w:r>
      <w:r w:rsidR="00CC025E" w:rsidRPr="001125CE">
        <w:t xml:space="preserve"> o </w:t>
      </w:r>
      <w:r w:rsidR="00171425">
        <w:t xml:space="preserve">Presidentes, </w:t>
      </w:r>
      <w:r w:rsidRPr="001125CE">
        <w:t xml:space="preserve">así como a los miembros de esos </w:t>
      </w:r>
      <w:r w:rsidR="00DE28B1" w:rsidRPr="001125CE">
        <w:t xml:space="preserve">Grupos </w:t>
      </w:r>
      <w:r w:rsidRPr="001125CE">
        <w:t xml:space="preserve">y a los </w:t>
      </w:r>
      <w:r w:rsidR="00E64EB9" w:rsidRPr="001125CE">
        <w:t xml:space="preserve">Presidentes </w:t>
      </w:r>
      <w:r w:rsidRPr="001125CE">
        <w:t xml:space="preserve">de los Grupos de Trabajo, los </w:t>
      </w:r>
      <w:r w:rsidR="00FC3EBB" w:rsidRPr="001125CE">
        <w:t xml:space="preserve">Grupos </w:t>
      </w:r>
      <w:r w:rsidRPr="001125CE">
        <w:t xml:space="preserve">de </w:t>
      </w:r>
      <w:r w:rsidR="00FC3EBB" w:rsidRPr="001125CE">
        <w:t xml:space="preserve">Redacción </w:t>
      </w:r>
      <w:r w:rsidRPr="001125CE">
        <w:t>u otros subgrupos de las reuniones. Todos nosotros apreciamos en gran medida el continuo apoyo que nos ofrece la Oficina de Radiocomunicaciones y su Departamento de Comisiones de Estudio, en concreto el Consejero, así como el personal de la Secretaría.</w:t>
      </w:r>
    </w:p>
    <w:p w:rsidR="003D1A0D" w:rsidRPr="001125CE" w:rsidRDefault="003D1A0D" w:rsidP="0032202E">
      <w:pPr>
        <w:pStyle w:val="Reasons"/>
      </w:pPr>
      <w:bookmarkStart w:id="10" w:name="_GoBack"/>
      <w:bookmarkEnd w:id="10"/>
    </w:p>
    <w:p w:rsidR="003D1A0D" w:rsidRPr="001125CE" w:rsidRDefault="003D1A0D">
      <w:pPr>
        <w:jc w:val="center"/>
      </w:pPr>
      <w:r w:rsidRPr="001125CE">
        <w:t>______________</w:t>
      </w:r>
    </w:p>
    <w:sectPr w:rsidR="003D1A0D" w:rsidRPr="001125CE">
      <w:headerReference w:type="default" r:id="rId22"/>
      <w:footerReference w:type="even" r:id="rId23"/>
      <w:footerReference w:type="default" r:id="rId24"/>
      <w:footerReference w:type="first" r:id="rId25"/>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5BA6" w:rsidRDefault="00F15BA6">
      <w:r>
        <w:separator/>
      </w:r>
    </w:p>
  </w:endnote>
  <w:endnote w:type="continuationSeparator" w:id="0">
    <w:p w:rsidR="00F15BA6" w:rsidRDefault="00F15B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5BA6" w:rsidRDefault="00F15BA6">
    <w:pPr>
      <w:rPr>
        <w:lang w:val="en-US"/>
      </w:rPr>
    </w:pPr>
    <w:r>
      <w:fldChar w:fldCharType="begin"/>
    </w:r>
    <w:r>
      <w:rPr>
        <w:lang w:val="en-US"/>
      </w:rPr>
      <w:instrText xml:space="preserve"> FILENAME \p  \* MERGEFORMAT </w:instrText>
    </w:r>
    <w:r>
      <w:fldChar w:fldCharType="separate"/>
    </w:r>
    <w:r w:rsidR="001249DA">
      <w:rPr>
        <w:noProof/>
        <w:lang w:val="en-US"/>
      </w:rPr>
      <w:t>P:\ESP\ITU-R\SG-R\SG01\1000\1001S.docx</w:t>
    </w:r>
    <w:r>
      <w:fldChar w:fldCharType="end"/>
    </w:r>
    <w:r>
      <w:rPr>
        <w:lang w:val="en-US"/>
      </w:rPr>
      <w:tab/>
    </w:r>
    <w:r>
      <w:fldChar w:fldCharType="begin"/>
    </w:r>
    <w:r>
      <w:instrText xml:space="preserve"> SAVEDATE \@ DD.MM.YY </w:instrText>
    </w:r>
    <w:r>
      <w:fldChar w:fldCharType="separate"/>
    </w:r>
    <w:r w:rsidR="0014624D">
      <w:rPr>
        <w:noProof/>
      </w:rPr>
      <w:t>19.10.15</w:t>
    </w:r>
    <w:r>
      <w:fldChar w:fldCharType="end"/>
    </w:r>
    <w:r>
      <w:rPr>
        <w:lang w:val="en-US"/>
      </w:rPr>
      <w:tab/>
    </w:r>
    <w:r>
      <w:fldChar w:fldCharType="begin"/>
    </w:r>
    <w:r>
      <w:instrText xml:space="preserve"> PRINTDATE \@ DD.MM.YY </w:instrText>
    </w:r>
    <w:r>
      <w:fldChar w:fldCharType="separate"/>
    </w:r>
    <w:r w:rsidR="001249DA">
      <w:rPr>
        <w:noProof/>
      </w:rPr>
      <w:t>19.10.15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5BA6" w:rsidRDefault="001139D9" w:rsidP="00F15BA6">
    <w:pPr>
      <w:pStyle w:val="Footer"/>
    </w:pPr>
    <w:fldSimple w:instr=" FILENAME \p  \* MERGEFORMAT ">
      <w:r w:rsidR="001249DA">
        <w:t>P:\ESP\ITU-R\SG-R\SG01\1000\1001S.docx</w:t>
      </w:r>
    </w:fldSimple>
    <w:r w:rsidR="00F15BA6">
      <w:t xml:space="preserve"> (382209)</w:t>
    </w:r>
    <w:r w:rsidR="00F15BA6">
      <w:tab/>
    </w:r>
    <w:r w:rsidR="00F15BA6">
      <w:fldChar w:fldCharType="begin"/>
    </w:r>
    <w:r w:rsidR="00F15BA6">
      <w:instrText xml:space="preserve"> SAVEDATE \@ DD.MM.YY </w:instrText>
    </w:r>
    <w:r w:rsidR="00F15BA6">
      <w:fldChar w:fldCharType="separate"/>
    </w:r>
    <w:r w:rsidR="0014624D">
      <w:t>19.10.15</w:t>
    </w:r>
    <w:r w:rsidR="00F15BA6">
      <w:fldChar w:fldCharType="end"/>
    </w:r>
    <w:r w:rsidR="00F15BA6">
      <w:tab/>
    </w:r>
    <w:r w:rsidR="00F15BA6">
      <w:fldChar w:fldCharType="begin"/>
    </w:r>
    <w:r w:rsidR="00F15BA6">
      <w:instrText xml:space="preserve"> PRINTDATE \@ DD.MM.YY </w:instrText>
    </w:r>
    <w:r w:rsidR="00F15BA6">
      <w:fldChar w:fldCharType="separate"/>
    </w:r>
    <w:r w:rsidR="001249DA">
      <w:t>19.10.15</w:t>
    </w:r>
    <w:r w:rsidR="00F15BA6">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5BA6" w:rsidRDefault="001139D9">
    <w:pPr>
      <w:pStyle w:val="Footer"/>
    </w:pPr>
    <w:fldSimple w:instr=" FILENAME \p  \* MERGEFORMAT ">
      <w:r w:rsidR="001249DA">
        <w:t>P:\ESP\ITU-R\SG-R\SG01\1000\1001S.docx</w:t>
      </w:r>
    </w:fldSimple>
    <w:r w:rsidR="00F15BA6">
      <w:t xml:space="preserve"> (382209)</w:t>
    </w:r>
    <w:r w:rsidR="00F15BA6">
      <w:tab/>
    </w:r>
    <w:r w:rsidR="00F15BA6">
      <w:fldChar w:fldCharType="begin"/>
    </w:r>
    <w:r w:rsidR="00F15BA6">
      <w:instrText xml:space="preserve"> SAVEDATE \@ DD.MM.YY </w:instrText>
    </w:r>
    <w:r w:rsidR="00F15BA6">
      <w:fldChar w:fldCharType="separate"/>
    </w:r>
    <w:r w:rsidR="0014624D">
      <w:t>19.10.15</w:t>
    </w:r>
    <w:r w:rsidR="00F15BA6">
      <w:fldChar w:fldCharType="end"/>
    </w:r>
    <w:r w:rsidR="00F15BA6">
      <w:tab/>
    </w:r>
    <w:r w:rsidR="00F15BA6">
      <w:fldChar w:fldCharType="begin"/>
    </w:r>
    <w:r w:rsidR="00F15BA6">
      <w:instrText xml:space="preserve"> PRINTDATE \@ DD.MM.YY </w:instrText>
    </w:r>
    <w:r w:rsidR="00F15BA6">
      <w:fldChar w:fldCharType="separate"/>
    </w:r>
    <w:r w:rsidR="001249DA">
      <w:t>19.10.15</w:t>
    </w:r>
    <w:r w:rsidR="00F15BA6">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5BA6" w:rsidRDefault="00F15BA6">
      <w:r>
        <w:rPr>
          <w:b/>
        </w:rPr>
        <w:t>_______________</w:t>
      </w:r>
    </w:p>
  </w:footnote>
  <w:footnote w:type="continuationSeparator" w:id="0">
    <w:p w:rsidR="00F15BA6" w:rsidRDefault="00F15B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408" w:rsidRDefault="00814408" w:rsidP="00814408">
    <w:pPr>
      <w:pStyle w:val="Header"/>
    </w:pPr>
    <w:r>
      <w:fldChar w:fldCharType="begin"/>
    </w:r>
    <w:r>
      <w:instrText xml:space="preserve"> PAGE  \* MERGEFORMAT </w:instrText>
    </w:r>
    <w:r>
      <w:fldChar w:fldCharType="separate"/>
    </w:r>
    <w:r w:rsidR="0014624D">
      <w:rPr>
        <w:noProof/>
      </w:rPr>
      <w:t>11</w:t>
    </w:r>
    <w:r>
      <w:fldChar w:fldCharType="end"/>
    </w:r>
  </w:p>
  <w:p w:rsidR="00F15BA6" w:rsidRDefault="00814408">
    <w:pPr>
      <w:pStyle w:val="Header"/>
    </w:pPr>
    <w:r>
      <w:t>1</w:t>
    </w:r>
    <w:r w:rsidR="00F15BA6">
      <w:t>/1001-S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31087E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18D82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6543D6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0F478E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210580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9E3A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84036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E2020A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50869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0E254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EBF77E2"/>
    <w:multiLevelType w:val="hybridMultilevel"/>
    <w:tmpl w:val="275EB74E"/>
    <w:lvl w:ilvl="0" w:tplc="9A88FFCE">
      <w:start w:val="9"/>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370961"/>
    <w:multiLevelType w:val="hybridMultilevel"/>
    <w:tmpl w:val="DF0EBA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5B02BDD"/>
    <w:multiLevelType w:val="hybridMultilevel"/>
    <w:tmpl w:val="F8905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216CC3"/>
    <w:multiLevelType w:val="hybridMultilevel"/>
    <w:tmpl w:val="A77260E6"/>
    <w:lvl w:ilvl="0" w:tplc="ECBA1930">
      <w:start w:val="2"/>
      <w:numFmt w:val="bullet"/>
      <w:lvlText w:val="–"/>
      <w:lvlJc w:val="left"/>
      <w:pPr>
        <w:tabs>
          <w:tab w:val="num" w:pos="1155"/>
        </w:tabs>
        <w:ind w:left="1155" w:hanging="795"/>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74E2616"/>
    <w:multiLevelType w:val="hybridMultilevel"/>
    <w:tmpl w:val="8EBEB6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06F494D"/>
    <w:multiLevelType w:val="hybridMultilevel"/>
    <w:tmpl w:val="07D4B708"/>
    <w:lvl w:ilvl="0" w:tplc="3FE0F91A">
      <w:start w:val="5"/>
      <w:numFmt w:val="bullet"/>
      <w:lvlText w:val="–"/>
      <w:lvlJc w:val="left"/>
      <w:pPr>
        <w:tabs>
          <w:tab w:val="num" w:pos="795"/>
        </w:tabs>
        <w:ind w:left="795" w:hanging="795"/>
      </w:pPr>
      <w:rPr>
        <w:rFonts w:ascii="Times New Roman" w:eastAsia="MS Mincho"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662A18B2"/>
    <w:multiLevelType w:val="hybridMultilevel"/>
    <w:tmpl w:val="218C59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C9C5E77"/>
    <w:multiLevelType w:val="hybridMultilevel"/>
    <w:tmpl w:val="7BD04368"/>
    <w:lvl w:ilvl="0" w:tplc="8B944B06">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6"/>
  </w:num>
  <w:num w:numId="4">
    <w:abstractNumId w:val="14"/>
  </w:num>
  <w:num w:numId="5">
    <w:abstractNumId w:val="12"/>
  </w:num>
  <w:num w:numId="6">
    <w:abstractNumId w:val="17"/>
  </w:num>
  <w:num w:numId="7">
    <w:abstractNumId w:val="15"/>
  </w:num>
  <w:num w:numId="8">
    <w:abstractNumId w:val="13"/>
  </w:num>
  <w:num w:numId="9">
    <w:abstractNumId w:val="11"/>
  </w:num>
  <w:num w:numId="10">
    <w:abstractNumId w:val="18"/>
  </w:num>
  <w:num w:numId="11">
    <w:abstractNumId w:val="9"/>
  </w:num>
  <w:num w:numId="12">
    <w:abstractNumId w:val="7"/>
  </w:num>
  <w:num w:numId="13">
    <w:abstractNumId w:val="6"/>
  </w:num>
  <w:num w:numId="14">
    <w:abstractNumId w:val="5"/>
  </w:num>
  <w:num w:numId="15">
    <w:abstractNumId w:val="4"/>
  </w:num>
  <w:num w:numId="16">
    <w:abstractNumId w:val="3"/>
  </w:num>
  <w:num w:numId="17">
    <w:abstractNumId w:val="2"/>
  </w:num>
  <w:num w:numId="18">
    <w:abstractNumId w:val="1"/>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mirrorMargin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69E"/>
    <w:rsid w:val="00012B52"/>
    <w:rsid w:val="00016A7C"/>
    <w:rsid w:val="00020ACE"/>
    <w:rsid w:val="000B32D2"/>
    <w:rsid w:val="000B414F"/>
    <w:rsid w:val="000C5555"/>
    <w:rsid w:val="000C6957"/>
    <w:rsid w:val="000E03A9"/>
    <w:rsid w:val="000E0DAA"/>
    <w:rsid w:val="000F1362"/>
    <w:rsid w:val="000F6FAE"/>
    <w:rsid w:val="00105FC7"/>
    <w:rsid w:val="001125CE"/>
    <w:rsid w:val="001139D9"/>
    <w:rsid w:val="00122570"/>
    <w:rsid w:val="001249DA"/>
    <w:rsid w:val="0014624D"/>
    <w:rsid w:val="00171425"/>
    <w:rsid w:val="001721DD"/>
    <w:rsid w:val="0018073F"/>
    <w:rsid w:val="00191A43"/>
    <w:rsid w:val="0019293A"/>
    <w:rsid w:val="001E510E"/>
    <w:rsid w:val="001E77E8"/>
    <w:rsid w:val="002160BC"/>
    <w:rsid w:val="00230A01"/>
    <w:rsid w:val="002334F2"/>
    <w:rsid w:val="002678E9"/>
    <w:rsid w:val="00275E75"/>
    <w:rsid w:val="00294C58"/>
    <w:rsid w:val="002A1835"/>
    <w:rsid w:val="002A3208"/>
    <w:rsid w:val="002A71F1"/>
    <w:rsid w:val="002B6243"/>
    <w:rsid w:val="002C3956"/>
    <w:rsid w:val="002C4082"/>
    <w:rsid w:val="00363644"/>
    <w:rsid w:val="00387A45"/>
    <w:rsid w:val="003A2AA4"/>
    <w:rsid w:val="003B11D1"/>
    <w:rsid w:val="003B7EBB"/>
    <w:rsid w:val="003D1A0D"/>
    <w:rsid w:val="003E01DE"/>
    <w:rsid w:val="003E3442"/>
    <w:rsid w:val="003E5A92"/>
    <w:rsid w:val="003F0678"/>
    <w:rsid w:val="00425464"/>
    <w:rsid w:val="00431423"/>
    <w:rsid w:val="00437514"/>
    <w:rsid w:val="00443078"/>
    <w:rsid w:val="00466F3C"/>
    <w:rsid w:val="0047357A"/>
    <w:rsid w:val="00490058"/>
    <w:rsid w:val="0049356D"/>
    <w:rsid w:val="004D0F1A"/>
    <w:rsid w:val="004D489C"/>
    <w:rsid w:val="00503020"/>
    <w:rsid w:val="00504E17"/>
    <w:rsid w:val="0051144A"/>
    <w:rsid w:val="005335D1"/>
    <w:rsid w:val="005533AC"/>
    <w:rsid w:val="005648DF"/>
    <w:rsid w:val="00583E08"/>
    <w:rsid w:val="005C4F7E"/>
    <w:rsid w:val="005D11BA"/>
    <w:rsid w:val="005D2E4D"/>
    <w:rsid w:val="006050EE"/>
    <w:rsid w:val="00693CB4"/>
    <w:rsid w:val="006A534F"/>
    <w:rsid w:val="006A776B"/>
    <w:rsid w:val="006D7498"/>
    <w:rsid w:val="00716CA4"/>
    <w:rsid w:val="0074343E"/>
    <w:rsid w:val="0074369E"/>
    <w:rsid w:val="00746E5B"/>
    <w:rsid w:val="00747D96"/>
    <w:rsid w:val="00755ED8"/>
    <w:rsid w:val="00776AFC"/>
    <w:rsid w:val="0078053C"/>
    <w:rsid w:val="007C028A"/>
    <w:rsid w:val="007C7C3C"/>
    <w:rsid w:val="007D1705"/>
    <w:rsid w:val="007F1BD1"/>
    <w:rsid w:val="007F35D9"/>
    <w:rsid w:val="007F725B"/>
    <w:rsid w:val="00814408"/>
    <w:rsid w:val="00823DF4"/>
    <w:rsid w:val="008246E6"/>
    <w:rsid w:val="0082651F"/>
    <w:rsid w:val="008325BB"/>
    <w:rsid w:val="008748EC"/>
    <w:rsid w:val="008B3156"/>
    <w:rsid w:val="008B61AF"/>
    <w:rsid w:val="008B6604"/>
    <w:rsid w:val="008C2B0E"/>
    <w:rsid w:val="008E02B6"/>
    <w:rsid w:val="008F5831"/>
    <w:rsid w:val="009371A6"/>
    <w:rsid w:val="0094675B"/>
    <w:rsid w:val="009630C4"/>
    <w:rsid w:val="00964604"/>
    <w:rsid w:val="009804A6"/>
    <w:rsid w:val="009A410C"/>
    <w:rsid w:val="009A61F5"/>
    <w:rsid w:val="009E7D1A"/>
    <w:rsid w:val="00A10B62"/>
    <w:rsid w:val="00A641AF"/>
    <w:rsid w:val="00A81D88"/>
    <w:rsid w:val="00A83A79"/>
    <w:rsid w:val="00AB445F"/>
    <w:rsid w:val="00AF3CF0"/>
    <w:rsid w:val="00AF7660"/>
    <w:rsid w:val="00B168C0"/>
    <w:rsid w:val="00B358CD"/>
    <w:rsid w:val="00B41EEC"/>
    <w:rsid w:val="00B71782"/>
    <w:rsid w:val="00BF1023"/>
    <w:rsid w:val="00C22E14"/>
    <w:rsid w:val="00C2730C"/>
    <w:rsid w:val="00C278F8"/>
    <w:rsid w:val="00C44102"/>
    <w:rsid w:val="00C95524"/>
    <w:rsid w:val="00CC025E"/>
    <w:rsid w:val="00D02921"/>
    <w:rsid w:val="00D03618"/>
    <w:rsid w:val="00D66447"/>
    <w:rsid w:val="00DC6446"/>
    <w:rsid w:val="00DD2898"/>
    <w:rsid w:val="00DE28B1"/>
    <w:rsid w:val="00DE35E9"/>
    <w:rsid w:val="00E01901"/>
    <w:rsid w:val="00E15A37"/>
    <w:rsid w:val="00E17E43"/>
    <w:rsid w:val="00E64EB9"/>
    <w:rsid w:val="00E73B44"/>
    <w:rsid w:val="00E75636"/>
    <w:rsid w:val="00E8378A"/>
    <w:rsid w:val="00EB45F7"/>
    <w:rsid w:val="00EB5C7B"/>
    <w:rsid w:val="00EF1E34"/>
    <w:rsid w:val="00F031A8"/>
    <w:rsid w:val="00F0646A"/>
    <w:rsid w:val="00F11B81"/>
    <w:rsid w:val="00F15BA6"/>
    <w:rsid w:val="00F33DD5"/>
    <w:rsid w:val="00F739C9"/>
    <w:rsid w:val="00F77615"/>
    <w:rsid w:val="00F82072"/>
    <w:rsid w:val="00F92337"/>
    <w:rsid w:val="00FA0ECC"/>
    <w:rsid w:val="00FC285F"/>
    <w:rsid w:val="00FC3EBB"/>
    <w:rsid w:val="00FE06D0"/>
    <w:rsid w:val="00FE6DE1"/>
    <w:rsid w:val="00FF1DCD"/>
    <w:rsid w:val="00FF783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0EDB7919-1091-4F57-834E-D092D269D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30C4"/>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aliases w:val="h1,1st level,H1,1,l1,título 1"/>
    <w:basedOn w:val="Normal"/>
    <w:next w:val="Normal"/>
    <w:link w:val="Heading1Char"/>
    <w:qFormat/>
    <w:rsid w:val="009630C4"/>
    <w:pPr>
      <w:keepNext/>
      <w:keepLines/>
      <w:spacing w:before="280"/>
      <w:ind w:left="1134" w:hanging="1134"/>
      <w:outlineLvl w:val="0"/>
    </w:pPr>
    <w:rPr>
      <w:b/>
      <w:sz w:val="28"/>
    </w:rPr>
  </w:style>
  <w:style w:type="paragraph" w:styleId="Heading2">
    <w:name w:val="heading 2"/>
    <w:basedOn w:val="Heading1"/>
    <w:next w:val="Normal"/>
    <w:link w:val="Heading2Char"/>
    <w:qFormat/>
    <w:rsid w:val="009630C4"/>
    <w:pPr>
      <w:spacing w:before="200"/>
      <w:outlineLvl w:val="1"/>
    </w:pPr>
    <w:rPr>
      <w:sz w:val="24"/>
    </w:rPr>
  </w:style>
  <w:style w:type="paragraph" w:styleId="Heading3">
    <w:name w:val="heading 3"/>
    <w:basedOn w:val="Heading1"/>
    <w:next w:val="Normal"/>
    <w:link w:val="Heading3Char"/>
    <w:qFormat/>
    <w:rsid w:val="009630C4"/>
    <w:pPr>
      <w:tabs>
        <w:tab w:val="clear" w:pos="1134"/>
      </w:tabs>
      <w:spacing w:before="200"/>
      <w:outlineLvl w:val="2"/>
    </w:pPr>
    <w:rPr>
      <w:sz w:val="24"/>
    </w:rPr>
  </w:style>
  <w:style w:type="paragraph" w:styleId="Heading4">
    <w:name w:val="heading 4"/>
    <w:basedOn w:val="Heading3"/>
    <w:next w:val="Normal"/>
    <w:link w:val="Heading4Char"/>
    <w:qFormat/>
    <w:rsid w:val="009630C4"/>
    <w:pPr>
      <w:outlineLvl w:val="3"/>
    </w:pPr>
  </w:style>
  <w:style w:type="paragraph" w:styleId="Heading5">
    <w:name w:val="heading 5"/>
    <w:basedOn w:val="Heading4"/>
    <w:next w:val="Normal"/>
    <w:link w:val="Heading5Char"/>
    <w:qFormat/>
    <w:rsid w:val="009630C4"/>
    <w:pPr>
      <w:outlineLvl w:val="4"/>
    </w:pPr>
  </w:style>
  <w:style w:type="paragraph" w:styleId="Heading6">
    <w:name w:val="heading 6"/>
    <w:basedOn w:val="Heading4"/>
    <w:next w:val="Normal"/>
    <w:link w:val="Heading6Char"/>
    <w:qFormat/>
    <w:rsid w:val="009630C4"/>
    <w:pPr>
      <w:outlineLvl w:val="5"/>
    </w:pPr>
  </w:style>
  <w:style w:type="paragraph" w:styleId="Heading7">
    <w:name w:val="heading 7"/>
    <w:basedOn w:val="Heading6"/>
    <w:next w:val="Normal"/>
    <w:link w:val="Heading7Char"/>
    <w:qFormat/>
    <w:rsid w:val="009630C4"/>
    <w:pPr>
      <w:outlineLvl w:val="6"/>
    </w:pPr>
  </w:style>
  <w:style w:type="paragraph" w:styleId="Heading8">
    <w:name w:val="heading 8"/>
    <w:basedOn w:val="Heading6"/>
    <w:next w:val="Normal"/>
    <w:link w:val="Heading8Char"/>
    <w:qFormat/>
    <w:rsid w:val="009630C4"/>
    <w:pPr>
      <w:outlineLvl w:val="7"/>
    </w:pPr>
  </w:style>
  <w:style w:type="paragraph" w:styleId="Heading9">
    <w:name w:val="heading 9"/>
    <w:basedOn w:val="Heading6"/>
    <w:next w:val="Normal"/>
    <w:link w:val="Heading9Char"/>
    <w:qFormat/>
    <w:rsid w:val="009630C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9630C4"/>
    <w:pPr>
      <w:keepNext/>
      <w:keepLines/>
      <w:spacing w:before="480" w:after="80"/>
      <w:jc w:val="center"/>
    </w:pPr>
    <w:rPr>
      <w:caps/>
      <w:sz w:val="28"/>
    </w:rPr>
  </w:style>
  <w:style w:type="paragraph" w:customStyle="1" w:styleId="Annexref">
    <w:name w:val="Annex_ref"/>
    <w:basedOn w:val="Normal"/>
    <w:next w:val="Normal"/>
    <w:rsid w:val="009630C4"/>
    <w:pPr>
      <w:keepNext/>
      <w:keepLines/>
      <w:spacing w:after="280"/>
      <w:jc w:val="center"/>
    </w:pPr>
  </w:style>
  <w:style w:type="paragraph" w:customStyle="1" w:styleId="Annextitle">
    <w:name w:val="Annex_title"/>
    <w:basedOn w:val="Normal"/>
    <w:next w:val="Normal"/>
    <w:rsid w:val="009630C4"/>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9630C4"/>
    <w:rPr>
      <w:rFonts w:ascii="Times New Roman" w:hAnsi="Times New Roman"/>
      <w:b/>
    </w:rPr>
  </w:style>
  <w:style w:type="character" w:customStyle="1" w:styleId="Appref">
    <w:name w:val="App_ref"/>
    <w:basedOn w:val="DefaultParagraphFont"/>
    <w:rsid w:val="009630C4"/>
  </w:style>
  <w:style w:type="paragraph" w:customStyle="1" w:styleId="AppendixNo">
    <w:name w:val="Appendix_No"/>
    <w:basedOn w:val="AnnexNo"/>
    <w:next w:val="Annexref"/>
    <w:rsid w:val="009630C4"/>
  </w:style>
  <w:style w:type="paragraph" w:customStyle="1" w:styleId="Appendixref">
    <w:name w:val="Appendix_ref"/>
    <w:basedOn w:val="Annexref"/>
    <w:next w:val="Annextitle"/>
    <w:rsid w:val="009630C4"/>
  </w:style>
  <w:style w:type="paragraph" w:customStyle="1" w:styleId="Appendixtitle">
    <w:name w:val="Appendix_title"/>
    <w:basedOn w:val="Annextitle"/>
    <w:next w:val="Normal"/>
    <w:rsid w:val="009630C4"/>
  </w:style>
  <w:style w:type="character" w:customStyle="1" w:styleId="Artdef">
    <w:name w:val="Art_def"/>
    <w:basedOn w:val="DefaultParagraphFont"/>
    <w:rsid w:val="009630C4"/>
    <w:rPr>
      <w:rFonts w:ascii="Times New Roman" w:hAnsi="Times New Roman"/>
      <w:b/>
    </w:rPr>
  </w:style>
  <w:style w:type="paragraph" w:customStyle="1" w:styleId="Artheading">
    <w:name w:val="Art_heading"/>
    <w:basedOn w:val="Normal"/>
    <w:next w:val="Normal"/>
    <w:rsid w:val="009630C4"/>
    <w:pPr>
      <w:spacing w:before="480"/>
      <w:jc w:val="center"/>
    </w:pPr>
    <w:rPr>
      <w:rFonts w:ascii="Times New Roman Bold" w:hAnsi="Times New Roman Bold"/>
      <w:b/>
      <w:sz w:val="28"/>
    </w:rPr>
  </w:style>
  <w:style w:type="paragraph" w:customStyle="1" w:styleId="ArtNo">
    <w:name w:val="Art_No"/>
    <w:basedOn w:val="Normal"/>
    <w:next w:val="Normal"/>
    <w:rsid w:val="009630C4"/>
    <w:pPr>
      <w:keepNext/>
      <w:keepLines/>
      <w:spacing w:before="480"/>
      <w:jc w:val="center"/>
    </w:pPr>
    <w:rPr>
      <w:caps/>
      <w:sz w:val="28"/>
    </w:rPr>
  </w:style>
  <w:style w:type="character" w:customStyle="1" w:styleId="Artref">
    <w:name w:val="Art_ref"/>
    <w:basedOn w:val="DefaultParagraphFont"/>
    <w:rsid w:val="009630C4"/>
  </w:style>
  <w:style w:type="paragraph" w:customStyle="1" w:styleId="Arttitle">
    <w:name w:val="Art_title"/>
    <w:basedOn w:val="Normal"/>
    <w:next w:val="Normal"/>
    <w:rsid w:val="009630C4"/>
    <w:pPr>
      <w:keepNext/>
      <w:keepLines/>
      <w:spacing w:before="240"/>
      <w:jc w:val="center"/>
    </w:pPr>
    <w:rPr>
      <w:b/>
      <w:sz w:val="28"/>
    </w:rPr>
  </w:style>
  <w:style w:type="paragraph" w:customStyle="1" w:styleId="ASN1">
    <w:name w:val="ASN.1"/>
    <w:basedOn w:val="Normal"/>
    <w:rsid w:val="009630C4"/>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link w:val="TabletextChar"/>
    <w:rsid w:val="009630C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9630C4"/>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9630C4"/>
    <w:pPr>
      <w:keepNext/>
      <w:keepLines/>
      <w:spacing w:before="160"/>
      <w:ind w:left="1134"/>
    </w:pPr>
    <w:rPr>
      <w:i/>
    </w:rPr>
  </w:style>
  <w:style w:type="paragraph" w:customStyle="1" w:styleId="ChapNo">
    <w:name w:val="Chap_No"/>
    <w:basedOn w:val="ArtNo"/>
    <w:next w:val="Normal"/>
    <w:rsid w:val="009630C4"/>
    <w:rPr>
      <w:rFonts w:ascii="Times New Roman Bold" w:hAnsi="Times New Roman Bold"/>
      <w:b/>
    </w:rPr>
  </w:style>
  <w:style w:type="paragraph" w:customStyle="1" w:styleId="Chaptitle">
    <w:name w:val="Chap_title"/>
    <w:basedOn w:val="Arttitle"/>
    <w:next w:val="Normal"/>
    <w:rsid w:val="009630C4"/>
  </w:style>
  <w:style w:type="character" w:styleId="CommentReference">
    <w:name w:val="annotation reference"/>
    <w:basedOn w:val="DefaultParagraphFont"/>
    <w:rsid w:val="009630C4"/>
    <w:rPr>
      <w:sz w:val="16"/>
      <w:szCs w:val="16"/>
    </w:rPr>
  </w:style>
  <w:style w:type="paragraph" w:styleId="CommentText">
    <w:name w:val="annotation text"/>
    <w:basedOn w:val="Normal"/>
    <w:link w:val="CommentTextChar"/>
    <w:rsid w:val="009630C4"/>
    <w:rPr>
      <w:sz w:val="20"/>
    </w:rPr>
  </w:style>
  <w:style w:type="character" w:customStyle="1" w:styleId="CommentTextChar">
    <w:name w:val="Comment Text Char"/>
    <w:basedOn w:val="DefaultParagraphFont"/>
    <w:link w:val="CommentText"/>
    <w:rsid w:val="009630C4"/>
    <w:rPr>
      <w:rFonts w:ascii="Times New Roman" w:hAnsi="Times New Roman"/>
      <w:lang w:val="es-ES_tradnl" w:eastAsia="en-US"/>
    </w:rPr>
  </w:style>
  <w:style w:type="paragraph" w:customStyle="1" w:styleId="ddate">
    <w:name w:val="ddate"/>
    <w:basedOn w:val="Normal"/>
    <w:rsid w:val="009630C4"/>
    <w:pPr>
      <w:framePr w:hSpace="181" w:wrap="around" w:vAnchor="page" w:hAnchor="margin" w:y="852"/>
      <w:shd w:val="solid" w:color="FFFFFF" w:fill="FFFFFF"/>
      <w:spacing w:before="0"/>
    </w:pPr>
    <w:rPr>
      <w:b/>
      <w:bCs/>
    </w:rPr>
  </w:style>
  <w:style w:type="paragraph" w:customStyle="1" w:styleId="dnum">
    <w:name w:val="dnum"/>
    <w:basedOn w:val="Normal"/>
    <w:rsid w:val="009630C4"/>
    <w:pPr>
      <w:framePr w:hSpace="181" w:wrap="around" w:vAnchor="page" w:hAnchor="margin" w:y="852"/>
      <w:shd w:val="solid" w:color="FFFFFF" w:fill="FFFFFF"/>
    </w:pPr>
    <w:rPr>
      <w:b/>
      <w:bCs/>
    </w:rPr>
  </w:style>
  <w:style w:type="paragraph" w:customStyle="1" w:styleId="dorlang">
    <w:name w:val="dorlang"/>
    <w:basedOn w:val="Normal"/>
    <w:rsid w:val="009630C4"/>
    <w:pPr>
      <w:framePr w:hSpace="181" w:wrap="around" w:vAnchor="page" w:hAnchor="margin" w:y="852"/>
      <w:shd w:val="solid" w:color="FFFFFF" w:fill="FFFFFF"/>
      <w:spacing w:before="0"/>
    </w:pPr>
    <w:rPr>
      <w:b/>
      <w:bCs/>
    </w:rPr>
  </w:style>
  <w:style w:type="character" w:styleId="EndnoteReference">
    <w:name w:val="endnote reference"/>
    <w:basedOn w:val="DefaultParagraphFont"/>
    <w:rsid w:val="009630C4"/>
    <w:rPr>
      <w:vertAlign w:val="superscript"/>
    </w:rPr>
  </w:style>
  <w:style w:type="paragraph" w:customStyle="1" w:styleId="enumlev1">
    <w:name w:val="enumlev1"/>
    <w:basedOn w:val="Normal"/>
    <w:link w:val="enumlev1Char"/>
    <w:uiPriority w:val="99"/>
    <w:rsid w:val="009630C4"/>
    <w:pPr>
      <w:tabs>
        <w:tab w:val="clear" w:pos="2268"/>
        <w:tab w:val="left" w:pos="2608"/>
        <w:tab w:val="left" w:pos="3345"/>
      </w:tabs>
      <w:spacing w:before="80"/>
      <w:ind w:left="1134" w:hanging="1134"/>
    </w:pPr>
  </w:style>
  <w:style w:type="paragraph" w:customStyle="1" w:styleId="enumlev2">
    <w:name w:val="enumlev2"/>
    <w:basedOn w:val="enumlev1"/>
    <w:rsid w:val="009630C4"/>
    <w:pPr>
      <w:ind w:left="1871" w:hanging="737"/>
    </w:pPr>
  </w:style>
  <w:style w:type="paragraph" w:customStyle="1" w:styleId="enumlev3">
    <w:name w:val="enumlev3"/>
    <w:basedOn w:val="enumlev2"/>
    <w:rsid w:val="009630C4"/>
    <w:pPr>
      <w:ind w:left="2268" w:hanging="397"/>
    </w:pPr>
  </w:style>
  <w:style w:type="paragraph" w:customStyle="1" w:styleId="Equation">
    <w:name w:val="Equation"/>
    <w:basedOn w:val="Normal"/>
    <w:rsid w:val="009630C4"/>
    <w:pPr>
      <w:tabs>
        <w:tab w:val="clear" w:pos="1871"/>
        <w:tab w:val="clear" w:pos="2268"/>
        <w:tab w:val="center" w:pos="4820"/>
        <w:tab w:val="right" w:pos="9639"/>
      </w:tabs>
    </w:pPr>
  </w:style>
  <w:style w:type="paragraph" w:styleId="NormalIndent">
    <w:name w:val="Normal Indent"/>
    <w:basedOn w:val="Normal"/>
    <w:rsid w:val="009630C4"/>
    <w:pPr>
      <w:ind w:left="1134"/>
    </w:pPr>
  </w:style>
  <w:style w:type="paragraph" w:customStyle="1" w:styleId="Equationlegend">
    <w:name w:val="Equation_legend"/>
    <w:basedOn w:val="NormalIndent"/>
    <w:rsid w:val="009630C4"/>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9630C4"/>
    <w:pPr>
      <w:keepNext/>
      <w:keepLines/>
      <w:jc w:val="center"/>
    </w:pPr>
  </w:style>
  <w:style w:type="paragraph" w:customStyle="1" w:styleId="Figurelegend">
    <w:name w:val="Figure_legend"/>
    <w:basedOn w:val="Normal"/>
    <w:rsid w:val="009630C4"/>
    <w:pPr>
      <w:keepNext/>
      <w:keepLines/>
      <w:spacing w:before="20" w:after="20"/>
    </w:pPr>
    <w:rPr>
      <w:sz w:val="18"/>
    </w:rPr>
  </w:style>
  <w:style w:type="paragraph" w:customStyle="1" w:styleId="FigureNo">
    <w:name w:val="Figure_No"/>
    <w:basedOn w:val="Normal"/>
    <w:next w:val="Normal"/>
    <w:rsid w:val="009630C4"/>
    <w:pPr>
      <w:keepNext/>
      <w:keepLines/>
      <w:spacing w:before="480" w:after="120"/>
      <w:jc w:val="center"/>
    </w:pPr>
    <w:rPr>
      <w:caps/>
      <w:sz w:val="20"/>
    </w:rPr>
  </w:style>
  <w:style w:type="paragraph" w:customStyle="1" w:styleId="Tabletitle">
    <w:name w:val="Table_title"/>
    <w:basedOn w:val="Normal"/>
    <w:next w:val="Tabletext"/>
    <w:rsid w:val="009630C4"/>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9630C4"/>
    <w:pPr>
      <w:spacing w:after="480"/>
    </w:pPr>
  </w:style>
  <w:style w:type="paragraph" w:customStyle="1" w:styleId="Figurewithouttitle">
    <w:name w:val="Figure_without_title"/>
    <w:basedOn w:val="FigureNo"/>
    <w:next w:val="Normal"/>
    <w:rsid w:val="009630C4"/>
    <w:pPr>
      <w:keepNext w:val="0"/>
    </w:pPr>
  </w:style>
  <w:style w:type="paragraph" w:styleId="Footer">
    <w:name w:val="footer"/>
    <w:basedOn w:val="Normal"/>
    <w:link w:val="FooterChar"/>
    <w:rsid w:val="009630C4"/>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uiPriority w:val="99"/>
    <w:rsid w:val="009630C4"/>
    <w:rPr>
      <w:rFonts w:ascii="Times New Roman" w:hAnsi="Times New Roman"/>
      <w:caps/>
      <w:noProof/>
      <w:sz w:val="16"/>
      <w:lang w:val="es-ES_tradnl" w:eastAsia="en-US"/>
    </w:rPr>
  </w:style>
  <w:style w:type="paragraph" w:customStyle="1" w:styleId="FirstFooter">
    <w:name w:val="FirstFooter"/>
    <w:basedOn w:val="Footer"/>
    <w:rsid w:val="009630C4"/>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30C4"/>
    <w:rPr>
      <w:position w:val="6"/>
      <w:sz w:val="18"/>
    </w:rPr>
  </w:style>
  <w:style w:type="paragraph" w:styleId="FootnoteText">
    <w:name w:val="footnote text"/>
    <w:basedOn w:val="Normal"/>
    <w:link w:val="FootnoteTextChar"/>
    <w:rsid w:val="009630C4"/>
    <w:pPr>
      <w:keepLines/>
      <w:tabs>
        <w:tab w:val="left" w:pos="255"/>
      </w:tabs>
    </w:pPr>
  </w:style>
  <w:style w:type="character" w:customStyle="1" w:styleId="FootnoteTextChar">
    <w:name w:val="Footnote Text Char"/>
    <w:basedOn w:val="DefaultParagraphFont"/>
    <w:link w:val="FootnoteText"/>
    <w:rsid w:val="009630C4"/>
    <w:rPr>
      <w:rFonts w:ascii="Times New Roman" w:hAnsi="Times New Roman"/>
      <w:sz w:val="24"/>
      <w:lang w:val="es-ES_tradnl" w:eastAsia="en-US"/>
    </w:rPr>
  </w:style>
  <w:style w:type="paragraph" w:styleId="Header">
    <w:name w:val="header"/>
    <w:basedOn w:val="Normal"/>
    <w:link w:val="HeaderChar"/>
    <w:rsid w:val="009630C4"/>
    <w:pPr>
      <w:spacing w:before="0"/>
      <w:jc w:val="center"/>
    </w:pPr>
    <w:rPr>
      <w:sz w:val="18"/>
    </w:rPr>
  </w:style>
  <w:style w:type="character" w:customStyle="1" w:styleId="HeaderChar">
    <w:name w:val="Header Char"/>
    <w:basedOn w:val="DefaultParagraphFont"/>
    <w:link w:val="Header"/>
    <w:rsid w:val="009630C4"/>
    <w:rPr>
      <w:rFonts w:ascii="Times New Roman" w:hAnsi="Times New Roman"/>
      <w:sz w:val="18"/>
      <w:lang w:val="es-ES_tradnl" w:eastAsia="en-US"/>
    </w:rPr>
  </w:style>
  <w:style w:type="paragraph" w:customStyle="1" w:styleId="Headingb">
    <w:name w:val="Heading_b"/>
    <w:basedOn w:val="Normal"/>
    <w:next w:val="Normal"/>
    <w:link w:val="HeadingbChar"/>
    <w:rsid w:val="009630C4"/>
    <w:pPr>
      <w:keepNext/>
      <w:spacing w:before="160"/>
    </w:pPr>
    <w:rPr>
      <w:rFonts w:ascii="Times" w:hAnsi="Times"/>
      <w:b/>
    </w:rPr>
  </w:style>
  <w:style w:type="paragraph" w:customStyle="1" w:styleId="Headingi">
    <w:name w:val="Heading_i"/>
    <w:basedOn w:val="Normal"/>
    <w:next w:val="Normal"/>
    <w:rsid w:val="009630C4"/>
    <w:pPr>
      <w:keepNext/>
      <w:spacing w:before="160"/>
    </w:pPr>
    <w:rPr>
      <w:rFonts w:ascii="Times" w:hAnsi="Times"/>
      <w:i/>
    </w:rPr>
  </w:style>
  <w:style w:type="paragraph" w:styleId="Index1">
    <w:name w:val="index 1"/>
    <w:basedOn w:val="Normal"/>
    <w:next w:val="Normal"/>
    <w:rsid w:val="009630C4"/>
  </w:style>
  <w:style w:type="paragraph" w:styleId="Index2">
    <w:name w:val="index 2"/>
    <w:basedOn w:val="Normal"/>
    <w:next w:val="Normal"/>
    <w:rsid w:val="009630C4"/>
    <w:pPr>
      <w:ind w:left="283"/>
    </w:pPr>
  </w:style>
  <w:style w:type="paragraph" w:styleId="Index3">
    <w:name w:val="index 3"/>
    <w:basedOn w:val="Normal"/>
    <w:next w:val="Normal"/>
    <w:rsid w:val="009630C4"/>
    <w:pPr>
      <w:ind w:left="566"/>
    </w:pPr>
  </w:style>
  <w:style w:type="paragraph" w:styleId="Index4">
    <w:name w:val="index 4"/>
    <w:basedOn w:val="Normal"/>
    <w:next w:val="Normal"/>
    <w:rsid w:val="009630C4"/>
    <w:pPr>
      <w:ind w:left="849"/>
    </w:pPr>
  </w:style>
  <w:style w:type="paragraph" w:styleId="Index5">
    <w:name w:val="index 5"/>
    <w:basedOn w:val="Normal"/>
    <w:next w:val="Normal"/>
    <w:rsid w:val="009630C4"/>
    <w:pPr>
      <w:ind w:left="1132"/>
    </w:pPr>
  </w:style>
  <w:style w:type="paragraph" w:styleId="Index6">
    <w:name w:val="index 6"/>
    <w:basedOn w:val="Normal"/>
    <w:next w:val="Normal"/>
    <w:rsid w:val="009630C4"/>
    <w:pPr>
      <w:ind w:left="1415"/>
    </w:pPr>
  </w:style>
  <w:style w:type="paragraph" w:styleId="Index7">
    <w:name w:val="index 7"/>
    <w:basedOn w:val="Normal"/>
    <w:next w:val="Normal"/>
    <w:rsid w:val="009630C4"/>
    <w:pPr>
      <w:ind w:left="1698"/>
    </w:pPr>
  </w:style>
  <w:style w:type="paragraph" w:styleId="IndexHeading">
    <w:name w:val="index heading"/>
    <w:basedOn w:val="Normal"/>
    <w:next w:val="Index1"/>
    <w:rsid w:val="009630C4"/>
  </w:style>
  <w:style w:type="character" w:styleId="LineNumber">
    <w:name w:val="line number"/>
    <w:basedOn w:val="DefaultParagraphFont"/>
    <w:rsid w:val="009630C4"/>
  </w:style>
  <w:style w:type="paragraph" w:customStyle="1" w:styleId="Normalaftertitle">
    <w:name w:val="Normal after title"/>
    <w:basedOn w:val="Normal"/>
    <w:next w:val="Normal"/>
    <w:rsid w:val="009630C4"/>
    <w:pPr>
      <w:spacing w:before="280"/>
    </w:pPr>
  </w:style>
  <w:style w:type="paragraph" w:customStyle="1" w:styleId="Note">
    <w:name w:val="Note"/>
    <w:basedOn w:val="Normal"/>
    <w:rsid w:val="009630C4"/>
    <w:pPr>
      <w:tabs>
        <w:tab w:val="left" w:pos="284"/>
      </w:tabs>
      <w:spacing w:before="80"/>
    </w:pPr>
  </w:style>
  <w:style w:type="character" w:styleId="PageNumber">
    <w:name w:val="page number"/>
    <w:basedOn w:val="DefaultParagraphFont"/>
    <w:rsid w:val="009630C4"/>
  </w:style>
  <w:style w:type="paragraph" w:customStyle="1" w:styleId="PartNo">
    <w:name w:val="Part_No"/>
    <w:basedOn w:val="AnnexNo"/>
    <w:next w:val="Normal"/>
    <w:rsid w:val="009630C4"/>
  </w:style>
  <w:style w:type="paragraph" w:customStyle="1" w:styleId="Partref">
    <w:name w:val="Part_ref"/>
    <w:basedOn w:val="Annexref"/>
    <w:next w:val="Normal"/>
    <w:rsid w:val="009630C4"/>
  </w:style>
  <w:style w:type="paragraph" w:customStyle="1" w:styleId="Parttitle">
    <w:name w:val="Part_title"/>
    <w:basedOn w:val="Annextitle"/>
    <w:next w:val="Normalaftertitle"/>
    <w:rsid w:val="009630C4"/>
  </w:style>
  <w:style w:type="paragraph" w:customStyle="1" w:styleId="Proposal">
    <w:name w:val="Proposal"/>
    <w:basedOn w:val="Normal"/>
    <w:next w:val="Normal"/>
    <w:rsid w:val="009630C4"/>
    <w:pPr>
      <w:keepNext/>
      <w:spacing w:before="240"/>
    </w:pPr>
    <w:rPr>
      <w:rFonts w:hAnsi="Times New Roman Bold"/>
    </w:rPr>
  </w:style>
  <w:style w:type="paragraph" w:customStyle="1" w:styleId="RecNo">
    <w:name w:val="Rec_No"/>
    <w:basedOn w:val="Normal"/>
    <w:next w:val="Normal"/>
    <w:rsid w:val="009630C4"/>
    <w:pPr>
      <w:keepNext/>
      <w:keepLines/>
      <w:spacing w:before="480"/>
      <w:jc w:val="center"/>
    </w:pPr>
    <w:rPr>
      <w:caps/>
      <w:sz w:val="28"/>
    </w:rPr>
  </w:style>
  <w:style w:type="paragraph" w:customStyle="1" w:styleId="Rectitle">
    <w:name w:val="Rec_title"/>
    <w:basedOn w:val="RecNo"/>
    <w:next w:val="Normal"/>
    <w:rsid w:val="009630C4"/>
    <w:pPr>
      <w:spacing w:before="240"/>
    </w:pPr>
    <w:rPr>
      <w:rFonts w:ascii="Times New Roman Bold" w:hAnsi="Times New Roman Bold"/>
      <w:b/>
      <w:caps w:val="0"/>
    </w:rPr>
  </w:style>
  <w:style w:type="paragraph" w:customStyle="1" w:styleId="Recref">
    <w:name w:val="Rec_ref"/>
    <w:basedOn w:val="Rectitle"/>
    <w:next w:val="Normal"/>
    <w:rsid w:val="009630C4"/>
    <w:pPr>
      <w:spacing w:before="120"/>
    </w:pPr>
    <w:rPr>
      <w:rFonts w:ascii="Times New Roman" w:hAnsi="Times New Roman"/>
      <w:b w:val="0"/>
      <w:sz w:val="24"/>
    </w:rPr>
  </w:style>
  <w:style w:type="paragraph" w:customStyle="1" w:styleId="Recdate">
    <w:name w:val="Rec_date"/>
    <w:basedOn w:val="Recref"/>
    <w:next w:val="Normalaftertitle"/>
    <w:rsid w:val="009630C4"/>
    <w:pPr>
      <w:jc w:val="right"/>
    </w:pPr>
    <w:rPr>
      <w:sz w:val="22"/>
    </w:rPr>
  </w:style>
  <w:style w:type="paragraph" w:customStyle="1" w:styleId="Questiondate">
    <w:name w:val="Question_date"/>
    <w:basedOn w:val="Recdate"/>
    <w:next w:val="Normalaftertitle"/>
    <w:rsid w:val="009630C4"/>
  </w:style>
  <w:style w:type="paragraph" w:customStyle="1" w:styleId="QuestionNo">
    <w:name w:val="Question_No"/>
    <w:basedOn w:val="RecNo"/>
    <w:next w:val="Normal"/>
    <w:rsid w:val="009630C4"/>
  </w:style>
  <w:style w:type="paragraph" w:customStyle="1" w:styleId="Questionref">
    <w:name w:val="Question_ref"/>
    <w:basedOn w:val="Recref"/>
    <w:next w:val="Questiondate"/>
    <w:rsid w:val="009630C4"/>
  </w:style>
  <w:style w:type="paragraph" w:customStyle="1" w:styleId="Questiontitle">
    <w:name w:val="Question_title"/>
    <w:basedOn w:val="Rectitle"/>
    <w:next w:val="Questionref"/>
    <w:rsid w:val="009630C4"/>
  </w:style>
  <w:style w:type="paragraph" w:customStyle="1" w:styleId="Reasons">
    <w:name w:val="Reasons"/>
    <w:basedOn w:val="Normal"/>
    <w:qFormat/>
    <w:rsid w:val="009630C4"/>
    <w:pPr>
      <w:tabs>
        <w:tab w:val="clear" w:pos="1871"/>
        <w:tab w:val="clear" w:pos="2268"/>
        <w:tab w:val="left" w:pos="1588"/>
        <w:tab w:val="left" w:pos="1985"/>
      </w:tabs>
    </w:pPr>
  </w:style>
  <w:style w:type="character" w:customStyle="1" w:styleId="Recdef">
    <w:name w:val="Rec_def"/>
    <w:basedOn w:val="DefaultParagraphFont"/>
    <w:rsid w:val="009630C4"/>
    <w:rPr>
      <w:b/>
    </w:rPr>
  </w:style>
  <w:style w:type="paragraph" w:customStyle="1" w:styleId="Reftext">
    <w:name w:val="Ref_text"/>
    <w:basedOn w:val="Normal"/>
    <w:rsid w:val="009630C4"/>
    <w:pPr>
      <w:ind w:left="1134" w:hanging="1134"/>
    </w:pPr>
  </w:style>
  <w:style w:type="paragraph" w:customStyle="1" w:styleId="Reftitle">
    <w:name w:val="Ref_title"/>
    <w:basedOn w:val="Normal"/>
    <w:next w:val="Reftext"/>
    <w:rsid w:val="009630C4"/>
    <w:pPr>
      <w:spacing w:before="480"/>
      <w:jc w:val="center"/>
    </w:pPr>
    <w:rPr>
      <w:caps/>
    </w:rPr>
  </w:style>
  <w:style w:type="paragraph" w:customStyle="1" w:styleId="Repdate">
    <w:name w:val="Rep_date"/>
    <w:basedOn w:val="Recdate"/>
    <w:next w:val="Normalaftertitle"/>
    <w:rsid w:val="009630C4"/>
  </w:style>
  <w:style w:type="paragraph" w:customStyle="1" w:styleId="RepNo">
    <w:name w:val="Rep_No"/>
    <w:basedOn w:val="RecNo"/>
    <w:next w:val="Normal"/>
    <w:rsid w:val="009630C4"/>
  </w:style>
  <w:style w:type="paragraph" w:customStyle="1" w:styleId="Repref">
    <w:name w:val="Rep_ref"/>
    <w:basedOn w:val="Recref"/>
    <w:next w:val="Repdate"/>
    <w:rsid w:val="009630C4"/>
  </w:style>
  <w:style w:type="paragraph" w:customStyle="1" w:styleId="Reptitle">
    <w:name w:val="Rep_title"/>
    <w:basedOn w:val="Rectitle"/>
    <w:next w:val="Repref"/>
    <w:rsid w:val="009630C4"/>
  </w:style>
  <w:style w:type="paragraph" w:customStyle="1" w:styleId="Resdate">
    <w:name w:val="Res_date"/>
    <w:basedOn w:val="Recdate"/>
    <w:next w:val="Normalaftertitle"/>
    <w:rsid w:val="009630C4"/>
  </w:style>
  <w:style w:type="character" w:customStyle="1" w:styleId="Resdef">
    <w:name w:val="Res_def"/>
    <w:basedOn w:val="DefaultParagraphFont"/>
    <w:rsid w:val="009630C4"/>
    <w:rPr>
      <w:rFonts w:ascii="Times New Roman" w:hAnsi="Times New Roman"/>
      <w:b/>
    </w:rPr>
  </w:style>
  <w:style w:type="paragraph" w:customStyle="1" w:styleId="ResNo">
    <w:name w:val="Res_No"/>
    <w:basedOn w:val="RecNo"/>
    <w:next w:val="Normal"/>
    <w:rsid w:val="009630C4"/>
  </w:style>
  <w:style w:type="paragraph" w:customStyle="1" w:styleId="Resref">
    <w:name w:val="Res_ref"/>
    <w:basedOn w:val="Recref"/>
    <w:next w:val="Resdate"/>
    <w:rsid w:val="009630C4"/>
  </w:style>
  <w:style w:type="paragraph" w:customStyle="1" w:styleId="Restitle">
    <w:name w:val="Res_title"/>
    <w:basedOn w:val="Rectitle"/>
    <w:next w:val="Resref"/>
    <w:rsid w:val="009630C4"/>
  </w:style>
  <w:style w:type="paragraph" w:customStyle="1" w:styleId="Section1">
    <w:name w:val="Section_1"/>
    <w:basedOn w:val="Normal"/>
    <w:rsid w:val="009630C4"/>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630C4"/>
    <w:rPr>
      <w:b w:val="0"/>
      <w:i/>
    </w:rPr>
  </w:style>
  <w:style w:type="paragraph" w:customStyle="1" w:styleId="Section3">
    <w:name w:val="Section_3"/>
    <w:basedOn w:val="Section1"/>
    <w:rsid w:val="009630C4"/>
    <w:rPr>
      <w:b w:val="0"/>
    </w:rPr>
  </w:style>
  <w:style w:type="paragraph" w:customStyle="1" w:styleId="SectionNo">
    <w:name w:val="Section_No"/>
    <w:basedOn w:val="AnnexNo"/>
    <w:next w:val="Normal"/>
    <w:rsid w:val="009630C4"/>
  </w:style>
  <w:style w:type="paragraph" w:customStyle="1" w:styleId="Sectiontitle">
    <w:name w:val="Section_title"/>
    <w:basedOn w:val="Annextitle"/>
    <w:next w:val="Normalaftertitle"/>
    <w:rsid w:val="009630C4"/>
  </w:style>
  <w:style w:type="paragraph" w:customStyle="1" w:styleId="Source">
    <w:name w:val="Source"/>
    <w:basedOn w:val="Normal"/>
    <w:next w:val="Normal"/>
    <w:rsid w:val="009630C4"/>
    <w:pPr>
      <w:spacing w:before="840"/>
      <w:jc w:val="center"/>
    </w:pPr>
    <w:rPr>
      <w:b/>
      <w:sz w:val="28"/>
    </w:rPr>
  </w:style>
  <w:style w:type="paragraph" w:customStyle="1" w:styleId="SpecialFooter">
    <w:name w:val="Special Footer"/>
    <w:basedOn w:val="Footer"/>
    <w:rsid w:val="009630C4"/>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9630C4"/>
    <w:rPr>
      <w:b/>
      <w:color w:val="auto"/>
      <w:sz w:val="20"/>
    </w:rPr>
  </w:style>
  <w:style w:type="paragraph" w:customStyle="1" w:styleId="Tablehead">
    <w:name w:val="Table_head"/>
    <w:basedOn w:val="Tabletext"/>
    <w:next w:val="Tabletext"/>
    <w:rsid w:val="009630C4"/>
    <w:pPr>
      <w:keepNext/>
      <w:spacing w:before="80" w:after="80"/>
      <w:jc w:val="center"/>
    </w:pPr>
    <w:rPr>
      <w:b/>
    </w:rPr>
  </w:style>
  <w:style w:type="paragraph" w:customStyle="1" w:styleId="Tablelegend">
    <w:name w:val="Table_legend"/>
    <w:basedOn w:val="Tabletext"/>
    <w:rsid w:val="009630C4"/>
    <w:pPr>
      <w:tabs>
        <w:tab w:val="clear" w:pos="284"/>
      </w:tabs>
      <w:spacing w:before="120"/>
    </w:pPr>
  </w:style>
  <w:style w:type="paragraph" w:customStyle="1" w:styleId="TableNo">
    <w:name w:val="Table_No"/>
    <w:basedOn w:val="Normal"/>
    <w:next w:val="Tabletitle"/>
    <w:rsid w:val="009630C4"/>
    <w:pPr>
      <w:keepNext/>
      <w:spacing w:before="560" w:after="120"/>
      <w:jc w:val="center"/>
    </w:pPr>
    <w:rPr>
      <w:caps/>
      <w:sz w:val="20"/>
    </w:rPr>
  </w:style>
  <w:style w:type="paragraph" w:customStyle="1" w:styleId="Tableref">
    <w:name w:val="Table_ref"/>
    <w:basedOn w:val="Normal"/>
    <w:next w:val="Tabletitle"/>
    <w:rsid w:val="009630C4"/>
    <w:pPr>
      <w:keepNext/>
      <w:spacing w:before="560"/>
      <w:jc w:val="center"/>
    </w:pPr>
    <w:rPr>
      <w:sz w:val="20"/>
    </w:rPr>
  </w:style>
  <w:style w:type="paragraph" w:customStyle="1" w:styleId="TableTextS5">
    <w:name w:val="Table_TextS5"/>
    <w:basedOn w:val="Normal"/>
    <w:rsid w:val="009630C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9630C4"/>
    <w:pPr>
      <w:tabs>
        <w:tab w:val="left" w:pos="567"/>
        <w:tab w:val="left" w:pos="1701"/>
        <w:tab w:val="left" w:pos="2835"/>
      </w:tabs>
      <w:spacing w:before="240"/>
    </w:pPr>
    <w:rPr>
      <w:b w:val="0"/>
      <w:caps/>
    </w:rPr>
  </w:style>
  <w:style w:type="paragraph" w:customStyle="1" w:styleId="Title2">
    <w:name w:val="Title 2"/>
    <w:basedOn w:val="Source"/>
    <w:next w:val="Normal"/>
    <w:rsid w:val="009630C4"/>
    <w:pPr>
      <w:overflowPunct/>
      <w:autoSpaceDE/>
      <w:autoSpaceDN/>
      <w:adjustRightInd/>
      <w:spacing w:before="480"/>
      <w:textAlignment w:val="auto"/>
    </w:pPr>
    <w:rPr>
      <w:b w:val="0"/>
      <w:caps/>
    </w:rPr>
  </w:style>
  <w:style w:type="paragraph" w:customStyle="1" w:styleId="Title3">
    <w:name w:val="Title 3"/>
    <w:basedOn w:val="Title2"/>
    <w:next w:val="Normal"/>
    <w:rsid w:val="009630C4"/>
    <w:pPr>
      <w:spacing w:before="240"/>
    </w:pPr>
    <w:rPr>
      <w:caps w:val="0"/>
    </w:rPr>
  </w:style>
  <w:style w:type="paragraph" w:customStyle="1" w:styleId="Title4">
    <w:name w:val="Title 4"/>
    <w:basedOn w:val="Title3"/>
    <w:next w:val="Heading1"/>
    <w:rsid w:val="009630C4"/>
    <w:rPr>
      <w:b/>
    </w:rPr>
  </w:style>
  <w:style w:type="paragraph" w:customStyle="1" w:styleId="toc0">
    <w:name w:val="toc 0"/>
    <w:basedOn w:val="Normal"/>
    <w:next w:val="TOC1"/>
    <w:rsid w:val="009630C4"/>
    <w:pPr>
      <w:tabs>
        <w:tab w:val="clear" w:pos="1134"/>
        <w:tab w:val="clear" w:pos="1871"/>
        <w:tab w:val="clear" w:pos="2268"/>
        <w:tab w:val="right" w:pos="9781"/>
      </w:tabs>
    </w:pPr>
    <w:rPr>
      <w:b/>
    </w:rPr>
  </w:style>
  <w:style w:type="paragraph" w:styleId="TOC1">
    <w:name w:val="toc 1"/>
    <w:basedOn w:val="Normal"/>
    <w:rsid w:val="009630C4"/>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630C4"/>
    <w:pPr>
      <w:spacing w:before="120"/>
    </w:pPr>
  </w:style>
  <w:style w:type="paragraph" w:styleId="TOC3">
    <w:name w:val="toc 3"/>
    <w:basedOn w:val="TOC2"/>
    <w:rsid w:val="009630C4"/>
  </w:style>
  <w:style w:type="paragraph" w:styleId="TOC4">
    <w:name w:val="toc 4"/>
    <w:basedOn w:val="TOC3"/>
    <w:rsid w:val="009630C4"/>
  </w:style>
  <w:style w:type="paragraph" w:styleId="TOC5">
    <w:name w:val="toc 5"/>
    <w:basedOn w:val="TOC4"/>
    <w:rsid w:val="009630C4"/>
  </w:style>
  <w:style w:type="paragraph" w:styleId="TOC6">
    <w:name w:val="toc 6"/>
    <w:basedOn w:val="TOC4"/>
    <w:rsid w:val="009630C4"/>
  </w:style>
  <w:style w:type="paragraph" w:styleId="TOC7">
    <w:name w:val="toc 7"/>
    <w:basedOn w:val="TOC4"/>
    <w:rsid w:val="009630C4"/>
  </w:style>
  <w:style w:type="paragraph" w:styleId="TOC8">
    <w:name w:val="toc 8"/>
    <w:basedOn w:val="TOC4"/>
    <w:rsid w:val="009630C4"/>
  </w:style>
  <w:style w:type="character" w:customStyle="1" w:styleId="Heading1Char">
    <w:name w:val="Heading 1 Char"/>
    <w:aliases w:val="h1 Char,1st level Char,H1 Char,1 Char,l1 Char,título 1 Char"/>
    <w:basedOn w:val="DefaultParagraphFont"/>
    <w:link w:val="Heading1"/>
    <w:rsid w:val="0074369E"/>
    <w:rPr>
      <w:rFonts w:ascii="Times New Roman" w:hAnsi="Times New Roman"/>
      <w:b/>
      <w:sz w:val="28"/>
      <w:lang w:val="es-ES_tradnl" w:eastAsia="en-US"/>
    </w:rPr>
  </w:style>
  <w:style w:type="character" w:customStyle="1" w:styleId="Heading2Char">
    <w:name w:val="Heading 2 Char"/>
    <w:basedOn w:val="DefaultParagraphFont"/>
    <w:link w:val="Heading2"/>
    <w:rsid w:val="0074369E"/>
    <w:rPr>
      <w:rFonts w:ascii="Times New Roman" w:hAnsi="Times New Roman"/>
      <w:b/>
      <w:sz w:val="24"/>
      <w:lang w:val="es-ES_tradnl" w:eastAsia="en-US"/>
    </w:rPr>
  </w:style>
  <w:style w:type="character" w:customStyle="1" w:styleId="Heading3Char">
    <w:name w:val="Heading 3 Char"/>
    <w:basedOn w:val="DefaultParagraphFont"/>
    <w:link w:val="Heading3"/>
    <w:rsid w:val="0074369E"/>
    <w:rPr>
      <w:rFonts w:ascii="Times New Roman" w:hAnsi="Times New Roman"/>
      <w:b/>
      <w:sz w:val="24"/>
      <w:lang w:val="es-ES_tradnl" w:eastAsia="en-US"/>
    </w:rPr>
  </w:style>
  <w:style w:type="character" w:customStyle="1" w:styleId="Heading4Char">
    <w:name w:val="Heading 4 Char"/>
    <w:basedOn w:val="DefaultParagraphFont"/>
    <w:link w:val="Heading4"/>
    <w:rsid w:val="0074369E"/>
    <w:rPr>
      <w:rFonts w:ascii="Times New Roman" w:hAnsi="Times New Roman"/>
      <w:b/>
      <w:sz w:val="24"/>
      <w:lang w:val="es-ES_tradnl" w:eastAsia="en-US"/>
    </w:rPr>
  </w:style>
  <w:style w:type="character" w:customStyle="1" w:styleId="Heading5Char">
    <w:name w:val="Heading 5 Char"/>
    <w:basedOn w:val="DefaultParagraphFont"/>
    <w:link w:val="Heading5"/>
    <w:rsid w:val="0074369E"/>
    <w:rPr>
      <w:rFonts w:ascii="Times New Roman" w:hAnsi="Times New Roman"/>
      <w:b/>
      <w:sz w:val="24"/>
      <w:lang w:val="es-ES_tradnl" w:eastAsia="en-US"/>
    </w:rPr>
  </w:style>
  <w:style w:type="character" w:customStyle="1" w:styleId="Heading6Char">
    <w:name w:val="Heading 6 Char"/>
    <w:basedOn w:val="DefaultParagraphFont"/>
    <w:link w:val="Heading6"/>
    <w:rsid w:val="0074369E"/>
    <w:rPr>
      <w:rFonts w:ascii="Times New Roman" w:hAnsi="Times New Roman"/>
      <w:b/>
      <w:sz w:val="24"/>
      <w:lang w:val="es-ES_tradnl" w:eastAsia="en-US"/>
    </w:rPr>
  </w:style>
  <w:style w:type="character" w:customStyle="1" w:styleId="Heading7Char">
    <w:name w:val="Heading 7 Char"/>
    <w:basedOn w:val="DefaultParagraphFont"/>
    <w:link w:val="Heading7"/>
    <w:rsid w:val="0074369E"/>
    <w:rPr>
      <w:rFonts w:ascii="Times New Roman" w:hAnsi="Times New Roman"/>
      <w:b/>
      <w:sz w:val="24"/>
      <w:lang w:val="es-ES_tradnl" w:eastAsia="en-US"/>
    </w:rPr>
  </w:style>
  <w:style w:type="character" w:customStyle="1" w:styleId="Heading8Char">
    <w:name w:val="Heading 8 Char"/>
    <w:basedOn w:val="DefaultParagraphFont"/>
    <w:link w:val="Heading8"/>
    <w:rsid w:val="0074369E"/>
    <w:rPr>
      <w:rFonts w:ascii="Times New Roman" w:hAnsi="Times New Roman"/>
      <w:b/>
      <w:sz w:val="24"/>
      <w:lang w:val="es-ES_tradnl" w:eastAsia="en-US"/>
    </w:rPr>
  </w:style>
  <w:style w:type="character" w:customStyle="1" w:styleId="Heading9Char">
    <w:name w:val="Heading 9 Char"/>
    <w:basedOn w:val="DefaultParagraphFont"/>
    <w:link w:val="Heading9"/>
    <w:rsid w:val="0074369E"/>
    <w:rPr>
      <w:rFonts w:ascii="Times New Roman" w:hAnsi="Times New Roman"/>
      <w:b/>
      <w:sz w:val="24"/>
      <w:lang w:val="es-ES_tradnl" w:eastAsia="en-US"/>
    </w:rPr>
  </w:style>
  <w:style w:type="paragraph" w:customStyle="1" w:styleId="HeadingSum">
    <w:name w:val="Heading_Sum"/>
    <w:basedOn w:val="Heading1"/>
    <w:next w:val="Summary"/>
    <w:rsid w:val="0074369E"/>
    <w:pPr>
      <w:tabs>
        <w:tab w:val="clear" w:pos="1134"/>
        <w:tab w:val="clear" w:pos="1871"/>
        <w:tab w:val="clear" w:pos="2268"/>
        <w:tab w:val="left" w:pos="794"/>
        <w:tab w:val="left" w:pos="1191"/>
        <w:tab w:val="left" w:pos="1588"/>
        <w:tab w:val="left" w:pos="1985"/>
      </w:tabs>
      <w:spacing w:before="360"/>
      <w:ind w:left="794" w:hanging="794"/>
    </w:pPr>
    <w:rPr>
      <w:sz w:val="22"/>
      <w:lang w:val="en-GB"/>
    </w:rPr>
  </w:style>
  <w:style w:type="paragraph" w:customStyle="1" w:styleId="Normalaftertitle0">
    <w:name w:val="Normal_after_title"/>
    <w:basedOn w:val="Normal"/>
    <w:next w:val="Normal"/>
    <w:rsid w:val="0074369E"/>
    <w:pPr>
      <w:tabs>
        <w:tab w:val="clear" w:pos="1134"/>
        <w:tab w:val="clear" w:pos="1871"/>
        <w:tab w:val="clear" w:pos="2268"/>
        <w:tab w:val="left" w:pos="794"/>
        <w:tab w:val="left" w:pos="1191"/>
        <w:tab w:val="left" w:pos="1588"/>
        <w:tab w:val="left" w:pos="1985"/>
      </w:tabs>
      <w:spacing w:before="360"/>
    </w:pPr>
    <w:rPr>
      <w:lang w:val="en-GB"/>
    </w:rPr>
  </w:style>
  <w:style w:type="paragraph" w:customStyle="1" w:styleId="AnnexNotitle">
    <w:name w:val="Annex_No &amp; title"/>
    <w:basedOn w:val="Normal"/>
    <w:next w:val="Normal"/>
    <w:rsid w:val="0074369E"/>
    <w:pPr>
      <w:keepNext/>
      <w:keepLines/>
      <w:tabs>
        <w:tab w:val="clear" w:pos="1134"/>
        <w:tab w:val="clear" w:pos="1871"/>
        <w:tab w:val="clear" w:pos="2268"/>
        <w:tab w:val="left" w:pos="794"/>
        <w:tab w:val="left" w:pos="1191"/>
        <w:tab w:val="left" w:pos="1588"/>
        <w:tab w:val="left" w:pos="1985"/>
      </w:tabs>
      <w:spacing w:before="480"/>
      <w:jc w:val="center"/>
    </w:pPr>
    <w:rPr>
      <w:b/>
      <w:sz w:val="28"/>
      <w:lang w:val="en-GB"/>
    </w:rPr>
  </w:style>
  <w:style w:type="paragraph" w:customStyle="1" w:styleId="AppendixNotitle">
    <w:name w:val="Appendix_No &amp; title"/>
    <w:basedOn w:val="AnnexNotitle"/>
    <w:next w:val="Normal"/>
    <w:rsid w:val="0074369E"/>
  </w:style>
  <w:style w:type="paragraph" w:customStyle="1" w:styleId="Formal">
    <w:name w:val="Formal"/>
    <w:basedOn w:val="ASN1"/>
    <w:rsid w:val="0074369E"/>
    <w:pPr>
      <w:tabs>
        <w:tab w:val="clear" w:pos="1871"/>
        <w:tab w:val="left" w:pos="794"/>
        <w:tab w:val="left" w:pos="1191"/>
        <w:tab w:val="left" w:pos="1588"/>
        <w:tab w:val="left" w:pos="1985"/>
      </w:tabs>
    </w:pPr>
    <w:rPr>
      <w:rFonts w:ascii="Courier New" w:hAnsi="Courier New"/>
      <w:b w:val="0"/>
      <w:lang w:val="en-GB"/>
    </w:rPr>
  </w:style>
  <w:style w:type="paragraph" w:customStyle="1" w:styleId="Summary">
    <w:name w:val="Summary"/>
    <w:basedOn w:val="Normal"/>
    <w:next w:val="Normal"/>
    <w:rsid w:val="0074369E"/>
    <w:pPr>
      <w:tabs>
        <w:tab w:val="clear" w:pos="1134"/>
        <w:tab w:val="clear" w:pos="1871"/>
        <w:tab w:val="clear" w:pos="2268"/>
        <w:tab w:val="left" w:pos="794"/>
        <w:tab w:val="left" w:pos="1191"/>
        <w:tab w:val="left" w:pos="1588"/>
        <w:tab w:val="left" w:pos="1985"/>
      </w:tabs>
    </w:pPr>
    <w:rPr>
      <w:sz w:val="22"/>
      <w:lang w:val="en-GB"/>
    </w:rPr>
  </w:style>
  <w:style w:type="character" w:styleId="Hyperlink">
    <w:name w:val="Hyperlink"/>
    <w:basedOn w:val="DefaultParagraphFont"/>
    <w:rsid w:val="0074369E"/>
    <w:rPr>
      <w:color w:val="0000FF"/>
      <w:u w:val="single"/>
    </w:rPr>
  </w:style>
  <w:style w:type="paragraph" w:styleId="NormalWeb">
    <w:name w:val="Normal (Web)"/>
    <w:basedOn w:val="Normal"/>
    <w:rsid w:val="0074369E"/>
    <w:pPr>
      <w:tabs>
        <w:tab w:val="clear" w:pos="1134"/>
        <w:tab w:val="clear" w:pos="1871"/>
        <w:tab w:val="clear" w:pos="2268"/>
      </w:tabs>
      <w:overflowPunct/>
      <w:autoSpaceDE/>
      <w:autoSpaceDN/>
      <w:adjustRightInd/>
      <w:spacing w:before="100" w:beforeAutospacing="1" w:after="100" w:afterAutospacing="1"/>
      <w:textAlignment w:val="auto"/>
    </w:pPr>
    <w:rPr>
      <w:rFonts w:ascii="Arial Unicode MS" w:eastAsia="Arial Unicode MS" w:hAnsi="Arial Unicode MS" w:cs="Arial Unicode MS"/>
      <w:szCs w:val="24"/>
      <w:lang w:val="en-US"/>
    </w:rPr>
  </w:style>
  <w:style w:type="paragraph" w:styleId="BodyTextIndent">
    <w:name w:val="Body Text Indent"/>
    <w:basedOn w:val="Normal"/>
    <w:link w:val="BodyTextIndentChar"/>
    <w:rsid w:val="0074369E"/>
    <w:pPr>
      <w:ind w:left="2268" w:hanging="2268"/>
    </w:pPr>
    <w:rPr>
      <w:rFonts w:eastAsia="MS Mincho"/>
      <w:lang w:val="en-US"/>
    </w:rPr>
  </w:style>
  <w:style w:type="character" w:customStyle="1" w:styleId="BodyTextIndentChar">
    <w:name w:val="Body Text Indent Char"/>
    <w:basedOn w:val="DefaultParagraphFont"/>
    <w:link w:val="BodyTextIndent"/>
    <w:rsid w:val="0074369E"/>
    <w:rPr>
      <w:rFonts w:ascii="Times New Roman" w:eastAsia="MS Mincho" w:hAnsi="Times New Roman"/>
      <w:sz w:val="24"/>
      <w:lang w:eastAsia="en-US"/>
    </w:rPr>
  </w:style>
  <w:style w:type="character" w:customStyle="1" w:styleId="HeadingbChar">
    <w:name w:val="Heading_b Char"/>
    <w:basedOn w:val="DefaultParagraphFont"/>
    <w:link w:val="Headingb"/>
    <w:rsid w:val="0074369E"/>
    <w:rPr>
      <w:b/>
      <w:sz w:val="24"/>
      <w:lang w:val="es-ES_tradnl" w:eastAsia="en-US"/>
    </w:rPr>
  </w:style>
  <w:style w:type="paragraph" w:styleId="BodyText">
    <w:name w:val="Body Text"/>
    <w:basedOn w:val="Normal"/>
    <w:link w:val="BodyTextChar"/>
    <w:rsid w:val="0074369E"/>
    <w:pPr>
      <w:tabs>
        <w:tab w:val="clear" w:pos="1134"/>
        <w:tab w:val="clear" w:pos="1871"/>
        <w:tab w:val="clear" w:pos="2268"/>
        <w:tab w:val="left" w:pos="794"/>
        <w:tab w:val="left" w:pos="1191"/>
        <w:tab w:val="left" w:pos="1588"/>
        <w:tab w:val="left" w:pos="1985"/>
      </w:tabs>
      <w:spacing w:after="120"/>
    </w:pPr>
    <w:rPr>
      <w:lang w:val="en-GB"/>
    </w:rPr>
  </w:style>
  <w:style w:type="character" w:customStyle="1" w:styleId="BodyTextChar">
    <w:name w:val="Body Text Char"/>
    <w:basedOn w:val="DefaultParagraphFont"/>
    <w:link w:val="BodyText"/>
    <w:rsid w:val="0074369E"/>
    <w:rPr>
      <w:rFonts w:ascii="Times New Roman" w:hAnsi="Times New Roman"/>
      <w:sz w:val="24"/>
      <w:lang w:val="en-GB" w:eastAsia="en-US"/>
    </w:rPr>
  </w:style>
  <w:style w:type="table" w:styleId="TableGrid">
    <w:name w:val="Table Grid"/>
    <w:basedOn w:val="TableNormal"/>
    <w:rsid w:val="0074369E"/>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CharChar1Char">
    <w:name w:val="Char1 Char Char1 Char"/>
    <w:basedOn w:val="Normal"/>
    <w:rsid w:val="0074369E"/>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paragraph" w:styleId="BalloonText">
    <w:name w:val="Balloon Text"/>
    <w:basedOn w:val="Normal"/>
    <w:link w:val="BalloonTextChar"/>
    <w:rsid w:val="0074369E"/>
    <w:pPr>
      <w:spacing w:before="0"/>
    </w:pPr>
    <w:rPr>
      <w:rFonts w:ascii="Tahoma" w:hAnsi="Tahoma" w:cs="Tahoma"/>
      <w:sz w:val="16"/>
      <w:szCs w:val="16"/>
      <w:lang w:val="en-GB"/>
    </w:rPr>
  </w:style>
  <w:style w:type="character" w:customStyle="1" w:styleId="BalloonTextChar">
    <w:name w:val="Balloon Text Char"/>
    <w:basedOn w:val="DefaultParagraphFont"/>
    <w:link w:val="BalloonText"/>
    <w:rsid w:val="0074369E"/>
    <w:rPr>
      <w:rFonts w:ascii="Tahoma" w:hAnsi="Tahoma" w:cs="Tahoma"/>
      <w:sz w:val="16"/>
      <w:szCs w:val="16"/>
      <w:lang w:val="en-GB" w:eastAsia="en-US"/>
    </w:rPr>
  </w:style>
  <w:style w:type="paragraph" w:customStyle="1" w:styleId="Default">
    <w:name w:val="Default"/>
    <w:rsid w:val="0074369E"/>
    <w:pPr>
      <w:autoSpaceDE w:val="0"/>
      <w:autoSpaceDN w:val="0"/>
      <w:adjustRightInd w:val="0"/>
    </w:pPr>
    <w:rPr>
      <w:rFonts w:ascii="Times New Roman" w:hAnsi="Times New Roman"/>
      <w:color w:val="000000"/>
      <w:sz w:val="24"/>
      <w:szCs w:val="24"/>
    </w:rPr>
  </w:style>
  <w:style w:type="paragraph" w:customStyle="1" w:styleId="Style1">
    <w:name w:val="Style1"/>
    <w:basedOn w:val="Heading1"/>
    <w:qFormat/>
    <w:rsid w:val="0074369E"/>
  </w:style>
  <w:style w:type="character" w:customStyle="1" w:styleId="TabletextChar">
    <w:name w:val="Table_text Char"/>
    <w:basedOn w:val="DefaultParagraphFont"/>
    <w:link w:val="Tabletext"/>
    <w:rsid w:val="0074369E"/>
    <w:rPr>
      <w:rFonts w:ascii="Times New Roman" w:hAnsi="Times New Roman"/>
      <w:lang w:val="es-ES_tradnl" w:eastAsia="en-US"/>
    </w:rPr>
  </w:style>
  <w:style w:type="character" w:customStyle="1" w:styleId="enumlev1Char">
    <w:name w:val="enumlev1 Char"/>
    <w:link w:val="enumlev1"/>
    <w:uiPriority w:val="99"/>
    <w:locked/>
    <w:rsid w:val="0074369E"/>
    <w:rPr>
      <w:rFonts w:ascii="Times New Roman" w:hAnsi="Times New Roman"/>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rec/R-REC-SM.1370" TargetMode="External"/><Relationship Id="rId13" Type="http://schemas.openxmlformats.org/officeDocument/2006/relationships/hyperlink" Target="http://www.itu.int/rec/R-REC-SM.1896" TargetMode="External"/><Relationship Id="rId18" Type="http://schemas.openxmlformats.org/officeDocument/2006/relationships/hyperlink" Target="http://www.itu.int/rec/R-REC-SM.2039/en"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itu.int/go/ITU-R/RWP1B-SRD-UWB-14" TargetMode="External"/><Relationship Id="rId7" Type="http://schemas.openxmlformats.org/officeDocument/2006/relationships/image" Target="media/image1.png"/><Relationship Id="rId12" Type="http://schemas.openxmlformats.org/officeDocument/2006/relationships/hyperlink" Target="http://www.itu.int/pub/R-REP-SM.2182" TargetMode="External"/><Relationship Id="rId17" Type="http://schemas.openxmlformats.org/officeDocument/2006/relationships/hyperlink" Target="http://www.itu.int/en/ITU-R/study-groups/workshops/RWP1B-SMWSCRS-14/Pages/default.aspx"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www.itu.int/en/ITU-R/study-groups/workshops/RWP1B-SRD-UWB-14/Pages/default.aspx" TargetMode="External"/><Relationship Id="rId20" Type="http://schemas.openxmlformats.org/officeDocument/2006/relationships/hyperlink" Target="http://www.itu.int/md/R12-SG01-INF-0004/e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u.int/pub/R-REP-SM.2012"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itu.int/pub/R-REP-SM.2255" TargetMode="External"/><Relationship Id="rId23" Type="http://schemas.openxmlformats.org/officeDocument/2006/relationships/footer" Target="footer1.xml"/><Relationship Id="rId10" Type="http://schemas.openxmlformats.org/officeDocument/2006/relationships/hyperlink" Target="http://www.itu.int/rec/R-REC-SM.1603" TargetMode="External"/><Relationship Id="rId19" Type="http://schemas.openxmlformats.org/officeDocument/2006/relationships/hyperlink" Target="http://www.itu.int/go/ITU-R/RWP1B-SMWSCRS-14" TargetMode="External"/><Relationship Id="rId4" Type="http://schemas.openxmlformats.org/officeDocument/2006/relationships/webSettings" Target="webSettings.xml"/><Relationship Id="rId9" Type="http://schemas.openxmlformats.org/officeDocument/2006/relationships/hyperlink" Target="http://www.itu.int/rec/R-REC-SM.1047/en" TargetMode="External"/><Relationship Id="rId14" Type="http://schemas.openxmlformats.org/officeDocument/2006/relationships/hyperlink" Target="http://www.itu.int/pub/R-REP-SM.2153" TargetMode="External"/><Relationship Id="rId22" Type="http://schemas.openxmlformats.org/officeDocument/2006/relationships/header" Target="header1.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mat\AppData\Roaming\Microsoft\Templates\POOL%20S%20-%20ITU\PS_RA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PS_RA15.dotm</Template>
  <TotalTime>128</TotalTime>
  <Pages>12</Pages>
  <Words>5129</Words>
  <Characters>28957</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Manager>Secretaría General - Pool</Manager>
  <Company>Unión Internacional de Telecomunicaciones (UIT)</Company>
  <LinksUpToDate>false</LinksUpToDate>
  <CharactersWithSpaces>34018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Samblea de Radiocomunicaciones - 2012</dc:subject>
  <dc:creator>Spanish</dc:creator>
  <cp:keywords/>
  <dc:description>PS_RA07.dot  Para: _x000d_Fecha del documento: _x000d_Registrado por MM-43480 a 16:09:38 el 16.10.07</dc:description>
  <cp:lastModifiedBy>Spanish</cp:lastModifiedBy>
  <cp:revision>129</cp:revision>
  <cp:lastPrinted>2015-10-19T11:08:00Z</cp:lastPrinted>
  <dcterms:created xsi:type="dcterms:W3CDTF">2015-10-19T08:15:00Z</dcterms:created>
  <dcterms:modified xsi:type="dcterms:W3CDTF">2015-10-19T12:01:00Z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PS_RA07.dot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