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810"/>
        <w:tblW w:w="9889" w:type="dxa"/>
        <w:tblLayout w:type="fixed"/>
        <w:tblLook w:val="0000" w:firstRow="0" w:lastRow="0" w:firstColumn="0" w:lastColumn="0" w:noHBand="0" w:noVBand="0"/>
      </w:tblPr>
      <w:tblGrid>
        <w:gridCol w:w="6771"/>
        <w:gridCol w:w="3118"/>
      </w:tblGrid>
      <w:tr w:rsidR="0051782D" w:rsidRPr="00D872CB" w:rsidTr="000A4F34">
        <w:trPr>
          <w:cantSplit/>
        </w:trPr>
        <w:tc>
          <w:tcPr>
            <w:tcW w:w="6771" w:type="dxa"/>
          </w:tcPr>
          <w:p w:rsidR="0051782D" w:rsidRPr="00D872CB" w:rsidRDefault="006A7022" w:rsidP="00B8738D">
            <w:pPr>
              <w:shd w:val="solid" w:color="FFFFFF" w:fill="FFFFFF"/>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sidR="0051782D" w:rsidRPr="00D872CB">
              <w:rPr>
                <w:rFonts w:ascii="Verdana" w:hAnsi="Verdana" w:cs="Times New Roman Bold"/>
                <w:b/>
                <w:sz w:val="26"/>
                <w:szCs w:val="26"/>
                <w:lang w:eastAsia="zh-CN"/>
              </w:rPr>
              <w:br/>
            </w:r>
            <w:r w:rsidR="00213AE0">
              <w:rPr>
                <w:rFonts w:ascii="Verdana" w:hAnsi="Verdana" w:cs="Times New Roman Bold"/>
                <w:b/>
                <w:bCs/>
                <w:sz w:val="20"/>
                <w:lang w:eastAsia="zh-CN"/>
              </w:rPr>
              <w:t>20</w:t>
            </w:r>
            <w:r w:rsidR="00213AE0">
              <w:rPr>
                <w:rFonts w:ascii="Verdana" w:hAnsi="Verdana" w:cs="Times New Roman Bold" w:hint="eastAsia"/>
                <w:b/>
                <w:bCs/>
                <w:sz w:val="20"/>
                <w:lang w:eastAsia="zh-CN"/>
              </w:rPr>
              <w:t>1</w:t>
            </w:r>
            <w:r w:rsidR="000A4F34">
              <w:rPr>
                <w:rFonts w:ascii="Verdana" w:hAnsi="Verdana" w:cs="Times New Roman Bold"/>
                <w:b/>
                <w:bCs/>
                <w:sz w:val="20"/>
                <w:lang w:eastAsia="zh-CN"/>
              </w:rPr>
              <w:t>2</w:t>
            </w:r>
            <w:r>
              <w:rPr>
                <w:rFonts w:ascii="Verdana" w:hAnsi="Verdana" w:cs="Times New Roman Bold" w:hint="eastAsia"/>
                <w:b/>
                <w:bCs/>
                <w:sz w:val="20"/>
                <w:lang w:eastAsia="zh-CN"/>
              </w:rPr>
              <w:t>年</w:t>
            </w:r>
            <w:r w:rsidR="005D4F78">
              <w:rPr>
                <w:rFonts w:ascii="Verdana" w:hAnsi="Verdana" w:cs="Times New Roman Bold" w:hint="eastAsia"/>
                <w:b/>
                <w:bCs/>
                <w:sz w:val="20"/>
                <w:lang w:eastAsia="zh-CN"/>
              </w:rPr>
              <w:t>6</w:t>
            </w:r>
            <w:r>
              <w:rPr>
                <w:rFonts w:ascii="Verdana" w:hAnsi="Verdana" w:cs="Times New Roman Bold" w:hint="eastAsia"/>
                <w:b/>
                <w:bCs/>
                <w:sz w:val="20"/>
                <w:lang w:eastAsia="zh-CN"/>
              </w:rPr>
              <w:t>月</w:t>
            </w:r>
            <w:r w:rsidR="000A4F34">
              <w:rPr>
                <w:rFonts w:ascii="Verdana" w:hAnsi="Verdana" w:cs="Times New Roman Bold"/>
                <w:b/>
                <w:bCs/>
                <w:sz w:val="20"/>
                <w:lang w:eastAsia="zh-CN"/>
              </w:rPr>
              <w:t>25</w:t>
            </w:r>
            <w:r w:rsidRPr="00D872CB">
              <w:rPr>
                <w:rFonts w:ascii="Verdana" w:hAnsi="Verdana" w:cs="Times New Roman Bold"/>
                <w:b/>
                <w:bCs/>
                <w:sz w:val="20"/>
                <w:lang w:eastAsia="zh-CN"/>
              </w:rPr>
              <w:t>-</w:t>
            </w:r>
            <w:r w:rsidR="000A4F34">
              <w:rPr>
                <w:rFonts w:ascii="Verdana" w:hAnsi="Verdana" w:cs="Times New Roman Bold"/>
                <w:b/>
                <w:bCs/>
                <w:sz w:val="20"/>
                <w:lang w:eastAsia="zh-CN"/>
              </w:rPr>
              <w:t>27</w:t>
            </w:r>
            <w:r>
              <w:rPr>
                <w:rFonts w:ascii="Verdana" w:hAnsi="Verdana" w:cs="Times New Roman Bold" w:hint="eastAsia"/>
                <w:b/>
                <w:bCs/>
                <w:sz w:val="20"/>
                <w:lang w:eastAsia="zh-CN"/>
              </w:rPr>
              <w:t>日，日内瓦</w:t>
            </w:r>
          </w:p>
        </w:tc>
        <w:tc>
          <w:tcPr>
            <w:tcW w:w="3118" w:type="dxa"/>
          </w:tcPr>
          <w:p w:rsidR="0051782D" w:rsidRPr="00432D7F" w:rsidRDefault="000A0059" w:rsidP="00B8738D">
            <w:pPr>
              <w:shd w:val="solid" w:color="FFFFFF" w:fill="FFFFFF"/>
              <w:spacing w:before="0"/>
              <w:rPr>
                <w:lang w:val="en-US"/>
              </w:rPr>
            </w:pPr>
            <w:r>
              <w:rPr>
                <w:b/>
                <w:bCs/>
                <w:noProof/>
                <w:lang w:val="en-US" w:eastAsia="zh-CN"/>
              </w:rPr>
              <w:drawing>
                <wp:inline distT="0" distB="0" distL="0" distR="0" wp14:anchorId="4BAB929C" wp14:editId="1024567F">
                  <wp:extent cx="1666875" cy="695325"/>
                  <wp:effectExtent l="0" t="0" r="9525" b="9525"/>
                  <wp:docPr id="2" name="Picture 2"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C_"/>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0A4F34">
        <w:trPr>
          <w:cantSplit/>
        </w:trPr>
        <w:tc>
          <w:tcPr>
            <w:tcW w:w="6771" w:type="dxa"/>
            <w:tcBorders>
              <w:bottom w:val="single" w:sz="12" w:space="0" w:color="auto"/>
            </w:tcBorders>
          </w:tcPr>
          <w:p w:rsidR="0051782D" w:rsidRPr="00D872CB" w:rsidRDefault="0051782D" w:rsidP="00B8738D">
            <w:pPr>
              <w:shd w:val="solid" w:color="FFFFFF" w:fill="FFFFFF"/>
              <w:spacing w:before="0" w:after="48"/>
              <w:rPr>
                <w:rFonts w:ascii="Verdana" w:hAnsi="Verdana" w:cs="Times New Roman Bold"/>
                <w:b/>
                <w:sz w:val="22"/>
                <w:szCs w:val="22"/>
              </w:rPr>
            </w:pPr>
          </w:p>
        </w:tc>
        <w:tc>
          <w:tcPr>
            <w:tcW w:w="3118" w:type="dxa"/>
            <w:tcBorders>
              <w:bottom w:val="single" w:sz="12" w:space="0" w:color="auto"/>
            </w:tcBorders>
          </w:tcPr>
          <w:p w:rsidR="0051782D" w:rsidRPr="00D872CB" w:rsidRDefault="0051782D" w:rsidP="00B8738D">
            <w:pPr>
              <w:shd w:val="solid" w:color="FFFFFF" w:fill="FFFFFF"/>
              <w:spacing w:before="0" w:after="48"/>
              <w:rPr>
                <w:sz w:val="22"/>
                <w:szCs w:val="22"/>
              </w:rPr>
            </w:pPr>
          </w:p>
        </w:tc>
      </w:tr>
      <w:tr w:rsidR="0051782D" w:rsidRPr="00D872CB" w:rsidTr="000A4F34">
        <w:trPr>
          <w:cantSplit/>
        </w:trPr>
        <w:tc>
          <w:tcPr>
            <w:tcW w:w="6771" w:type="dxa"/>
            <w:tcBorders>
              <w:top w:val="single" w:sz="12" w:space="0" w:color="auto"/>
            </w:tcBorders>
          </w:tcPr>
          <w:p w:rsidR="0051782D" w:rsidRPr="00D872CB" w:rsidRDefault="0051782D" w:rsidP="00B8738D">
            <w:pPr>
              <w:shd w:val="solid" w:color="FFFFFF" w:fill="FFFFFF"/>
              <w:spacing w:before="0" w:after="48"/>
              <w:rPr>
                <w:rFonts w:ascii="Verdana" w:hAnsi="Verdana" w:cs="Times New Roman Bold"/>
                <w:bCs/>
                <w:sz w:val="22"/>
                <w:szCs w:val="22"/>
              </w:rPr>
            </w:pPr>
          </w:p>
        </w:tc>
        <w:tc>
          <w:tcPr>
            <w:tcW w:w="3118" w:type="dxa"/>
            <w:tcBorders>
              <w:top w:val="single" w:sz="12" w:space="0" w:color="auto"/>
            </w:tcBorders>
          </w:tcPr>
          <w:p w:rsidR="0051782D" w:rsidRPr="00D872CB" w:rsidRDefault="0051782D" w:rsidP="00B8738D">
            <w:pPr>
              <w:shd w:val="solid" w:color="FFFFFF" w:fill="FFFFFF"/>
              <w:spacing w:before="0" w:after="48"/>
            </w:pPr>
          </w:p>
        </w:tc>
      </w:tr>
      <w:tr w:rsidR="0051782D" w:rsidRPr="00D872CB" w:rsidTr="000A4F34">
        <w:trPr>
          <w:cantSplit/>
        </w:trPr>
        <w:tc>
          <w:tcPr>
            <w:tcW w:w="6771" w:type="dxa"/>
            <w:vMerge w:val="restart"/>
          </w:tcPr>
          <w:p w:rsidR="0051782D" w:rsidRPr="00D872CB" w:rsidRDefault="0051782D" w:rsidP="00B8738D">
            <w:pPr>
              <w:shd w:val="solid" w:color="FFFFFF" w:fill="FFFFFF"/>
              <w:spacing w:after="240"/>
              <w:rPr>
                <w:sz w:val="20"/>
              </w:rPr>
            </w:pPr>
            <w:bookmarkStart w:id="0" w:name="dnum" w:colFirst="1" w:colLast="1"/>
          </w:p>
        </w:tc>
        <w:tc>
          <w:tcPr>
            <w:tcW w:w="3118" w:type="dxa"/>
          </w:tcPr>
          <w:p w:rsidR="0051782D" w:rsidRPr="000A4F34" w:rsidRDefault="006A7022" w:rsidP="00B8738D">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0A4F34" w:rsidRPr="000A4F34">
              <w:rPr>
                <w:rFonts w:ascii="Verdana" w:hAnsi="Verdana"/>
                <w:b/>
                <w:sz w:val="20"/>
                <w:lang w:eastAsia="zh-CN"/>
              </w:rPr>
              <w:t>2</w:t>
            </w:r>
            <w:r w:rsidR="00BD7223" w:rsidRPr="000A4F34">
              <w:rPr>
                <w:rFonts w:ascii="Verdana" w:hAnsi="Verdana"/>
                <w:b/>
                <w:sz w:val="20"/>
                <w:lang w:eastAsia="zh-CN"/>
              </w:rPr>
              <w:t>-1/</w:t>
            </w:r>
            <w:r w:rsidR="003259A5">
              <w:rPr>
                <w:rFonts w:ascii="Verdana" w:hAnsi="Verdana"/>
                <w:b/>
                <w:sz w:val="20"/>
                <w:lang w:eastAsia="zh-CN"/>
              </w:rPr>
              <w:t>3</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0A4F34">
        <w:trPr>
          <w:cantSplit/>
        </w:trPr>
        <w:tc>
          <w:tcPr>
            <w:tcW w:w="6771" w:type="dxa"/>
            <w:vMerge/>
          </w:tcPr>
          <w:p w:rsidR="0051782D" w:rsidRPr="00D872CB" w:rsidRDefault="0051782D" w:rsidP="00B8738D">
            <w:pPr>
              <w:spacing w:before="60"/>
              <w:jc w:val="center"/>
              <w:rPr>
                <w:b/>
                <w:smallCaps/>
                <w:sz w:val="32"/>
                <w:lang w:eastAsia="zh-CN"/>
              </w:rPr>
            </w:pPr>
            <w:bookmarkStart w:id="1" w:name="ddate" w:colFirst="1" w:colLast="1"/>
            <w:bookmarkEnd w:id="0"/>
          </w:p>
        </w:tc>
        <w:tc>
          <w:tcPr>
            <w:tcW w:w="3118" w:type="dxa"/>
          </w:tcPr>
          <w:p w:rsidR="0051782D" w:rsidRPr="000A4F34" w:rsidRDefault="00BD7223" w:rsidP="00B8738D">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0A4F34" w:rsidRPr="000A4F34">
              <w:rPr>
                <w:rFonts w:ascii="Verdana" w:hAnsi="Verdana"/>
                <w:b/>
                <w:sz w:val="20"/>
                <w:lang w:eastAsia="zh-CN"/>
              </w:rPr>
              <w:t>2</w:t>
            </w:r>
            <w:r w:rsidR="00426448" w:rsidRPr="000A4F34">
              <w:rPr>
                <w:rFonts w:ascii="Verdana" w:hAnsi="SimSun"/>
                <w:b/>
                <w:sz w:val="20"/>
                <w:lang w:eastAsia="zh-CN"/>
              </w:rPr>
              <w:t>年</w:t>
            </w:r>
            <w:r w:rsidR="003259A5">
              <w:rPr>
                <w:rFonts w:ascii="Verdana" w:hAnsi="Verdana"/>
                <w:b/>
                <w:sz w:val="20"/>
                <w:lang w:eastAsia="zh-CN"/>
              </w:rPr>
              <w:t>5</w:t>
            </w:r>
            <w:r w:rsidR="00426448" w:rsidRPr="000A4F34">
              <w:rPr>
                <w:rFonts w:ascii="Verdana" w:hAnsi="SimSun"/>
                <w:b/>
                <w:sz w:val="20"/>
                <w:lang w:eastAsia="zh-CN"/>
              </w:rPr>
              <w:t>月</w:t>
            </w:r>
            <w:r w:rsidR="003259A5">
              <w:rPr>
                <w:rFonts w:ascii="Verdana" w:hAnsi="Verdana"/>
                <w:b/>
                <w:sz w:val="20"/>
                <w:lang w:eastAsia="zh-CN"/>
              </w:rPr>
              <w:t>25</w:t>
            </w:r>
            <w:r w:rsidR="00426448" w:rsidRPr="000A4F34">
              <w:rPr>
                <w:rFonts w:ascii="Verdana" w:hAnsi="SimSun"/>
                <w:b/>
                <w:sz w:val="20"/>
                <w:lang w:eastAsia="zh-CN"/>
              </w:rPr>
              <w:t>日</w:t>
            </w:r>
          </w:p>
        </w:tc>
      </w:tr>
      <w:tr w:rsidR="0051782D" w:rsidRPr="00D872CB" w:rsidTr="000A4F34">
        <w:trPr>
          <w:cantSplit/>
        </w:trPr>
        <w:tc>
          <w:tcPr>
            <w:tcW w:w="6771" w:type="dxa"/>
            <w:vMerge/>
          </w:tcPr>
          <w:p w:rsidR="0051782D" w:rsidRPr="00D872CB" w:rsidRDefault="0051782D" w:rsidP="00B8738D">
            <w:pPr>
              <w:spacing w:before="60"/>
              <w:jc w:val="center"/>
              <w:rPr>
                <w:b/>
                <w:smallCaps/>
                <w:sz w:val="32"/>
                <w:lang w:eastAsia="zh-CN"/>
              </w:rPr>
            </w:pPr>
            <w:bookmarkStart w:id="2" w:name="dorlang" w:colFirst="1" w:colLast="1"/>
            <w:bookmarkEnd w:id="1"/>
          </w:p>
        </w:tc>
        <w:tc>
          <w:tcPr>
            <w:tcW w:w="3118" w:type="dxa"/>
          </w:tcPr>
          <w:p w:rsidR="0051782D" w:rsidRPr="000A4F34" w:rsidRDefault="00426448" w:rsidP="00B8738D">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0A4F34">
        <w:trPr>
          <w:cantSplit/>
        </w:trPr>
        <w:tc>
          <w:tcPr>
            <w:tcW w:w="9889" w:type="dxa"/>
            <w:gridSpan w:val="2"/>
          </w:tcPr>
          <w:p w:rsidR="00426448" w:rsidRPr="00D872CB" w:rsidRDefault="00AD65C2" w:rsidP="00B8738D">
            <w:pPr>
              <w:pStyle w:val="Source"/>
              <w:rPr>
                <w:lang w:eastAsia="zh-CN"/>
              </w:rPr>
            </w:pPr>
            <w:bookmarkStart w:id="3" w:name="dsource" w:colFirst="0" w:colLast="0"/>
            <w:bookmarkEnd w:id="2"/>
            <w:r>
              <w:rPr>
                <w:rFonts w:hint="eastAsia"/>
                <w:lang w:eastAsia="zh-CN"/>
              </w:rPr>
              <w:t>美利坚合众国</w:t>
            </w:r>
          </w:p>
        </w:tc>
      </w:tr>
      <w:tr w:rsidR="00BC195C" w:rsidRPr="00D872CB" w:rsidTr="000A4F34">
        <w:trPr>
          <w:cantSplit/>
        </w:trPr>
        <w:tc>
          <w:tcPr>
            <w:tcW w:w="9889" w:type="dxa"/>
            <w:gridSpan w:val="2"/>
          </w:tcPr>
          <w:p w:rsidR="00E130B3" w:rsidRPr="00E130B3" w:rsidRDefault="00AD65C2" w:rsidP="00B8738D">
            <w:pPr>
              <w:tabs>
                <w:tab w:val="left" w:pos="851"/>
                <w:tab w:val="left" w:pos="5670"/>
              </w:tabs>
              <w:spacing w:before="240" w:after="240"/>
              <w:jc w:val="center"/>
              <w:rPr>
                <w:sz w:val="28"/>
                <w:szCs w:val="28"/>
                <w:lang w:eastAsia="zh-CN"/>
              </w:rPr>
            </w:pPr>
            <w:bookmarkStart w:id="4" w:name="dtitle1" w:colFirst="0" w:colLast="0"/>
            <w:bookmarkEnd w:id="3"/>
            <w:r>
              <w:rPr>
                <w:rFonts w:hint="eastAsia"/>
                <w:sz w:val="28"/>
                <w:szCs w:val="28"/>
                <w:lang w:eastAsia="zh-CN"/>
              </w:rPr>
              <w:t>指导</w:t>
            </w:r>
            <w:r>
              <w:rPr>
                <w:sz w:val="28"/>
                <w:szCs w:val="28"/>
                <w:lang w:eastAsia="zh-CN"/>
              </w:rPr>
              <w:t>ITU-R</w:t>
            </w:r>
            <w:r>
              <w:rPr>
                <w:rFonts w:hint="eastAsia"/>
                <w:sz w:val="28"/>
                <w:szCs w:val="28"/>
                <w:lang w:eastAsia="zh-CN"/>
              </w:rPr>
              <w:t>第</w:t>
            </w:r>
            <w:r w:rsidRPr="0002033D">
              <w:rPr>
                <w:sz w:val="28"/>
                <w:szCs w:val="28"/>
                <w:lang w:eastAsia="zh-CN"/>
              </w:rPr>
              <w:t>1-6</w:t>
            </w:r>
            <w:r>
              <w:rPr>
                <w:rFonts w:hint="eastAsia"/>
                <w:sz w:val="28"/>
                <w:szCs w:val="28"/>
                <w:lang w:eastAsia="zh-CN"/>
              </w:rPr>
              <w:t>号决议信函通信小组工作的原则</w:t>
            </w:r>
          </w:p>
        </w:tc>
      </w:tr>
    </w:tbl>
    <w:bookmarkEnd w:id="4"/>
    <w:p w:rsidR="003259A5" w:rsidRDefault="00AD65C2" w:rsidP="00216D1E">
      <w:pPr>
        <w:pStyle w:val="Headingb"/>
        <w:rPr>
          <w:lang w:eastAsia="zh-CN"/>
        </w:rPr>
      </w:pPr>
      <w:r>
        <w:rPr>
          <w:rFonts w:hint="eastAsia"/>
          <w:lang w:eastAsia="zh-CN"/>
        </w:rPr>
        <w:t>背景</w:t>
      </w:r>
    </w:p>
    <w:p w:rsidR="003259A5" w:rsidRDefault="003259A5" w:rsidP="00B8738D">
      <w:pPr>
        <w:spacing w:after="120"/>
        <w:ind w:firstLineChars="200" w:firstLine="480"/>
        <w:rPr>
          <w:szCs w:val="24"/>
          <w:lang w:eastAsia="zh-CN"/>
        </w:rPr>
      </w:pPr>
      <w:r>
        <w:rPr>
          <w:szCs w:val="24"/>
          <w:lang w:eastAsia="zh-CN"/>
        </w:rPr>
        <w:t>2012</w:t>
      </w:r>
      <w:r w:rsidR="00AD65C2">
        <w:rPr>
          <w:rFonts w:hint="eastAsia"/>
          <w:szCs w:val="24"/>
          <w:lang w:eastAsia="zh-CN"/>
        </w:rPr>
        <w:t>年无线电通信全会（</w:t>
      </w:r>
      <w:r w:rsidR="00AD65C2">
        <w:rPr>
          <w:szCs w:val="24"/>
          <w:lang w:eastAsia="zh-CN"/>
        </w:rPr>
        <w:t>RA-12</w:t>
      </w:r>
      <w:r w:rsidR="00AD65C2">
        <w:rPr>
          <w:rFonts w:hint="eastAsia"/>
          <w:szCs w:val="24"/>
          <w:lang w:eastAsia="zh-CN"/>
        </w:rPr>
        <w:t>）批准了</w:t>
      </w:r>
      <w:r w:rsidR="00AD65C2">
        <w:rPr>
          <w:szCs w:val="24"/>
          <w:lang w:eastAsia="zh-CN"/>
        </w:rPr>
        <w:t>ITU-R</w:t>
      </w:r>
      <w:r w:rsidR="00AD65C2">
        <w:rPr>
          <w:rFonts w:hint="eastAsia"/>
          <w:szCs w:val="24"/>
          <w:lang w:eastAsia="zh-CN"/>
        </w:rPr>
        <w:t>第</w:t>
      </w:r>
      <w:r w:rsidR="00AD65C2">
        <w:rPr>
          <w:szCs w:val="24"/>
          <w:lang w:eastAsia="zh-CN"/>
        </w:rPr>
        <w:t>1-6</w:t>
      </w:r>
      <w:r w:rsidR="00AD65C2">
        <w:rPr>
          <w:rFonts w:hint="eastAsia"/>
          <w:szCs w:val="24"/>
          <w:lang w:eastAsia="zh-CN"/>
        </w:rPr>
        <w:t>号决议信函通信小组的职责范围。</w:t>
      </w:r>
      <w:hyperlink r:id="rId9" w:history="1">
        <w:r w:rsidR="00AD65C2">
          <w:rPr>
            <w:rStyle w:val="Hyperlink"/>
            <w:szCs w:val="24"/>
            <w:lang w:eastAsia="zh-CN"/>
          </w:rPr>
          <w:t>RA12/PLEN/116</w:t>
        </w:r>
        <w:r w:rsidR="00AD65C2">
          <w:rPr>
            <w:rStyle w:val="Hyperlink"/>
            <w:szCs w:val="24"/>
            <w:lang w:eastAsia="zh-CN"/>
          </w:rPr>
          <w:t>号文件</w:t>
        </w:r>
      </w:hyperlink>
      <w:r w:rsidR="00AD65C2">
        <w:rPr>
          <w:rFonts w:hint="eastAsia"/>
          <w:szCs w:val="24"/>
          <w:lang w:eastAsia="zh-CN"/>
        </w:rPr>
        <w:t>附件中包含的信函通信小组（</w:t>
      </w:r>
      <w:r w:rsidR="00AD65C2">
        <w:rPr>
          <w:rFonts w:hint="eastAsia"/>
          <w:szCs w:val="24"/>
          <w:lang w:eastAsia="zh-CN"/>
        </w:rPr>
        <w:t>CG</w:t>
      </w:r>
      <w:r w:rsidR="00AD65C2">
        <w:rPr>
          <w:rFonts w:hint="eastAsia"/>
          <w:szCs w:val="24"/>
          <w:lang w:eastAsia="zh-CN"/>
        </w:rPr>
        <w:t>）的职责范围如下：</w:t>
      </w:r>
    </w:p>
    <w:p w:rsidR="00C21157" w:rsidRPr="00C21157" w:rsidRDefault="00C21157" w:rsidP="00B8738D">
      <w:pPr>
        <w:pStyle w:val="enumlev1"/>
        <w:rPr>
          <w:rFonts w:ascii="STKaiti" w:eastAsia="STKaiti" w:hAnsi="STKaiti"/>
          <w:lang w:eastAsia="zh-CN"/>
        </w:rPr>
      </w:pPr>
      <w:r w:rsidRPr="00DC6206">
        <w:rPr>
          <w:lang w:eastAsia="zh-CN"/>
        </w:rPr>
        <w:t>•</w:t>
      </w:r>
      <w:r w:rsidRPr="00DC6206">
        <w:rPr>
          <w:rFonts w:hint="eastAsia"/>
          <w:lang w:eastAsia="zh-CN"/>
        </w:rPr>
        <w:tab/>
      </w:r>
      <w:r w:rsidRPr="00C21157">
        <w:rPr>
          <w:rFonts w:ascii="STKaiti" w:eastAsia="STKaiti" w:hAnsi="STKaiti"/>
          <w:lang w:eastAsia="zh-CN"/>
        </w:rPr>
        <w:t>审议</w:t>
      </w:r>
      <w:r w:rsidRPr="00C21157">
        <w:rPr>
          <w:rFonts w:ascii="STKaiti" w:eastAsia="STKaiti" w:hAnsi="STKaiti" w:hint="eastAsia"/>
          <w:lang w:eastAsia="zh-CN"/>
        </w:rPr>
        <w:t>一些</w:t>
      </w:r>
      <w:r w:rsidRPr="00C21157">
        <w:rPr>
          <w:rFonts w:ascii="STKaiti" w:eastAsia="STKaiti" w:hAnsi="STKaiti"/>
          <w:lang w:eastAsia="zh-CN"/>
        </w:rPr>
        <w:t>研究组制定ITU-R建议书时所采用的格式；</w:t>
      </w:r>
    </w:p>
    <w:p w:rsidR="00C21157" w:rsidRPr="00DC6206" w:rsidRDefault="00C21157" w:rsidP="00B8738D">
      <w:pPr>
        <w:pStyle w:val="enumlev1"/>
        <w:rPr>
          <w:lang w:eastAsia="zh-CN"/>
        </w:rPr>
      </w:pPr>
      <w:r w:rsidRPr="00DC6206">
        <w:rPr>
          <w:lang w:eastAsia="zh-CN"/>
        </w:rPr>
        <w:t>•</w:t>
      </w:r>
      <w:r w:rsidRPr="00DC6206">
        <w:rPr>
          <w:rFonts w:hint="eastAsia"/>
          <w:lang w:eastAsia="zh-CN"/>
        </w:rPr>
        <w:tab/>
      </w:r>
      <w:r w:rsidRPr="00C21157">
        <w:rPr>
          <w:rFonts w:ascii="STKaiti" w:eastAsia="STKaiti" w:hAnsi="STKaiti"/>
          <w:lang w:eastAsia="zh-CN"/>
        </w:rPr>
        <w:t>确定当这些格式用于复杂案例时所反映出的不足和缺点；</w:t>
      </w:r>
    </w:p>
    <w:p w:rsidR="00C21157" w:rsidRPr="00DC6206" w:rsidRDefault="00C21157" w:rsidP="00B8738D">
      <w:pPr>
        <w:pStyle w:val="enumlev1"/>
        <w:rPr>
          <w:lang w:eastAsia="zh-CN"/>
        </w:rPr>
      </w:pPr>
      <w:r w:rsidRPr="00DC6206">
        <w:rPr>
          <w:lang w:eastAsia="zh-CN"/>
        </w:rPr>
        <w:t>•</w:t>
      </w:r>
      <w:r w:rsidRPr="00DC6206">
        <w:rPr>
          <w:rFonts w:hint="eastAsia"/>
          <w:lang w:eastAsia="zh-CN"/>
        </w:rPr>
        <w:tab/>
      </w:r>
      <w:r w:rsidRPr="00C21157">
        <w:rPr>
          <w:rFonts w:ascii="STKaiti" w:eastAsia="STKaiti" w:hAnsi="STKaiti"/>
          <w:lang w:eastAsia="zh-CN"/>
        </w:rPr>
        <w:t>如PLEN/110号文件所述</w:t>
      </w:r>
      <w:r w:rsidRPr="00C21157">
        <w:rPr>
          <w:rFonts w:ascii="STKaiti" w:eastAsia="STKaiti" w:hAnsi="STKaiti" w:hint="eastAsia"/>
          <w:lang w:eastAsia="zh-CN"/>
        </w:rPr>
        <w:t>，</w:t>
      </w:r>
      <w:r w:rsidRPr="00C21157">
        <w:rPr>
          <w:rFonts w:ascii="STKaiti" w:eastAsia="STKaiti" w:hAnsi="STKaiti"/>
          <w:lang w:eastAsia="zh-CN"/>
        </w:rPr>
        <w:t>与RAG</w:t>
      </w:r>
      <w:r w:rsidRPr="00C21157">
        <w:rPr>
          <w:rFonts w:ascii="STKaiti" w:eastAsia="STKaiti" w:hAnsi="STKaiti" w:hint="eastAsia"/>
          <w:lang w:eastAsia="zh-CN"/>
        </w:rPr>
        <w:t>为</w:t>
      </w:r>
      <w:r w:rsidRPr="00C21157">
        <w:rPr>
          <w:rFonts w:ascii="STKaiti" w:eastAsia="STKaiti" w:hAnsi="STKaiti"/>
          <w:lang w:eastAsia="zh-CN"/>
        </w:rPr>
        <w:t>审议ITU-R第1-6决议结构</w:t>
      </w:r>
      <w:r w:rsidRPr="00C21157">
        <w:rPr>
          <w:rFonts w:ascii="STKaiti" w:eastAsia="STKaiti" w:hAnsi="STKaiti" w:hint="eastAsia"/>
          <w:lang w:eastAsia="zh-CN"/>
        </w:rPr>
        <w:t>而成立的</w:t>
      </w:r>
      <w:r w:rsidRPr="00C21157">
        <w:rPr>
          <w:rFonts w:ascii="STKaiti" w:eastAsia="STKaiti" w:hAnsi="STKaiti"/>
          <w:lang w:eastAsia="zh-CN"/>
        </w:rPr>
        <w:t>信函通信组联络。</w:t>
      </w:r>
    </w:p>
    <w:p w:rsidR="003259A5" w:rsidRDefault="00896FE8" w:rsidP="00623988">
      <w:pPr>
        <w:spacing w:before="240" w:after="120"/>
        <w:ind w:firstLineChars="200" w:firstLine="480"/>
        <w:rPr>
          <w:b/>
          <w:szCs w:val="24"/>
          <w:lang w:eastAsia="zh-CN"/>
        </w:rPr>
      </w:pPr>
      <w:r>
        <w:rPr>
          <w:rFonts w:hint="eastAsia"/>
          <w:szCs w:val="24"/>
          <w:lang w:eastAsia="zh-CN"/>
        </w:rPr>
        <w:t>美国希望无线电通信顾问组（</w:t>
      </w:r>
      <w:r>
        <w:rPr>
          <w:szCs w:val="24"/>
          <w:lang w:eastAsia="zh-CN"/>
        </w:rPr>
        <w:t>RAG</w:t>
      </w:r>
      <w:r>
        <w:rPr>
          <w:rFonts w:hint="eastAsia"/>
          <w:szCs w:val="24"/>
          <w:lang w:eastAsia="zh-CN"/>
        </w:rPr>
        <w:t>）第</w:t>
      </w:r>
      <w:r>
        <w:rPr>
          <w:rFonts w:hint="eastAsia"/>
          <w:szCs w:val="24"/>
          <w:lang w:eastAsia="zh-CN"/>
        </w:rPr>
        <w:t>19</w:t>
      </w:r>
      <w:r>
        <w:rPr>
          <w:rFonts w:hint="eastAsia"/>
          <w:szCs w:val="24"/>
          <w:lang w:eastAsia="zh-CN"/>
        </w:rPr>
        <w:t>次会议将成立</w:t>
      </w:r>
      <w:r>
        <w:rPr>
          <w:szCs w:val="24"/>
          <w:lang w:eastAsia="zh-CN"/>
        </w:rPr>
        <w:t>ITU-R</w:t>
      </w:r>
      <w:r>
        <w:rPr>
          <w:rFonts w:hint="eastAsia"/>
          <w:szCs w:val="24"/>
          <w:lang w:eastAsia="zh-CN"/>
        </w:rPr>
        <w:t>第</w:t>
      </w:r>
      <w:r>
        <w:rPr>
          <w:szCs w:val="24"/>
          <w:lang w:eastAsia="zh-CN"/>
        </w:rPr>
        <w:t>1-6</w:t>
      </w:r>
      <w:r>
        <w:rPr>
          <w:rFonts w:hint="eastAsia"/>
          <w:szCs w:val="24"/>
          <w:lang w:eastAsia="zh-CN"/>
        </w:rPr>
        <w:t>号决议信函通信小组。在此文稿中，美国提出了一些可能有助于上述信函通信小组</w:t>
      </w:r>
      <w:r w:rsidR="00623988">
        <w:rPr>
          <w:rFonts w:hint="eastAsia"/>
          <w:szCs w:val="24"/>
          <w:lang w:eastAsia="zh-CN"/>
        </w:rPr>
        <w:t>有的放矢地</w:t>
      </w:r>
      <w:r>
        <w:rPr>
          <w:rFonts w:hint="eastAsia"/>
          <w:szCs w:val="24"/>
          <w:lang w:eastAsia="zh-CN"/>
        </w:rPr>
        <w:t>开展工作的指导原则，供</w:t>
      </w:r>
      <w:r>
        <w:rPr>
          <w:szCs w:val="24"/>
          <w:lang w:eastAsia="zh-CN"/>
        </w:rPr>
        <w:t>RAG</w:t>
      </w:r>
      <w:r>
        <w:rPr>
          <w:rFonts w:hint="eastAsia"/>
          <w:szCs w:val="24"/>
          <w:lang w:eastAsia="zh-CN"/>
        </w:rPr>
        <w:t>审议。</w:t>
      </w:r>
    </w:p>
    <w:p w:rsidR="003259A5" w:rsidRPr="00896FE8" w:rsidRDefault="00896FE8" w:rsidP="00216D1E">
      <w:pPr>
        <w:pStyle w:val="Headingb"/>
        <w:rPr>
          <w:lang w:eastAsia="zh-CN"/>
        </w:rPr>
      </w:pPr>
      <w:r w:rsidRPr="00896FE8">
        <w:rPr>
          <w:rFonts w:hint="eastAsia"/>
          <w:lang w:eastAsia="zh-CN"/>
        </w:rPr>
        <w:t>讨论</w:t>
      </w:r>
    </w:p>
    <w:p w:rsidR="003259A5" w:rsidRDefault="00896FE8" w:rsidP="00B8738D">
      <w:pPr>
        <w:spacing w:after="120"/>
        <w:ind w:firstLineChars="200" w:firstLine="480"/>
        <w:rPr>
          <w:szCs w:val="24"/>
          <w:lang w:eastAsia="zh-CN"/>
        </w:rPr>
      </w:pPr>
      <w:r>
        <w:rPr>
          <w:rFonts w:hint="eastAsia"/>
          <w:szCs w:val="24"/>
          <w:lang w:eastAsia="zh-CN"/>
        </w:rPr>
        <w:t>目前，有关制定</w:t>
      </w:r>
      <w:r w:rsidR="003259A5">
        <w:rPr>
          <w:szCs w:val="24"/>
          <w:lang w:eastAsia="zh-CN"/>
        </w:rPr>
        <w:t>ITU-R</w:t>
      </w:r>
      <w:r>
        <w:rPr>
          <w:rFonts w:hint="eastAsia"/>
          <w:szCs w:val="24"/>
          <w:lang w:eastAsia="zh-CN"/>
        </w:rPr>
        <w:t>建议书的主要指导原则包含在“无线电通信全会和研究组会议以及文件制作的指导原则”（</w:t>
      </w:r>
      <w:hyperlink r:id="rId10" w:history="1">
        <w:r>
          <w:rPr>
            <w:rStyle w:val="Hyperlink"/>
            <w:szCs w:val="24"/>
            <w:lang w:eastAsia="zh-CN"/>
          </w:rPr>
          <w:t>第</w:t>
        </w:r>
        <w:r>
          <w:rPr>
            <w:rStyle w:val="Hyperlink"/>
            <w:szCs w:val="24"/>
            <w:lang w:eastAsia="zh-CN"/>
          </w:rPr>
          <w:t>CA/13</w:t>
        </w:r>
        <w:r>
          <w:rPr>
            <w:rStyle w:val="Hyperlink"/>
            <w:szCs w:val="24"/>
            <w:lang w:eastAsia="zh-CN"/>
          </w:rPr>
          <w:t>号行政通函</w:t>
        </w:r>
      </w:hyperlink>
      <w:r>
        <w:rPr>
          <w:rFonts w:hint="eastAsia"/>
          <w:szCs w:val="24"/>
          <w:lang w:eastAsia="zh-CN"/>
        </w:rPr>
        <w:t>）附件</w:t>
      </w:r>
      <w:r>
        <w:rPr>
          <w:rFonts w:hint="eastAsia"/>
          <w:szCs w:val="24"/>
          <w:lang w:eastAsia="zh-CN"/>
        </w:rPr>
        <w:t>2</w:t>
      </w:r>
      <w:r>
        <w:rPr>
          <w:rFonts w:hint="eastAsia"/>
          <w:szCs w:val="24"/>
          <w:lang w:eastAsia="zh-CN"/>
        </w:rPr>
        <w:t>中。该指导原则为建议书的制定提供了一些灵活性，一些章节可供选择，并允许对“更复杂的建议书”进行其它方式的处理。</w:t>
      </w:r>
    </w:p>
    <w:p w:rsidR="003259A5" w:rsidRDefault="00364127" w:rsidP="00B8738D">
      <w:pPr>
        <w:spacing w:after="120"/>
        <w:ind w:firstLineChars="200" w:firstLine="480"/>
        <w:rPr>
          <w:szCs w:val="24"/>
          <w:lang w:eastAsia="zh-CN"/>
        </w:rPr>
      </w:pPr>
      <w:r>
        <w:rPr>
          <w:rFonts w:hint="eastAsia"/>
          <w:szCs w:val="24"/>
          <w:lang w:eastAsia="zh-CN"/>
        </w:rPr>
        <w:t>总的来说，</w:t>
      </w:r>
      <w:r w:rsidR="003259A5">
        <w:rPr>
          <w:szCs w:val="24"/>
          <w:lang w:eastAsia="zh-CN"/>
        </w:rPr>
        <w:t>ITU-R</w:t>
      </w:r>
      <w:r>
        <w:rPr>
          <w:rFonts w:hint="eastAsia"/>
          <w:szCs w:val="24"/>
          <w:lang w:eastAsia="zh-CN"/>
        </w:rPr>
        <w:t>自</w:t>
      </w:r>
      <w:r>
        <w:rPr>
          <w:rFonts w:hint="eastAsia"/>
          <w:szCs w:val="24"/>
          <w:lang w:eastAsia="zh-CN"/>
        </w:rPr>
        <w:t>1995</w:t>
      </w:r>
      <w:r>
        <w:rPr>
          <w:rFonts w:hint="eastAsia"/>
          <w:szCs w:val="24"/>
          <w:lang w:eastAsia="zh-CN"/>
        </w:rPr>
        <w:t>年以来按照这一指导原则运转顺利。据美国所知，没有因含糊不清或</w:t>
      </w:r>
      <w:r w:rsidR="002274F6">
        <w:rPr>
          <w:rFonts w:hint="eastAsia"/>
          <w:szCs w:val="24"/>
          <w:lang w:eastAsia="zh-CN"/>
        </w:rPr>
        <w:t>有失准确而对</w:t>
      </w:r>
      <w:r w:rsidR="002274F6">
        <w:rPr>
          <w:szCs w:val="24"/>
          <w:lang w:eastAsia="zh-CN"/>
        </w:rPr>
        <w:t>ITU-R</w:t>
      </w:r>
      <w:r w:rsidR="002274F6">
        <w:rPr>
          <w:rFonts w:hint="eastAsia"/>
          <w:szCs w:val="24"/>
          <w:lang w:eastAsia="zh-CN"/>
        </w:rPr>
        <w:t>建议书产生误解造成的重大问题。</w:t>
      </w:r>
    </w:p>
    <w:p w:rsidR="003259A5" w:rsidRDefault="002274F6" w:rsidP="00623988">
      <w:pPr>
        <w:spacing w:after="120"/>
        <w:ind w:firstLineChars="200" w:firstLine="480"/>
        <w:rPr>
          <w:szCs w:val="24"/>
          <w:lang w:eastAsia="zh-CN"/>
        </w:rPr>
      </w:pPr>
      <w:r>
        <w:rPr>
          <w:rFonts w:hint="eastAsia"/>
          <w:szCs w:val="24"/>
          <w:lang w:eastAsia="zh-CN"/>
        </w:rPr>
        <w:t>然而，完美是没有止境的。现在考虑是否对建议书的格式和制定做出完善以便进一步改进工作组和研究组的输出文件恰逢其时。美国注意到，格式问题造成</w:t>
      </w:r>
      <w:r w:rsidR="00623988">
        <w:rPr>
          <w:rFonts w:hint="eastAsia"/>
          <w:szCs w:val="24"/>
          <w:lang w:eastAsia="zh-CN"/>
        </w:rPr>
        <w:t>那些</w:t>
      </w:r>
      <w:r>
        <w:rPr>
          <w:rFonts w:hint="eastAsia"/>
          <w:szCs w:val="24"/>
          <w:lang w:eastAsia="zh-CN"/>
        </w:rPr>
        <w:t>在内容上没有问题或</w:t>
      </w:r>
      <w:r w:rsidR="00623988">
        <w:rPr>
          <w:rFonts w:hint="eastAsia"/>
          <w:szCs w:val="24"/>
          <w:lang w:eastAsia="zh-CN"/>
        </w:rPr>
        <w:t>没有</w:t>
      </w:r>
      <w:r>
        <w:rPr>
          <w:rFonts w:hint="eastAsia"/>
          <w:szCs w:val="24"/>
          <w:lang w:eastAsia="zh-CN"/>
        </w:rPr>
        <w:t>反对意见的文件</w:t>
      </w:r>
      <w:r w:rsidR="00623988">
        <w:rPr>
          <w:rFonts w:hint="eastAsia"/>
          <w:szCs w:val="24"/>
          <w:lang w:eastAsia="zh-CN"/>
        </w:rPr>
        <w:t>迟迟得不到</w:t>
      </w:r>
      <w:r>
        <w:rPr>
          <w:rFonts w:hint="eastAsia"/>
          <w:szCs w:val="24"/>
          <w:lang w:eastAsia="zh-CN"/>
        </w:rPr>
        <w:t>批准。这显然影响了</w:t>
      </w:r>
      <w:r>
        <w:rPr>
          <w:rFonts w:hint="eastAsia"/>
          <w:szCs w:val="24"/>
          <w:lang w:eastAsia="zh-CN"/>
        </w:rPr>
        <w:t>ITU-R</w:t>
      </w:r>
      <w:r>
        <w:rPr>
          <w:rFonts w:hint="eastAsia"/>
          <w:szCs w:val="24"/>
          <w:lang w:eastAsia="zh-CN"/>
        </w:rPr>
        <w:t>的高效工作。</w:t>
      </w:r>
    </w:p>
    <w:p w:rsidR="00216D1E" w:rsidRDefault="00216D1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259A5" w:rsidRPr="002274F6" w:rsidRDefault="002274F6" w:rsidP="00216D1E">
      <w:pPr>
        <w:pStyle w:val="Headingb"/>
        <w:rPr>
          <w:lang w:eastAsia="zh-CN"/>
        </w:rPr>
      </w:pPr>
      <w:r w:rsidRPr="002274F6">
        <w:rPr>
          <w:rFonts w:hint="eastAsia"/>
          <w:lang w:eastAsia="zh-CN"/>
        </w:rPr>
        <w:t>提案</w:t>
      </w:r>
    </w:p>
    <w:p w:rsidR="003259A5" w:rsidRDefault="002274F6" w:rsidP="00B8738D">
      <w:pPr>
        <w:spacing w:after="120"/>
        <w:ind w:firstLineChars="200" w:firstLine="480"/>
        <w:rPr>
          <w:szCs w:val="24"/>
          <w:lang w:eastAsia="zh-CN"/>
        </w:rPr>
      </w:pPr>
      <w:r>
        <w:rPr>
          <w:rFonts w:hint="eastAsia"/>
          <w:szCs w:val="24"/>
          <w:lang w:eastAsia="zh-CN"/>
        </w:rPr>
        <w:t>美国从作为用户和</w:t>
      </w:r>
      <w:r>
        <w:rPr>
          <w:rFonts w:hint="eastAsia"/>
          <w:szCs w:val="24"/>
          <w:lang w:eastAsia="zh-CN"/>
        </w:rPr>
        <w:t>ITU-R</w:t>
      </w:r>
      <w:r>
        <w:rPr>
          <w:rFonts w:hint="eastAsia"/>
          <w:szCs w:val="24"/>
          <w:lang w:eastAsia="zh-CN"/>
        </w:rPr>
        <w:t>建议书撰稿人的角度考虑了格式问题并愿提出以下原则，供会议审议，以便指导信函通信小组就此议题开展的工作。</w:t>
      </w:r>
    </w:p>
    <w:p w:rsidR="003259A5" w:rsidRDefault="00216D1E" w:rsidP="00216D1E">
      <w:pPr>
        <w:pStyle w:val="enumlev1"/>
        <w:rPr>
          <w:lang w:eastAsia="zh-CN"/>
        </w:rPr>
      </w:pPr>
      <w:r>
        <w:rPr>
          <w:b/>
          <w:bCs/>
          <w:lang w:val="fr-CH" w:eastAsia="zh-CN"/>
        </w:rPr>
        <w:t>•</w:t>
      </w:r>
      <w:r>
        <w:rPr>
          <w:b/>
          <w:bCs/>
          <w:lang w:val="fr-CH" w:eastAsia="zh-CN"/>
        </w:rPr>
        <w:tab/>
      </w:r>
      <w:r w:rsidR="002274F6" w:rsidRPr="00216D1E">
        <w:rPr>
          <w:rFonts w:hint="eastAsia"/>
          <w:b/>
          <w:bCs/>
          <w:lang w:eastAsia="zh-CN"/>
        </w:rPr>
        <w:t>现有的指导原则可作为进一步完善的基础</w:t>
      </w:r>
    </w:p>
    <w:p w:rsidR="003259A5" w:rsidRDefault="00216D1E" w:rsidP="00B8738D">
      <w:pPr>
        <w:pStyle w:val="enumlev2"/>
        <w:rPr>
          <w:lang w:eastAsia="zh-CN"/>
        </w:rPr>
      </w:pPr>
      <w:r>
        <w:rPr>
          <w:lang w:eastAsia="zh-CN"/>
        </w:rPr>
        <w:lastRenderedPageBreak/>
        <w:t>–</w:t>
      </w:r>
      <w:r w:rsidR="002274F6">
        <w:rPr>
          <w:rFonts w:hint="eastAsia"/>
          <w:lang w:eastAsia="zh-CN"/>
        </w:rPr>
        <w:tab/>
      </w:r>
      <w:r w:rsidR="002274F6">
        <w:rPr>
          <w:rFonts w:hint="eastAsia"/>
          <w:lang w:eastAsia="zh-CN"/>
        </w:rPr>
        <w:t>“无线电通信全会和研究组会议以及文件制作的指导原则”附件</w:t>
      </w:r>
      <w:r w:rsidR="002274F6">
        <w:rPr>
          <w:rFonts w:hint="eastAsia"/>
          <w:lang w:eastAsia="zh-CN"/>
        </w:rPr>
        <w:t>2</w:t>
      </w:r>
      <w:r w:rsidR="002274F6">
        <w:rPr>
          <w:rFonts w:hint="eastAsia"/>
          <w:lang w:eastAsia="zh-CN"/>
        </w:rPr>
        <w:t>中多数原则依然有效。</w:t>
      </w:r>
    </w:p>
    <w:p w:rsidR="003259A5" w:rsidRDefault="00216D1E" w:rsidP="00623988">
      <w:pPr>
        <w:pStyle w:val="enumlev2"/>
        <w:rPr>
          <w:lang w:eastAsia="zh-CN"/>
        </w:rPr>
      </w:pPr>
      <w:r>
        <w:rPr>
          <w:lang w:eastAsia="zh-CN"/>
        </w:rPr>
        <w:t>–</w:t>
      </w:r>
      <w:r w:rsidR="002274F6">
        <w:rPr>
          <w:rFonts w:hint="eastAsia"/>
          <w:lang w:eastAsia="zh-CN"/>
        </w:rPr>
        <w:tab/>
      </w:r>
      <w:r w:rsidR="00623988">
        <w:rPr>
          <w:rFonts w:hint="eastAsia"/>
          <w:lang w:eastAsia="zh-CN"/>
        </w:rPr>
        <w:t>为确定不足和改善的余地，</w:t>
      </w:r>
      <w:r w:rsidR="002274F6">
        <w:rPr>
          <w:rFonts w:hint="eastAsia"/>
          <w:lang w:eastAsia="zh-CN"/>
        </w:rPr>
        <w:t>信函通信小组</w:t>
      </w:r>
      <w:r w:rsidR="00623988">
        <w:rPr>
          <w:rFonts w:hint="eastAsia"/>
          <w:lang w:eastAsia="zh-CN"/>
        </w:rPr>
        <w:t>可</w:t>
      </w:r>
      <w:r w:rsidR="002274F6">
        <w:rPr>
          <w:rFonts w:hint="eastAsia"/>
          <w:lang w:eastAsia="zh-CN"/>
        </w:rPr>
        <w:t>认真审议附件</w:t>
      </w:r>
      <w:r w:rsidR="002274F6">
        <w:rPr>
          <w:rFonts w:hint="eastAsia"/>
          <w:lang w:eastAsia="zh-CN"/>
        </w:rPr>
        <w:t>2</w:t>
      </w:r>
      <w:r w:rsidR="002274F6">
        <w:rPr>
          <w:rFonts w:hint="eastAsia"/>
          <w:lang w:eastAsia="zh-CN"/>
        </w:rPr>
        <w:t>。</w:t>
      </w:r>
    </w:p>
    <w:p w:rsidR="003259A5" w:rsidRDefault="00216D1E" w:rsidP="00216D1E">
      <w:pPr>
        <w:pStyle w:val="enumlev1"/>
        <w:rPr>
          <w:lang w:eastAsia="zh-CN"/>
        </w:rPr>
      </w:pPr>
      <w:r>
        <w:rPr>
          <w:b/>
          <w:bCs/>
          <w:lang w:val="fr-CH" w:eastAsia="zh-CN"/>
        </w:rPr>
        <w:t>•</w:t>
      </w:r>
      <w:r>
        <w:rPr>
          <w:b/>
          <w:bCs/>
          <w:lang w:val="fr-CH" w:eastAsia="zh-CN"/>
        </w:rPr>
        <w:tab/>
      </w:r>
      <w:r w:rsidR="00874A4B" w:rsidRPr="00216D1E">
        <w:rPr>
          <w:rFonts w:hint="eastAsia"/>
          <w:b/>
          <w:bCs/>
          <w:lang w:eastAsia="zh-CN"/>
        </w:rPr>
        <w:t>没有必要从头开始</w:t>
      </w:r>
    </w:p>
    <w:p w:rsidR="003259A5" w:rsidRPr="001D237F" w:rsidRDefault="00216D1E" w:rsidP="00216D1E">
      <w:pPr>
        <w:pStyle w:val="enumlev2"/>
        <w:rPr>
          <w:lang w:eastAsia="zh-CN"/>
        </w:rPr>
      </w:pPr>
      <w:r>
        <w:rPr>
          <w:lang w:eastAsia="zh-CN"/>
        </w:rPr>
        <w:t>–</w:t>
      </w:r>
      <w:r>
        <w:rPr>
          <w:rFonts w:hint="eastAsia"/>
          <w:lang w:eastAsia="zh-CN"/>
        </w:rPr>
        <w:tab/>
      </w:r>
      <w:r w:rsidR="00874A4B">
        <w:rPr>
          <w:rFonts w:hint="eastAsia"/>
          <w:lang w:eastAsia="zh-CN"/>
        </w:rPr>
        <w:t>附件</w:t>
      </w:r>
      <w:r w:rsidR="00874A4B">
        <w:rPr>
          <w:rFonts w:hint="eastAsia"/>
          <w:lang w:eastAsia="zh-CN"/>
        </w:rPr>
        <w:t>2</w:t>
      </w:r>
      <w:r w:rsidR="00874A4B">
        <w:rPr>
          <w:rFonts w:hint="eastAsia"/>
          <w:lang w:eastAsia="zh-CN"/>
        </w:rPr>
        <w:t>中的多数指导原则似乎与</w:t>
      </w:r>
      <w:r w:rsidR="00623988" w:rsidRPr="00216D1E">
        <w:rPr>
          <w:rStyle w:val="Hyperlink"/>
          <w:rFonts w:hint="eastAsia"/>
          <w:szCs w:val="24"/>
          <w:lang w:eastAsia="zh-CN"/>
        </w:rPr>
        <w:t>《</w:t>
      </w:r>
      <w:hyperlink r:id="rId11" w:history="1">
        <w:r w:rsidR="00874A4B" w:rsidRPr="00216D1E">
          <w:rPr>
            <w:rStyle w:val="Hyperlink"/>
            <w:szCs w:val="24"/>
            <w:lang w:eastAsia="zh-CN"/>
          </w:rPr>
          <w:t>ITU-T</w:t>
        </w:r>
        <w:r w:rsidR="00874A4B" w:rsidRPr="00216D1E">
          <w:rPr>
            <w:rStyle w:val="Hyperlink"/>
            <w:szCs w:val="24"/>
            <w:lang w:eastAsia="zh-CN"/>
          </w:rPr>
          <w:t>作者指南</w:t>
        </w:r>
        <w:r w:rsidR="00623988" w:rsidRPr="00216D1E">
          <w:rPr>
            <w:rStyle w:val="Hyperlink"/>
            <w:rFonts w:hint="eastAsia"/>
            <w:szCs w:val="24"/>
            <w:lang w:eastAsia="zh-CN"/>
          </w:rPr>
          <w:t>》</w:t>
        </w:r>
      </w:hyperlink>
      <w:r w:rsidR="00874A4B" w:rsidRPr="001D237F">
        <w:rPr>
          <w:rFonts w:hint="eastAsia"/>
          <w:lang w:eastAsia="zh-CN"/>
        </w:rPr>
        <w:t>所含内容</w:t>
      </w:r>
      <w:r w:rsidR="001D237F" w:rsidRPr="001D237F">
        <w:rPr>
          <w:rFonts w:hint="eastAsia"/>
          <w:lang w:eastAsia="zh-CN"/>
        </w:rPr>
        <w:t>相同。这种做法应得到鼓励，因为</w:t>
      </w:r>
      <w:r w:rsidR="00623988">
        <w:rPr>
          <w:rFonts w:hint="eastAsia"/>
          <w:lang w:eastAsia="zh-CN"/>
        </w:rPr>
        <w:t>，</w:t>
      </w:r>
      <w:r w:rsidR="001D237F" w:rsidRPr="001D237F">
        <w:rPr>
          <w:rFonts w:hint="eastAsia"/>
          <w:lang w:eastAsia="zh-CN"/>
        </w:rPr>
        <w:t>各部门</w:t>
      </w:r>
      <w:r w:rsidR="00623988">
        <w:rPr>
          <w:rFonts w:hint="eastAsia"/>
          <w:lang w:eastAsia="zh-CN"/>
        </w:rPr>
        <w:t>之间</w:t>
      </w:r>
      <w:r w:rsidR="001D237F" w:rsidRPr="001D237F">
        <w:rPr>
          <w:rFonts w:hint="eastAsia"/>
          <w:lang w:eastAsia="zh-CN"/>
        </w:rPr>
        <w:t>可相互汲取经验。</w:t>
      </w:r>
      <w:r w:rsidR="00623988">
        <w:rPr>
          <w:rFonts w:hint="eastAsia"/>
          <w:lang w:eastAsia="zh-CN"/>
        </w:rPr>
        <w:t>虽然</w:t>
      </w:r>
      <w:r w:rsidR="001D237F" w:rsidRPr="001D237F">
        <w:rPr>
          <w:rFonts w:hint="eastAsia"/>
          <w:lang w:eastAsia="zh-CN"/>
        </w:rPr>
        <w:t>《</w:t>
      </w:r>
      <w:r w:rsidR="001D237F" w:rsidRPr="001D237F">
        <w:rPr>
          <w:rFonts w:hint="eastAsia"/>
          <w:lang w:eastAsia="zh-CN"/>
        </w:rPr>
        <w:t>ITU-T</w:t>
      </w:r>
      <w:r w:rsidR="001D237F" w:rsidRPr="001D237F">
        <w:rPr>
          <w:rFonts w:hint="eastAsia"/>
          <w:lang w:eastAsia="zh-CN"/>
        </w:rPr>
        <w:t>作者指南》的一些章节可能不适用于</w:t>
      </w:r>
      <w:r w:rsidR="001D237F" w:rsidRPr="001D237F">
        <w:rPr>
          <w:rFonts w:hint="eastAsia"/>
          <w:lang w:eastAsia="zh-CN"/>
        </w:rPr>
        <w:t>ITU-R</w:t>
      </w:r>
      <w:r w:rsidR="001D237F" w:rsidRPr="001D237F">
        <w:rPr>
          <w:rFonts w:hint="eastAsia"/>
          <w:lang w:eastAsia="zh-CN"/>
        </w:rPr>
        <w:t>指南（如附件</w:t>
      </w:r>
      <w:r w:rsidR="001D237F" w:rsidRPr="001D237F">
        <w:rPr>
          <w:rFonts w:hint="eastAsia"/>
          <w:lang w:eastAsia="zh-CN"/>
        </w:rPr>
        <w:t>C</w:t>
      </w:r>
      <w:r w:rsidR="001D237F" w:rsidRPr="001D237F">
        <w:rPr>
          <w:rFonts w:hint="eastAsia"/>
          <w:lang w:eastAsia="zh-CN"/>
        </w:rPr>
        <w:t>“</w:t>
      </w:r>
      <w:r w:rsidR="00623988">
        <w:rPr>
          <w:rFonts w:hint="eastAsia"/>
          <w:lang w:eastAsia="zh-CN"/>
        </w:rPr>
        <w:t>用于</w:t>
      </w:r>
      <w:r w:rsidR="001D237F" w:rsidRPr="001D237F">
        <w:rPr>
          <w:rFonts w:hint="eastAsia"/>
          <w:lang w:eastAsia="zh-CN"/>
        </w:rPr>
        <w:t>识别</w:t>
      </w:r>
      <w:r w:rsidR="001D237F" w:rsidRPr="001D237F">
        <w:rPr>
          <w:rFonts w:hint="eastAsia"/>
          <w:lang w:eastAsia="zh-CN"/>
        </w:rPr>
        <w:t>ITU-T</w:t>
      </w:r>
      <w:r w:rsidR="001D237F" w:rsidRPr="001D237F">
        <w:rPr>
          <w:rFonts w:hint="eastAsia"/>
          <w:lang w:eastAsia="zh-CN"/>
        </w:rPr>
        <w:t>建议书确定的</w:t>
      </w:r>
      <w:r w:rsidR="001D237F" w:rsidRPr="001D237F">
        <w:rPr>
          <w:rFonts w:hint="eastAsia"/>
          <w:lang w:eastAsia="zh-CN"/>
        </w:rPr>
        <w:t>XML</w:t>
      </w:r>
      <w:r w:rsidR="001D237F" w:rsidRPr="001D237F">
        <w:rPr>
          <w:rFonts w:hint="eastAsia"/>
          <w:lang w:eastAsia="zh-CN"/>
        </w:rPr>
        <w:t>命名空间的</w:t>
      </w:r>
      <w:r w:rsidR="001D237F" w:rsidRPr="001D237F">
        <w:rPr>
          <w:rFonts w:hint="eastAsia"/>
          <w:lang w:eastAsia="zh-CN"/>
        </w:rPr>
        <w:t>URI</w:t>
      </w:r>
      <w:r w:rsidR="001D237F" w:rsidRPr="001D237F">
        <w:rPr>
          <w:rFonts w:hint="eastAsia"/>
          <w:lang w:eastAsia="zh-CN"/>
        </w:rPr>
        <w:t>命名方案”）</w:t>
      </w:r>
      <w:r w:rsidR="00623988">
        <w:rPr>
          <w:rFonts w:hint="eastAsia"/>
          <w:lang w:eastAsia="zh-CN"/>
        </w:rPr>
        <w:t>，但很多内容可以囊括其中</w:t>
      </w:r>
      <w:r w:rsidR="001D237F" w:rsidRPr="001D237F">
        <w:rPr>
          <w:rFonts w:hint="eastAsia"/>
          <w:lang w:eastAsia="zh-CN"/>
        </w:rPr>
        <w:t>。</w:t>
      </w:r>
    </w:p>
    <w:p w:rsidR="003259A5" w:rsidRPr="001D237F" w:rsidRDefault="00216D1E" w:rsidP="00B8738D">
      <w:pPr>
        <w:pStyle w:val="enumlev2"/>
        <w:rPr>
          <w:lang w:eastAsia="zh-CN"/>
        </w:rPr>
      </w:pPr>
      <w:r>
        <w:rPr>
          <w:lang w:eastAsia="zh-CN"/>
        </w:rPr>
        <w:t>–</w:t>
      </w:r>
      <w:r>
        <w:rPr>
          <w:rFonts w:hint="eastAsia"/>
          <w:lang w:eastAsia="zh-CN"/>
        </w:rPr>
        <w:tab/>
      </w:r>
      <w:r w:rsidR="001D237F">
        <w:rPr>
          <w:rFonts w:hint="eastAsia"/>
          <w:lang w:eastAsia="zh-CN"/>
        </w:rPr>
        <w:t>信函通信小组认真审议最新</w:t>
      </w:r>
      <w:r w:rsidR="00623988">
        <w:rPr>
          <w:rFonts w:hint="eastAsia"/>
          <w:lang w:eastAsia="zh-CN"/>
        </w:rPr>
        <w:t>版</w:t>
      </w:r>
      <w:r w:rsidR="001D237F">
        <w:rPr>
          <w:rFonts w:hint="eastAsia"/>
          <w:lang w:eastAsia="zh-CN"/>
        </w:rPr>
        <w:t>《</w:t>
      </w:r>
      <w:r w:rsidR="001D237F">
        <w:rPr>
          <w:rFonts w:hint="eastAsia"/>
          <w:lang w:eastAsia="zh-CN"/>
        </w:rPr>
        <w:t>ITU-T</w:t>
      </w:r>
      <w:r w:rsidR="001D237F">
        <w:rPr>
          <w:rFonts w:hint="eastAsia"/>
          <w:lang w:eastAsia="zh-CN"/>
        </w:rPr>
        <w:t>作者指南》可能有助于确定可纳入的有益内容。</w:t>
      </w:r>
    </w:p>
    <w:p w:rsidR="003259A5" w:rsidRDefault="00216D1E" w:rsidP="00216D1E">
      <w:pPr>
        <w:pStyle w:val="enumlev1"/>
        <w:rPr>
          <w:lang w:eastAsia="zh-CN"/>
        </w:rPr>
      </w:pPr>
      <w:r>
        <w:rPr>
          <w:b/>
          <w:bCs/>
          <w:lang w:val="fr-CH" w:eastAsia="zh-CN"/>
        </w:rPr>
        <w:t>•</w:t>
      </w:r>
      <w:r>
        <w:rPr>
          <w:b/>
          <w:bCs/>
          <w:lang w:val="fr-CH" w:eastAsia="zh-CN"/>
        </w:rPr>
        <w:tab/>
      </w:r>
      <w:r w:rsidR="007D407B" w:rsidRPr="00216D1E">
        <w:rPr>
          <w:rFonts w:hint="eastAsia"/>
          <w:b/>
          <w:bCs/>
          <w:lang w:eastAsia="zh-CN"/>
        </w:rPr>
        <w:t>采用通用指南有益于</w:t>
      </w:r>
      <w:r w:rsidR="007D407B" w:rsidRPr="00216D1E">
        <w:rPr>
          <w:rFonts w:hint="eastAsia"/>
          <w:b/>
          <w:bCs/>
          <w:lang w:eastAsia="zh-CN"/>
        </w:rPr>
        <w:t>ITU-R</w:t>
      </w:r>
      <w:r w:rsidR="007D407B" w:rsidRPr="00216D1E">
        <w:rPr>
          <w:rFonts w:hint="eastAsia"/>
          <w:b/>
          <w:bCs/>
          <w:lang w:eastAsia="zh-CN"/>
        </w:rPr>
        <w:t>建议书的制定</w:t>
      </w:r>
    </w:p>
    <w:p w:rsidR="003259A5" w:rsidRPr="00BA15A2" w:rsidRDefault="00216D1E" w:rsidP="00B8738D">
      <w:pPr>
        <w:pStyle w:val="enumlev2"/>
        <w:rPr>
          <w:lang w:eastAsia="zh-CN"/>
        </w:rPr>
      </w:pPr>
      <w:r>
        <w:rPr>
          <w:lang w:eastAsia="zh-CN"/>
        </w:rPr>
        <w:t>–</w:t>
      </w:r>
      <w:r>
        <w:rPr>
          <w:rFonts w:hint="eastAsia"/>
          <w:lang w:eastAsia="zh-CN"/>
        </w:rPr>
        <w:tab/>
      </w:r>
      <w:r w:rsidR="007D407B" w:rsidRPr="00BA15A2">
        <w:rPr>
          <w:lang w:eastAsia="zh-CN"/>
        </w:rPr>
        <w:t>ITU-R</w:t>
      </w:r>
      <w:r w:rsidR="007D407B" w:rsidRPr="00BA15A2">
        <w:rPr>
          <w:rFonts w:hint="eastAsia"/>
          <w:lang w:eastAsia="zh-CN"/>
        </w:rPr>
        <w:t>建议书在各章节的</w:t>
      </w:r>
      <w:r w:rsidR="00885134">
        <w:rPr>
          <w:rFonts w:hint="eastAsia"/>
          <w:lang w:eastAsia="zh-CN"/>
        </w:rPr>
        <w:t>表述方式上</w:t>
      </w:r>
      <w:r w:rsidR="007D407B" w:rsidRPr="00BA15A2">
        <w:rPr>
          <w:rFonts w:hint="eastAsia"/>
          <w:lang w:eastAsia="zh-CN"/>
        </w:rPr>
        <w:t>存在不一致之处。如“注意到”、“考虑到”和“认识到”</w:t>
      </w:r>
      <w:r w:rsidR="00885134">
        <w:rPr>
          <w:rFonts w:hint="eastAsia"/>
          <w:lang w:eastAsia="zh-CN"/>
        </w:rPr>
        <w:t>各段</w:t>
      </w:r>
      <w:r w:rsidR="007D407B" w:rsidRPr="00BA15A2">
        <w:rPr>
          <w:rFonts w:hint="eastAsia"/>
          <w:lang w:eastAsia="zh-CN"/>
        </w:rPr>
        <w:t>中内容的放置。</w:t>
      </w:r>
    </w:p>
    <w:p w:rsidR="003259A5" w:rsidRPr="00BA15A2" w:rsidRDefault="00216D1E" w:rsidP="00B8738D">
      <w:pPr>
        <w:pStyle w:val="enumlev2"/>
        <w:rPr>
          <w:lang w:eastAsia="zh-CN"/>
        </w:rPr>
      </w:pPr>
      <w:r>
        <w:rPr>
          <w:lang w:eastAsia="zh-CN"/>
        </w:rPr>
        <w:t>–</w:t>
      </w:r>
      <w:r>
        <w:rPr>
          <w:rFonts w:hint="eastAsia"/>
          <w:lang w:eastAsia="zh-CN"/>
        </w:rPr>
        <w:tab/>
      </w:r>
      <w:r w:rsidR="00BA15A2">
        <w:rPr>
          <w:rFonts w:hint="eastAsia"/>
          <w:lang w:eastAsia="zh-CN"/>
        </w:rPr>
        <w:t>通用定义、通用顺序等将有助于对文件的理解并</w:t>
      </w:r>
      <w:r w:rsidR="00885134">
        <w:rPr>
          <w:rFonts w:hint="eastAsia"/>
          <w:lang w:eastAsia="zh-CN"/>
        </w:rPr>
        <w:t>为</w:t>
      </w:r>
      <w:r w:rsidR="00BA15A2">
        <w:rPr>
          <w:rFonts w:hint="eastAsia"/>
          <w:lang w:eastAsia="zh-CN"/>
        </w:rPr>
        <w:t>编辑人员和秘书处的工作</w:t>
      </w:r>
      <w:r w:rsidR="00885134">
        <w:rPr>
          <w:rFonts w:hint="eastAsia"/>
          <w:lang w:eastAsia="zh-CN"/>
        </w:rPr>
        <w:t>提供便利</w:t>
      </w:r>
      <w:r w:rsidR="00BA15A2">
        <w:rPr>
          <w:rFonts w:hint="eastAsia"/>
          <w:lang w:eastAsia="zh-CN"/>
        </w:rPr>
        <w:t>。</w:t>
      </w:r>
    </w:p>
    <w:p w:rsidR="003259A5" w:rsidRDefault="00216D1E" w:rsidP="00216D1E">
      <w:pPr>
        <w:pStyle w:val="enumlev1"/>
        <w:rPr>
          <w:lang w:eastAsia="zh-CN"/>
        </w:rPr>
      </w:pPr>
      <w:r>
        <w:rPr>
          <w:b/>
          <w:bCs/>
          <w:lang w:val="fr-CH" w:eastAsia="zh-CN"/>
        </w:rPr>
        <w:t>•</w:t>
      </w:r>
      <w:r>
        <w:rPr>
          <w:b/>
          <w:bCs/>
          <w:lang w:val="fr-CH" w:eastAsia="zh-CN"/>
        </w:rPr>
        <w:tab/>
      </w:r>
      <w:r w:rsidR="00885134" w:rsidRPr="00216D1E">
        <w:rPr>
          <w:rFonts w:hint="eastAsia"/>
          <w:b/>
          <w:bCs/>
          <w:lang w:eastAsia="zh-CN"/>
        </w:rPr>
        <w:t>建立</w:t>
      </w:r>
      <w:r w:rsidR="005864F3" w:rsidRPr="00216D1E">
        <w:rPr>
          <w:rFonts w:hint="eastAsia"/>
          <w:b/>
          <w:bCs/>
          <w:lang w:eastAsia="zh-CN"/>
        </w:rPr>
        <w:t>通用格式只能解决部分问题</w:t>
      </w:r>
    </w:p>
    <w:p w:rsidR="003259A5" w:rsidRPr="005864F3" w:rsidRDefault="00216D1E" w:rsidP="00885134">
      <w:pPr>
        <w:pStyle w:val="enumlev2"/>
        <w:rPr>
          <w:lang w:eastAsia="zh-CN"/>
        </w:rPr>
      </w:pPr>
      <w:r>
        <w:rPr>
          <w:lang w:eastAsia="zh-CN"/>
        </w:rPr>
        <w:t>–</w:t>
      </w:r>
      <w:r>
        <w:rPr>
          <w:rFonts w:hint="eastAsia"/>
          <w:lang w:eastAsia="zh-CN"/>
        </w:rPr>
        <w:tab/>
      </w:r>
      <w:r w:rsidR="00075AB2">
        <w:rPr>
          <w:rFonts w:hint="eastAsia"/>
          <w:lang w:eastAsia="zh-CN"/>
        </w:rPr>
        <w:t>推广格式，但</w:t>
      </w:r>
      <w:r w:rsidR="00885134">
        <w:rPr>
          <w:rFonts w:hint="eastAsia"/>
          <w:lang w:eastAsia="zh-CN"/>
        </w:rPr>
        <w:t>不对</w:t>
      </w:r>
      <w:r w:rsidR="00075AB2">
        <w:rPr>
          <w:rFonts w:hint="eastAsia"/>
          <w:lang w:eastAsia="zh-CN"/>
        </w:rPr>
        <w:t>格式</w:t>
      </w:r>
      <w:r w:rsidR="00885134">
        <w:rPr>
          <w:rFonts w:hint="eastAsia"/>
          <w:lang w:eastAsia="zh-CN"/>
        </w:rPr>
        <w:t>的使用进行说明将重蹈覆辙</w:t>
      </w:r>
      <w:r w:rsidR="00075AB2">
        <w:rPr>
          <w:rFonts w:hint="eastAsia"/>
          <w:lang w:eastAsia="zh-CN"/>
        </w:rPr>
        <w:t>。</w:t>
      </w:r>
    </w:p>
    <w:p w:rsidR="003259A5" w:rsidRPr="005864F3" w:rsidRDefault="00216D1E" w:rsidP="00B8738D">
      <w:pPr>
        <w:pStyle w:val="enumlev2"/>
        <w:rPr>
          <w:lang w:eastAsia="zh-CN"/>
        </w:rPr>
      </w:pPr>
      <w:r>
        <w:rPr>
          <w:lang w:eastAsia="zh-CN"/>
        </w:rPr>
        <w:t>–</w:t>
      </w:r>
      <w:r>
        <w:rPr>
          <w:rFonts w:hint="eastAsia"/>
          <w:lang w:eastAsia="zh-CN"/>
        </w:rPr>
        <w:tab/>
      </w:r>
      <w:r w:rsidR="00885134">
        <w:rPr>
          <w:rFonts w:hint="eastAsia"/>
          <w:lang w:eastAsia="zh-CN"/>
        </w:rPr>
        <w:t>必</w:t>
      </w:r>
      <w:r w:rsidR="00075AB2">
        <w:rPr>
          <w:rFonts w:hint="eastAsia"/>
          <w:lang w:eastAsia="zh-CN"/>
        </w:rPr>
        <w:t>须努力培训领导者和成员适当使用格式。</w:t>
      </w:r>
    </w:p>
    <w:p w:rsidR="003259A5" w:rsidRPr="005864F3" w:rsidRDefault="00216D1E" w:rsidP="00885134">
      <w:pPr>
        <w:pStyle w:val="enumlev2"/>
        <w:rPr>
          <w:lang w:eastAsia="zh-CN"/>
        </w:rPr>
      </w:pPr>
      <w:r>
        <w:rPr>
          <w:lang w:eastAsia="zh-CN"/>
        </w:rPr>
        <w:t>–</w:t>
      </w:r>
      <w:r>
        <w:rPr>
          <w:rFonts w:hint="eastAsia"/>
          <w:lang w:eastAsia="zh-CN"/>
        </w:rPr>
        <w:tab/>
      </w:r>
      <w:r w:rsidR="00075AB2">
        <w:rPr>
          <w:rFonts w:hint="eastAsia"/>
          <w:lang w:eastAsia="zh-CN"/>
        </w:rPr>
        <w:t>信函通信小组可考虑</w:t>
      </w:r>
      <w:r w:rsidR="00885134">
        <w:rPr>
          <w:rFonts w:hint="eastAsia"/>
          <w:lang w:eastAsia="zh-CN"/>
        </w:rPr>
        <w:t>编制一份像</w:t>
      </w:r>
      <w:r w:rsidR="00075AB2">
        <w:rPr>
          <w:rFonts w:hint="eastAsia"/>
          <w:lang w:eastAsia="zh-CN"/>
        </w:rPr>
        <w:t>《</w:t>
      </w:r>
      <w:r w:rsidR="00075AB2">
        <w:rPr>
          <w:rFonts w:hint="eastAsia"/>
          <w:lang w:eastAsia="zh-CN"/>
        </w:rPr>
        <w:t>ITU-T</w:t>
      </w:r>
      <w:r w:rsidR="00075AB2">
        <w:rPr>
          <w:rFonts w:hint="eastAsia"/>
          <w:lang w:eastAsia="zh-CN"/>
        </w:rPr>
        <w:t>作者指南》</w:t>
      </w:r>
      <w:r w:rsidR="00885134">
        <w:rPr>
          <w:rFonts w:hint="eastAsia"/>
          <w:lang w:eastAsia="zh-CN"/>
        </w:rPr>
        <w:t>一样的单独文件</w:t>
      </w:r>
      <w:r w:rsidR="00075AB2">
        <w:rPr>
          <w:rFonts w:hint="eastAsia"/>
          <w:lang w:eastAsia="zh-CN"/>
        </w:rPr>
        <w:t>，提供给所有研究组、工作组主席，以指导其工作。</w:t>
      </w:r>
    </w:p>
    <w:p w:rsidR="003259A5" w:rsidRDefault="00216D1E" w:rsidP="00216D1E">
      <w:pPr>
        <w:pStyle w:val="enumlev1"/>
        <w:rPr>
          <w:lang w:eastAsia="zh-CN"/>
        </w:rPr>
      </w:pPr>
      <w:r>
        <w:rPr>
          <w:b/>
          <w:bCs/>
          <w:lang w:val="fr-CH" w:eastAsia="zh-CN"/>
        </w:rPr>
        <w:t>•</w:t>
      </w:r>
      <w:r>
        <w:rPr>
          <w:b/>
          <w:bCs/>
          <w:lang w:val="fr-CH" w:eastAsia="zh-CN"/>
        </w:rPr>
        <w:tab/>
      </w:r>
      <w:r w:rsidR="00172654" w:rsidRPr="00216D1E">
        <w:rPr>
          <w:rFonts w:hint="eastAsia"/>
          <w:b/>
          <w:bCs/>
          <w:lang w:eastAsia="zh-CN"/>
        </w:rPr>
        <w:t>格式的变更不应具有追溯</w:t>
      </w:r>
      <w:r w:rsidR="00172654" w:rsidRPr="00064B01">
        <w:rPr>
          <w:rFonts w:hint="eastAsia"/>
          <w:b/>
          <w:bCs/>
          <w:lang w:eastAsia="zh-CN"/>
        </w:rPr>
        <w:t>性</w:t>
      </w:r>
    </w:p>
    <w:p w:rsidR="003259A5" w:rsidRPr="001064A5" w:rsidRDefault="00216D1E" w:rsidP="00885134">
      <w:pPr>
        <w:pStyle w:val="enumlev2"/>
        <w:rPr>
          <w:lang w:eastAsia="zh-CN"/>
        </w:rPr>
      </w:pPr>
      <w:r>
        <w:rPr>
          <w:lang w:eastAsia="zh-CN"/>
        </w:rPr>
        <w:t>–</w:t>
      </w:r>
      <w:r>
        <w:rPr>
          <w:rFonts w:hint="eastAsia"/>
          <w:lang w:eastAsia="zh-CN"/>
        </w:rPr>
        <w:tab/>
      </w:r>
      <w:r w:rsidR="001064A5">
        <w:rPr>
          <w:rFonts w:hint="eastAsia"/>
          <w:lang w:eastAsia="zh-CN"/>
        </w:rPr>
        <w:t>一些建议书</w:t>
      </w:r>
      <w:r w:rsidR="00885134">
        <w:rPr>
          <w:rFonts w:hint="eastAsia"/>
          <w:lang w:eastAsia="zh-CN"/>
        </w:rPr>
        <w:t>已家喻户晓</w:t>
      </w:r>
      <w:r w:rsidR="001064A5">
        <w:rPr>
          <w:rFonts w:hint="eastAsia"/>
          <w:lang w:eastAsia="zh-CN"/>
        </w:rPr>
        <w:t>并一直采用现有格式，重新组织这些建议书可能造成更多混乱并有悖于采用通用格式的理由</w:t>
      </w:r>
      <w:bookmarkStart w:id="5" w:name="_GoBack"/>
      <w:bookmarkEnd w:id="5"/>
      <w:r w:rsidR="00885134">
        <w:rPr>
          <w:rFonts w:hint="eastAsia"/>
          <w:lang w:eastAsia="zh-CN"/>
        </w:rPr>
        <w:t>（</w:t>
      </w:r>
      <w:r w:rsidR="001064A5">
        <w:rPr>
          <w:rFonts w:hint="eastAsia"/>
          <w:lang w:eastAsia="zh-CN"/>
        </w:rPr>
        <w:t>便于理解</w:t>
      </w:r>
      <w:r w:rsidR="00885134">
        <w:rPr>
          <w:rFonts w:hint="eastAsia"/>
          <w:lang w:eastAsia="zh-CN"/>
        </w:rPr>
        <w:t>）</w:t>
      </w:r>
      <w:r w:rsidR="001064A5">
        <w:rPr>
          <w:rFonts w:hint="eastAsia"/>
          <w:lang w:eastAsia="zh-CN"/>
        </w:rPr>
        <w:t>。</w:t>
      </w:r>
    </w:p>
    <w:p w:rsidR="003259A5" w:rsidRPr="001064A5" w:rsidRDefault="00216D1E" w:rsidP="00885134">
      <w:pPr>
        <w:pStyle w:val="enumlev2"/>
        <w:rPr>
          <w:lang w:eastAsia="zh-CN"/>
        </w:rPr>
      </w:pPr>
      <w:r>
        <w:rPr>
          <w:lang w:eastAsia="zh-CN"/>
        </w:rPr>
        <w:t>–</w:t>
      </w:r>
      <w:r>
        <w:rPr>
          <w:rFonts w:hint="eastAsia"/>
          <w:lang w:eastAsia="zh-CN"/>
        </w:rPr>
        <w:tab/>
      </w:r>
      <w:r w:rsidR="00885134">
        <w:rPr>
          <w:rFonts w:hint="eastAsia"/>
          <w:lang w:eastAsia="zh-CN"/>
        </w:rPr>
        <w:t>改变</w:t>
      </w:r>
      <w:r w:rsidR="001064A5">
        <w:rPr>
          <w:rFonts w:hint="eastAsia"/>
          <w:lang w:eastAsia="zh-CN"/>
        </w:rPr>
        <w:t>一些建议书</w:t>
      </w:r>
      <w:r w:rsidR="00885134">
        <w:rPr>
          <w:rFonts w:hint="eastAsia"/>
          <w:lang w:eastAsia="zh-CN"/>
        </w:rPr>
        <w:t>的</w:t>
      </w:r>
      <w:r w:rsidR="001064A5">
        <w:rPr>
          <w:rFonts w:hint="eastAsia"/>
          <w:lang w:eastAsia="zh-CN"/>
        </w:rPr>
        <w:t>格式可能因为庞大的工作量或复杂性为成员和秘书处带来巨大负担。</w:t>
      </w:r>
      <w:r w:rsidR="003259A5" w:rsidRPr="001064A5">
        <w:rPr>
          <w:lang w:eastAsia="zh-CN"/>
        </w:rPr>
        <w:t xml:space="preserve"> </w:t>
      </w:r>
    </w:p>
    <w:p w:rsidR="00216D1E" w:rsidRDefault="00216D1E" w:rsidP="00885134">
      <w:pPr>
        <w:pStyle w:val="enumlev2"/>
        <w:rPr>
          <w:lang w:eastAsia="zh-CN"/>
        </w:rPr>
      </w:pPr>
      <w:r>
        <w:rPr>
          <w:lang w:eastAsia="zh-CN"/>
        </w:rPr>
        <w:t>–</w:t>
      </w:r>
      <w:r>
        <w:rPr>
          <w:rFonts w:hint="eastAsia"/>
          <w:lang w:eastAsia="zh-CN"/>
        </w:rPr>
        <w:tab/>
      </w:r>
      <w:r w:rsidR="00885134">
        <w:rPr>
          <w:rFonts w:hint="eastAsia"/>
          <w:lang w:eastAsia="zh-CN"/>
        </w:rPr>
        <w:t>建议书</w:t>
      </w:r>
      <w:r w:rsidR="001064A5">
        <w:rPr>
          <w:rFonts w:hint="eastAsia"/>
          <w:lang w:eastAsia="zh-CN"/>
        </w:rPr>
        <w:t>在常</w:t>
      </w:r>
      <w:r w:rsidR="00885134">
        <w:rPr>
          <w:rFonts w:hint="eastAsia"/>
          <w:lang w:eastAsia="zh-CN"/>
        </w:rPr>
        <w:t>规</w:t>
      </w:r>
      <w:r w:rsidR="001064A5">
        <w:rPr>
          <w:rFonts w:hint="eastAsia"/>
          <w:lang w:eastAsia="zh-CN"/>
        </w:rPr>
        <w:t>审议和更新</w:t>
      </w:r>
      <w:r w:rsidR="00885134">
        <w:rPr>
          <w:rFonts w:hint="eastAsia"/>
          <w:lang w:eastAsia="zh-CN"/>
        </w:rPr>
        <w:t>时是</w:t>
      </w:r>
      <w:r w:rsidR="001064A5">
        <w:rPr>
          <w:rFonts w:hint="eastAsia"/>
          <w:lang w:eastAsia="zh-CN"/>
        </w:rPr>
        <w:t>否需要</w:t>
      </w:r>
      <w:r w:rsidR="00885134">
        <w:rPr>
          <w:rFonts w:hint="eastAsia"/>
          <w:lang w:eastAsia="zh-CN"/>
        </w:rPr>
        <w:t>改变格式</w:t>
      </w:r>
      <w:r w:rsidR="001064A5">
        <w:rPr>
          <w:rFonts w:hint="eastAsia"/>
          <w:lang w:eastAsia="zh-CN"/>
        </w:rPr>
        <w:t>应由工作组和研究组决定。</w:t>
      </w:r>
    </w:p>
    <w:p w:rsidR="00216D1E" w:rsidRDefault="00216D1E">
      <w:pPr>
        <w:tabs>
          <w:tab w:val="clear" w:pos="794"/>
          <w:tab w:val="clear" w:pos="1191"/>
          <w:tab w:val="clear" w:pos="1588"/>
          <w:tab w:val="clear" w:pos="1985"/>
        </w:tabs>
        <w:overflowPunct/>
        <w:autoSpaceDE/>
        <w:autoSpaceDN/>
        <w:adjustRightInd/>
        <w:spacing w:before="0"/>
        <w:textAlignment w:val="auto"/>
        <w:rPr>
          <w:lang w:eastAsia="zh-CN"/>
        </w:rPr>
      </w:pPr>
    </w:p>
    <w:p w:rsidR="00216D1E" w:rsidRDefault="00216D1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3259A5" w:rsidRPr="001064A5" w:rsidRDefault="003259A5" w:rsidP="00885134">
      <w:pPr>
        <w:pStyle w:val="enumlev2"/>
        <w:rPr>
          <w:lang w:eastAsia="zh-CN"/>
        </w:rPr>
      </w:pPr>
    </w:p>
    <w:p w:rsidR="003259A5" w:rsidRDefault="00216D1E" w:rsidP="00216D1E">
      <w:pPr>
        <w:pStyle w:val="enumlev1"/>
        <w:rPr>
          <w:lang w:eastAsia="zh-CN"/>
        </w:rPr>
      </w:pPr>
      <w:r>
        <w:rPr>
          <w:b/>
          <w:bCs/>
          <w:lang w:val="fr-CH" w:eastAsia="zh-CN"/>
        </w:rPr>
        <w:t>•</w:t>
      </w:r>
      <w:r>
        <w:rPr>
          <w:b/>
          <w:bCs/>
          <w:lang w:val="fr-CH" w:eastAsia="zh-CN"/>
        </w:rPr>
        <w:tab/>
      </w:r>
      <w:r w:rsidR="001064A5" w:rsidRPr="00216D1E">
        <w:rPr>
          <w:rFonts w:hint="eastAsia"/>
          <w:b/>
          <w:bCs/>
          <w:lang w:eastAsia="zh-CN"/>
        </w:rPr>
        <w:t>成员应保留灵活性</w:t>
      </w:r>
    </w:p>
    <w:p w:rsidR="003259A5" w:rsidRPr="001064A5" w:rsidRDefault="00216D1E" w:rsidP="00B8738D">
      <w:pPr>
        <w:pStyle w:val="enumlev2"/>
        <w:rPr>
          <w:lang w:eastAsia="zh-CN"/>
        </w:rPr>
      </w:pPr>
      <w:r>
        <w:rPr>
          <w:lang w:eastAsia="zh-CN"/>
        </w:rPr>
        <w:t>–</w:t>
      </w:r>
      <w:r>
        <w:rPr>
          <w:rFonts w:hint="eastAsia"/>
          <w:lang w:eastAsia="zh-CN"/>
        </w:rPr>
        <w:tab/>
      </w:r>
      <w:r w:rsidR="001064A5">
        <w:rPr>
          <w:rFonts w:hint="eastAsia"/>
          <w:lang w:eastAsia="zh-CN"/>
        </w:rPr>
        <w:t>一些议题或问题可能与</w:t>
      </w:r>
      <w:r w:rsidR="001064A5" w:rsidRPr="001064A5">
        <w:rPr>
          <w:lang w:eastAsia="zh-CN"/>
        </w:rPr>
        <w:t>ITU-R</w:t>
      </w:r>
      <w:r w:rsidR="001064A5" w:rsidRPr="001064A5">
        <w:rPr>
          <w:rFonts w:hint="eastAsia"/>
          <w:lang w:eastAsia="zh-CN"/>
        </w:rPr>
        <w:t>的格式不符。</w:t>
      </w:r>
    </w:p>
    <w:p w:rsidR="003259A5" w:rsidRPr="001064A5" w:rsidRDefault="00216D1E" w:rsidP="00B8738D">
      <w:pPr>
        <w:pStyle w:val="enumlev2"/>
        <w:rPr>
          <w:lang w:eastAsia="zh-CN"/>
        </w:rPr>
      </w:pPr>
      <w:r>
        <w:rPr>
          <w:lang w:eastAsia="zh-CN"/>
        </w:rPr>
        <w:t>–</w:t>
      </w:r>
      <w:r>
        <w:rPr>
          <w:rFonts w:hint="eastAsia"/>
          <w:lang w:eastAsia="zh-CN"/>
        </w:rPr>
        <w:tab/>
      </w:r>
      <w:r w:rsidR="003259A5" w:rsidRPr="001064A5">
        <w:rPr>
          <w:lang w:eastAsia="zh-CN"/>
        </w:rPr>
        <w:t>ITU-R</w:t>
      </w:r>
      <w:r w:rsidR="001064A5" w:rsidRPr="001064A5">
        <w:rPr>
          <w:rFonts w:hint="eastAsia"/>
          <w:lang w:eastAsia="zh-CN"/>
        </w:rPr>
        <w:t>必</w:t>
      </w:r>
      <w:r w:rsidR="00885134">
        <w:rPr>
          <w:rFonts w:hint="eastAsia"/>
          <w:lang w:eastAsia="zh-CN"/>
        </w:rPr>
        <w:t>凭借</w:t>
      </w:r>
      <w:r w:rsidR="001064A5" w:rsidRPr="001064A5">
        <w:rPr>
          <w:rFonts w:hint="eastAsia"/>
          <w:lang w:eastAsia="zh-CN"/>
        </w:rPr>
        <w:t>自己主管的小组就建议书是否符合</w:t>
      </w:r>
      <w:r w:rsidR="001064A5" w:rsidRPr="001064A5">
        <w:rPr>
          <w:rFonts w:hint="eastAsia"/>
          <w:lang w:eastAsia="zh-CN"/>
        </w:rPr>
        <w:t>ITU-R</w:t>
      </w:r>
      <w:r w:rsidR="00885134">
        <w:rPr>
          <w:rFonts w:hint="eastAsia"/>
          <w:lang w:eastAsia="zh-CN"/>
        </w:rPr>
        <w:t>的</w:t>
      </w:r>
      <w:r w:rsidR="001064A5" w:rsidRPr="001064A5">
        <w:rPr>
          <w:rFonts w:hint="eastAsia"/>
          <w:lang w:eastAsia="zh-CN"/>
        </w:rPr>
        <w:t>格式做出知情的评定。</w:t>
      </w:r>
    </w:p>
    <w:p w:rsidR="003259A5" w:rsidRPr="001064A5" w:rsidRDefault="00216D1E" w:rsidP="00B8738D">
      <w:pPr>
        <w:pStyle w:val="enumlev2"/>
        <w:rPr>
          <w:lang w:eastAsia="zh-CN"/>
        </w:rPr>
      </w:pPr>
      <w:r>
        <w:rPr>
          <w:lang w:eastAsia="zh-CN"/>
        </w:rPr>
        <w:t>–</w:t>
      </w:r>
      <w:r>
        <w:rPr>
          <w:rFonts w:hint="eastAsia"/>
          <w:lang w:eastAsia="zh-CN"/>
        </w:rPr>
        <w:tab/>
      </w:r>
      <w:r w:rsidR="001064A5">
        <w:rPr>
          <w:rFonts w:hint="eastAsia"/>
          <w:lang w:eastAsia="zh-CN"/>
        </w:rPr>
        <w:t>如出现不可避免的例外，相关小组在提交待批准的建议书时应提供</w:t>
      </w:r>
      <w:r w:rsidR="00885134">
        <w:rPr>
          <w:rFonts w:hint="eastAsia"/>
          <w:lang w:eastAsia="zh-CN"/>
        </w:rPr>
        <w:t>出现</w:t>
      </w:r>
      <w:r w:rsidR="001064A5">
        <w:rPr>
          <w:rFonts w:hint="eastAsia"/>
          <w:lang w:eastAsia="zh-CN"/>
        </w:rPr>
        <w:t>偏差的理由。这一程序有必要反映在有关</w:t>
      </w:r>
      <w:r w:rsidR="001064A5">
        <w:rPr>
          <w:rFonts w:hint="eastAsia"/>
          <w:lang w:eastAsia="zh-CN"/>
        </w:rPr>
        <w:t>ITU-R</w:t>
      </w:r>
      <w:r w:rsidR="001064A5">
        <w:rPr>
          <w:rFonts w:hint="eastAsia"/>
          <w:lang w:eastAsia="zh-CN"/>
        </w:rPr>
        <w:t>建议书格式的指导原则中。</w:t>
      </w:r>
    </w:p>
    <w:p w:rsidR="003259A5" w:rsidRDefault="003259A5" w:rsidP="00B8738D">
      <w:pPr>
        <w:pStyle w:val="Reasons"/>
        <w:rPr>
          <w:rFonts w:eastAsiaTheme="minorEastAsia"/>
          <w:lang w:eastAsia="zh-CN"/>
        </w:rPr>
      </w:pPr>
    </w:p>
    <w:p w:rsidR="001064A5" w:rsidRDefault="001064A5" w:rsidP="00B8738D">
      <w:pPr>
        <w:pStyle w:val="Reasons"/>
        <w:rPr>
          <w:rFonts w:eastAsiaTheme="minorEastAsia"/>
          <w:lang w:eastAsia="zh-CN"/>
        </w:rPr>
      </w:pPr>
    </w:p>
    <w:p w:rsidR="001064A5" w:rsidRDefault="001064A5" w:rsidP="00B8738D">
      <w:pPr>
        <w:pStyle w:val="Reasons"/>
        <w:rPr>
          <w:rFonts w:eastAsiaTheme="minorEastAsia"/>
          <w:lang w:eastAsia="zh-CN"/>
        </w:rPr>
      </w:pPr>
    </w:p>
    <w:p w:rsidR="001064A5" w:rsidRPr="001064A5" w:rsidRDefault="001064A5" w:rsidP="00B8738D">
      <w:pPr>
        <w:pStyle w:val="Reasons"/>
        <w:rPr>
          <w:rFonts w:eastAsiaTheme="minorEastAsia"/>
          <w:lang w:eastAsia="zh-CN"/>
        </w:rPr>
      </w:pPr>
    </w:p>
    <w:p w:rsidR="003259A5" w:rsidRDefault="003259A5" w:rsidP="00B8738D">
      <w:pPr>
        <w:jc w:val="center"/>
      </w:pPr>
      <w:r>
        <w:t>______________</w:t>
      </w:r>
    </w:p>
    <w:sectPr w:rsidR="003259A5" w:rsidSect="00A5181E">
      <w:headerReference w:type="default" r:id="rId12"/>
      <w:foot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D1E" w:rsidRDefault="00216D1E">
      <w:r>
        <w:separator/>
      </w:r>
    </w:p>
  </w:endnote>
  <w:endnote w:type="continuationSeparator" w:id="0">
    <w:p w:rsidR="00216D1E" w:rsidRDefault="00216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1E" w:rsidRPr="00AD65C2" w:rsidRDefault="00216D1E" w:rsidP="00AD65C2">
    <w:pPr>
      <w:pStyle w:val="Footer"/>
    </w:pPr>
    <w:fldSimple w:instr=" FILENAME \p  \* MERGEFORMAT ">
      <w:r w:rsidR="00EE148A">
        <w:t>P:\CHI\ITU-R\AG\RAG12\RAG-1\000\003C.docx</w:t>
      </w:r>
    </w:fldSimple>
    <w:r>
      <w:rPr>
        <w:rFonts w:hint="eastAsia"/>
        <w:lang w:eastAsia="zh-CN"/>
      </w:rPr>
      <w:t xml:space="preserve"> (</w:t>
    </w:r>
    <w:r>
      <w:rPr>
        <w:lang w:eastAsia="zh-CN"/>
      </w:rPr>
      <w:t>327177</w:t>
    </w:r>
    <w:r>
      <w:rPr>
        <w:rFonts w:hint="eastAsia"/>
        <w:lang w:eastAsia="zh-CN"/>
      </w:rPr>
      <w:t>)</w:t>
    </w:r>
    <w:r>
      <w:tab/>
    </w:r>
    <w:r>
      <w:fldChar w:fldCharType="begin"/>
    </w:r>
    <w:r>
      <w:instrText xml:space="preserve"> SAVEDATE \@ DD.MM.YY </w:instrText>
    </w:r>
    <w:r>
      <w:fldChar w:fldCharType="separate"/>
    </w:r>
    <w:r w:rsidR="00EE148A">
      <w:t>18.06.12</w:t>
    </w:r>
    <w:r>
      <w:fldChar w:fldCharType="end"/>
    </w:r>
    <w:r>
      <w:tab/>
    </w:r>
    <w:r>
      <w:fldChar w:fldCharType="begin"/>
    </w:r>
    <w:r>
      <w:instrText xml:space="preserve"> PRINTDATE \@ DD.MM.YY </w:instrText>
    </w:r>
    <w:r>
      <w:fldChar w:fldCharType="separate"/>
    </w:r>
    <w:r w:rsidR="00EE148A">
      <w:t>18.06.12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1E" w:rsidRDefault="00216D1E" w:rsidP="00AD65C2">
    <w:pPr>
      <w:pStyle w:val="Footer"/>
    </w:pPr>
    <w:fldSimple w:instr=" FILENAME \p  \* MERGEFORMAT ">
      <w:r w:rsidR="00EE148A">
        <w:t>P:\CHI\ITU-R\AG\RAG12\RAG-1\000\003C.docx</w:t>
      </w:r>
    </w:fldSimple>
    <w:r>
      <w:rPr>
        <w:rFonts w:hint="eastAsia"/>
        <w:lang w:eastAsia="zh-CN"/>
      </w:rPr>
      <w:t xml:space="preserve"> (</w:t>
    </w:r>
    <w:r>
      <w:rPr>
        <w:lang w:eastAsia="zh-CN"/>
      </w:rPr>
      <w:t>327177</w:t>
    </w:r>
    <w:r>
      <w:rPr>
        <w:rFonts w:hint="eastAsia"/>
        <w:lang w:eastAsia="zh-CN"/>
      </w:rPr>
      <w:t>)</w:t>
    </w:r>
    <w:r>
      <w:tab/>
    </w:r>
    <w:r>
      <w:fldChar w:fldCharType="begin"/>
    </w:r>
    <w:r>
      <w:instrText xml:space="preserve"> SAVEDATE \@ DD.MM.YY </w:instrText>
    </w:r>
    <w:r>
      <w:fldChar w:fldCharType="separate"/>
    </w:r>
    <w:r w:rsidR="00EE148A">
      <w:t>18.06.12</w:t>
    </w:r>
    <w:r>
      <w:fldChar w:fldCharType="end"/>
    </w:r>
    <w:r>
      <w:tab/>
    </w:r>
    <w:r>
      <w:fldChar w:fldCharType="begin"/>
    </w:r>
    <w:r>
      <w:instrText xml:space="preserve"> PRINTDATE \@ DD.MM.YY </w:instrText>
    </w:r>
    <w:r>
      <w:fldChar w:fldCharType="separate"/>
    </w:r>
    <w:r w:rsidR="00EE148A">
      <w:t>18.06.12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D1E" w:rsidRDefault="00216D1E">
      <w:r>
        <w:t>____________________</w:t>
      </w:r>
    </w:p>
  </w:footnote>
  <w:footnote w:type="continuationSeparator" w:id="0">
    <w:p w:rsidR="00216D1E" w:rsidRDefault="00216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D1E" w:rsidRPr="00AF0B82" w:rsidRDefault="00216D1E" w:rsidP="000A4F34">
    <w:pPr>
      <w:pStyle w:val="Header"/>
    </w:pPr>
    <w:r>
      <w:fldChar w:fldCharType="begin"/>
    </w:r>
    <w:r>
      <w:instrText xml:space="preserve"> PAGE </w:instrText>
    </w:r>
    <w:r>
      <w:fldChar w:fldCharType="separate"/>
    </w:r>
    <w:r w:rsidR="00EE148A">
      <w:rPr>
        <w:noProof/>
      </w:rPr>
      <w:t>2</w:t>
    </w:r>
    <w:r>
      <w:fldChar w:fldCharType="end"/>
    </w:r>
  </w:p>
  <w:p w:rsidR="00216D1E" w:rsidRPr="00AF0B82" w:rsidRDefault="00216D1E" w:rsidP="000A4F34">
    <w:pPr>
      <w:pStyle w:val="Header"/>
      <w:rPr>
        <w:lang w:eastAsia="zh-CN"/>
      </w:rPr>
    </w:pPr>
    <w:r w:rsidRPr="00AF0B82">
      <w:t>RAG</w:t>
    </w:r>
    <w:r w:rsidRPr="00AF0B82">
      <w:rPr>
        <w:rFonts w:hint="eastAsia"/>
        <w:lang w:eastAsia="zh-CN"/>
      </w:rPr>
      <w:t>1</w:t>
    </w:r>
    <w:r>
      <w:rPr>
        <w:lang w:eastAsia="zh-CN"/>
      </w:rPr>
      <w:t>2</w:t>
    </w:r>
    <w:r w:rsidRPr="00AF0B82">
      <w:t>-1/</w:t>
    </w:r>
    <w:r>
      <w:rPr>
        <w:lang w:eastAsia="zh-CN"/>
      </w:rPr>
      <w:t>3</w:t>
    </w:r>
    <w:r w:rsidRPr="00AF0B82">
      <w:t>-</w:t>
    </w:r>
    <w:r w:rsidRPr="00AF0B82">
      <w:rPr>
        <w:rFonts w:hint="eastAsia"/>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8B8033C"/>
    <w:multiLevelType w:val="hybridMultilevel"/>
    <w:tmpl w:val="7E749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4">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19">
    <w:nsid w:val="333650D4"/>
    <w:multiLevelType w:val="hybridMultilevel"/>
    <w:tmpl w:val="194A6D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nsid w:val="35EE22FE"/>
    <w:multiLevelType w:val="hybridMultilevel"/>
    <w:tmpl w:val="0DB66CB2"/>
    <w:lvl w:ilvl="0" w:tplc="718C9108">
      <w:start w:val="1"/>
      <w:numFmt w:val="bullet"/>
      <w:lvlText w:val=""/>
      <w:lvlJc w:val="left"/>
      <w:pPr>
        <w:tabs>
          <w:tab w:val="num" w:pos="360"/>
        </w:tabs>
        <w:ind w:left="360" w:hanging="360"/>
      </w:pPr>
      <w:rPr>
        <w:rFonts w:ascii="Symbol" w:hAnsi="Symbol" w:hint="default"/>
        <w:color w:val="auto"/>
        <w:lang w:val="en-GB"/>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D725DE9"/>
    <w:multiLevelType w:val="hybridMultilevel"/>
    <w:tmpl w:val="02BEA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26"/>
  </w:num>
  <w:num w:numId="13">
    <w:abstractNumId w:val="28"/>
  </w:num>
  <w:num w:numId="14">
    <w:abstractNumId w:val="25"/>
  </w:num>
  <w:num w:numId="15">
    <w:abstractNumId w:val="22"/>
  </w:num>
  <w:num w:numId="16">
    <w:abstractNumId w:val="27"/>
  </w:num>
  <w:num w:numId="17">
    <w:abstractNumId w:val="21"/>
  </w:num>
  <w:num w:numId="18">
    <w:abstractNumId w:val="10"/>
  </w:num>
  <w:num w:numId="19">
    <w:abstractNumId w:val="14"/>
  </w:num>
  <w:num w:numId="20">
    <w:abstractNumId w:val="15"/>
  </w:num>
  <w:num w:numId="21">
    <w:abstractNumId w:val="18"/>
  </w:num>
  <w:num w:numId="22">
    <w:abstractNumId w:val="29"/>
  </w:num>
  <w:num w:numId="23">
    <w:abstractNumId w:val="23"/>
  </w:num>
  <w:num w:numId="24">
    <w:abstractNumId w:val="24"/>
  </w:num>
  <w:num w:numId="25">
    <w:abstractNumId w:val="11"/>
  </w:num>
  <w:num w:numId="26">
    <w:abstractNumId w:val="20"/>
  </w:num>
  <w:num w:numId="27">
    <w:abstractNumId w:val="13"/>
  </w:num>
  <w:num w:numId="28">
    <w:abstractNumId w:val="17"/>
  </w:num>
  <w:num w:numId="29">
    <w:abstractNumId w:val="19"/>
  </w:num>
  <w:num w:numId="30">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9A5"/>
    <w:rsid w:val="00020106"/>
    <w:rsid w:val="00021007"/>
    <w:rsid w:val="00034C59"/>
    <w:rsid w:val="00062FA4"/>
    <w:rsid w:val="00064B01"/>
    <w:rsid w:val="0006614B"/>
    <w:rsid w:val="00075AB2"/>
    <w:rsid w:val="00082FBE"/>
    <w:rsid w:val="00084871"/>
    <w:rsid w:val="00085541"/>
    <w:rsid w:val="00093C73"/>
    <w:rsid w:val="000A0059"/>
    <w:rsid w:val="000A4F34"/>
    <w:rsid w:val="000A5F9E"/>
    <w:rsid w:val="000B0A4F"/>
    <w:rsid w:val="000B4D42"/>
    <w:rsid w:val="000C0FEC"/>
    <w:rsid w:val="000F275A"/>
    <w:rsid w:val="000F3718"/>
    <w:rsid w:val="001064A5"/>
    <w:rsid w:val="00107E5A"/>
    <w:rsid w:val="001225EE"/>
    <w:rsid w:val="00130A81"/>
    <w:rsid w:val="00130B50"/>
    <w:rsid w:val="0013473D"/>
    <w:rsid w:val="001368A7"/>
    <w:rsid w:val="00145997"/>
    <w:rsid w:val="00147382"/>
    <w:rsid w:val="00152B3F"/>
    <w:rsid w:val="001539C7"/>
    <w:rsid w:val="001551D2"/>
    <w:rsid w:val="00164A74"/>
    <w:rsid w:val="00166041"/>
    <w:rsid w:val="001722B2"/>
    <w:rsid w:val="00172654"/>
    <w:rsid w:val="00175850"/>
    <w:rsid w:val="00193A09"/>
    <w:rsid w:val="00194AD3"/>
    <w:rsid w:val="0019729C"/>
    <w:rsid w:val="001A5A4C"/>
    <w:rsid w:val="001B032E"/>
    <w:rsid w:val="001D2334"/>
    <w:rsid w:val="001D237F"/>
    <w:rsid w:val="001D6E77"/>
    <w:rsid w:val="001E5A76"/>
    <w:rsid w:val="001E692F"/>
    <w:rsid w:val="001E7277"/>
    <w:rsid w:val="001F6763"/>
    <w:rsid w:val="001F75CD"/>
    <w:rsid w:val="0020573C"/>
    <w:rsid w:val="00213AE0"/>
    <w:rsid w:val="00216D1E"/>
    <w:rsid w:val="00221367"/>
    <w:rsid w:val="002274F6"/>
    <w:rsid w:val="00236FBE"/>
    <w:rsid w:val="00244613"/>
    <w:rsid w:val="00252B08"/>
    <w:rsid w:val="00271619"/>
    <w:rsid w:val="00271C4F"/>
    <w:rsid w:val="0029544B"/>
    <w:rsid w:val="002A6FC3"/>
    <w:rsid w:val="002B224F"/>
    <w:rsid w:val="002C44B9"/>
    <w:rsid w:val="002C5CAC"/>
    <w:rsid w:val="002C69A2"/>
    <w:rsid w:val="002E6592"/>
    <w:rsid w:val="002F340E"/>
    <w:rsid w:val="002F666E"/>
    <w:rsid w:val="002F6A4E"/>
    <w:rsid w:val="002F7978"/>
    <w:rsid w:val="00302A9B"/>
    <w:rsid w:val="00303349"/>
    <w:rsid w:val="0030740E"/>
    <w:rsid w:val="003221F3"/>
    <w:rsid w:val="003259A5"/>
    <w:rsid w:val="0033041D"/>
    <w:rsid w:val="00333980"/>
    <w:rsid w:val="00342405"/>
    <w:rsid w:val="00342659"/>
    <w:rsid w:val="0034529C"/>
    <w:rsid w:val="00361609"/>
    <w:rsid w:val="00363AF1"/>
    <w:rsid w:val="00364117"/>
    <w:rsid w:val="00364127"/>
    <w:rsid w:val="00370DA9"/>
    <w:rsid w:val="00371A3D"/>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11DE5"/>
    <w:rsid w:val="0042612F"/>
    <w:rsid w:val="00426448"/>
    <w:rsid w:val="00432D7F"/>
    <w:rsid w:val="0043586E"/>
    <w:rsid w:val="0045496A"/>
    <w:rsid w:val="004557A7"/>
    <w:rsid w:val="00460615"/>
    <w:rsid w:val="0046370D"/>
    <w:rsid w:val="00465D72"/>
    <w:rsid w:val="00474CCC"/>
    <w:rsid w:val="00491D13"/>
    <w:rsid w:val="00492483"/>
    <w:rsid w:val="004974DE"/>
    <w:rsid w:val="004976C5"/>
    <w:rsid w:val="004A07A2"/>
    <w:rsid w:val="004B468C"/>
    <w:rsid w:val="004C1105"/>
    <w:rsid w:val="004D08EB"/>
    <w:rsid w:val="004D0BB7"/>
    <w:rsid w:val="004E5C65"/>
    <w:rsid w:val="004F3435"/>
    <w:rsid w:val="0050528F"/>
    <w:rsid w:val="00507D0A"/>
    <w:rsid w:val="00513BEA"/>
    <w:rsid w:val="0051782D"/>
    <w:rsid w:val="005205CD"/>
    <w:rsid w:val="0053462E"/>
    <w:rsid w:val="00552474"/>
    <w:rsid w:val="0055452F"/>
    <w:rsid w:val="00561A8F"/>
    <w:rsid w:val="00562977"/>
    <w:rsid w:val="0057042F"/>
    <w:rsid w:val="00576A0F"/>
    <w:rsid w:val="00584584"/>
    <w:rsid w:val="00585978"/>
    <w:rsid w:val="005864F3"/>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4DF9"/>
    <w:rsid w:val="00617963"/>
    <w:rsid w:val="00623988"/>
    <w:rsid w:val="006311E7"/>
    <w:rsid w:val="00641306"/>
    <w:rsid w:val="00642979"/>
    <w:rsid w:val="006476FF"/>
    <w:rsid w:val="00652764"/>
    <w:rsid w:val="00653323"/>
    <w:rsid w:val="0065517E"/>
    <w:rsid w:val="006556D9"/>
    <w:rsid w:val="00664647"/>
    <w:rsid w:val="00665AB9"/>
    <w:rsid w:val="00667F5B"/>
    <w:rsid w:val="00683C7F"/>
    <w:rsid w:val="00690DAD"/>
    <w:rsid w:val="00693E5D"/>
    <w:rsid w:val="00695C92"/>
    <w:rsid w:val="0069621F"/>
    <w:rsid w:val="006A3E35"/>
    <w:rsid w:val="006A3FBE"/>
    <w:rsid w:val="006A4BD4"/>
    <w:rsid w:val="006A7022"/>
    <w:rsid w:val="006B16EA"/>
    <w:rsid w:val="006D0022"/>
    <w:rsid w:val="006D0CA1"/>
    <w:rsid w:val="006D36FE"/>
    <w:rsid w:val="006D3CED"/>
    <w:rsid w:val="006D43D7"/>
    <w:rsid w:val="006E5B7C"/>
    <w:rsid w:val="006E6364"/>
    <w:rsid w:val="006F0D51"/>
    <w:rsid w:val="006F31AB"/>
    <w:rsid w:val="007029A5"/>
    <w:rsid w:val="00723E69"/>
    <w:rsid w:val="00725BEA"/>
    <w:rsid w:val="00730A2A"/>
    <w:rsid w:val="0074537E"/>
    <w:rsid w:val="0075704C"/>
    <w:rsid w:val="00757BB1"/>
    <w:rsid w:val="007669B2"/>
    <w:rsid w:val="007A299C"/>
    <w:rsid w:val="007A31FF"/>
    <w:rsid w:val="007A6C4A"/>
    <w:rsid w:val="007B56C2"/>
    <w:rsid w:val="007B7525"/>
    <w:rsid w:val="007C0529"/>
    <w:rsid w:val="007C0CCC"/>
    <w:rsid w:val="007C4F8B"/>
    <w:rsid w:val="007D407B"/>
    <w:rsid w:val="007D5B11"/>
    <w:rsid w:val="007E466C"/>
    <w:rsid w:val="007F087F"/>
    <w:rsid w:val="007F1A81"/>
    <w:rsid w:val="007F28FE"/>
    <w:rsid w:val="007F7F05"/>
    <w:rsid w:val="008027FD"/>
    <w:rsid w:val="008051C9"/>
    <w:rsid w:val="008120DB"/>
    <w:rsid w:val="008127CF"/>
    <w:rsid w:val="00817FE6"/>
    <w:rsid w:val="00823553"/>
    <w:rsid w:val="008243CD"/>
    <w:rsid w:val="00824751"/>
    <w:rsid w:val="00824ADB"/>
    <w:rsid w:val="0082609B"/>
    <w:rsid w:val="008261D5"/>
    <w:rsid w:val="008278E0"/>
    <w:rsid w:val="00835761"/>
    <w:rsid w:val="00841C76"/>
    <w:rsid w:val="0084602B"/>
    <w:rsid w:val="00847E2F"/>
    <w:rsid w:val="008552AB"/>
    <w:rsid w:val="008558A1"/>
    <w:rsid w:val="00855B4C"/>
    <w:rsid w:val="00857695"/>
    <w:rsid w:val="00861C2D"/>
    <w:rsid w:val="0087115D"/>
    <w:rsid w:val="00874A4B"/>
    <w:rsid w:val="0088263F"/>
    <w:rsid w:val="00885134"/>
    <w:rsid w:val="0088755C"/>
    <w:rsid w:val="008954AA"/>
    <w:rsid w:val="00896FE8"/>
    <w:rsid w:val="008A56A5"/>
    <w:rsid w:val="008B06FC"/>
    <w:rsid w:val="008C1346"/>
    <w:rsid w:val="008C34A4"/>
    <w:rsid w:val="008C7B07"/>
    <w:rsid w:val="008D06A4"/>
    <w:rsid w:val="008E11BE"/>
    <w:rsid w:val="008F1F07"/>
    <w:rsid w:val="008F50C1"/>
    <w:rsid w:val="00903039"/>
    <w:rsid w:val="0091120B"/>
    <w:rsid w:val="00915949"/>
    <w:rsid w:val="00920D5A"/>
    <w:rsid w:val="0092390D"/>
    <w:rsid w:val="00924B9F"/>
    <w:rsid w:val="009322FA"/>
    <w:rsid w:val="009345BB"/>
    <w:rsid w:val="009369E5"/>
    <w:rsid w:val="009456BE"/>
    <w:rsid w:val="00951886"/>
    <w:rsid w:val="009540C3"/>
    <w:rsid w:val="00954917"/>
    <w:rsid w:val="00964285"/>
    <w:rsid w:val="0097307C"/>
    <w:rsid w:val="0098015B"/>
    <w:rsid w:val="009A13C5"/>
    <w:rsid w:val="009A3FE6"/>
    <w:rsid w:val="009B51E5"/>
    <w:rsid w:val="009B5FCA"/>
    <w:rsid w:val="009C0DC9"/>
    <w:rsid w:val="009C16F8"/>
    <w:rsid w:val="009C521B"/>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E56"/>
    <w:rsid w:val="00A50605"/>
    <w:rsid w:val="00A5181E"/>
    <w:rsid w:val="00A620A1"/>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D65C2"/>
    <w:rsid w:val="00AE3B65"/>
    <w:rsid w:val="00AE40E0"/>
    <w:rsid w:val="00AF0B82"/>
    <w:rsid w:val="00B11BA5"/>
    <w:rsid w:val="00B1508A"/>
    <w:rsid w:val="00B25A3A"/>
    <w:rsid w:val="00B523C6"/>
    <w:rsid w:val="00B52992"/>
    <w:rsid w:val="00B57898"/>
    <w:rsid w:val="00B62CF3"/>
    <w:rsid w:val="00B76AE3"/>
    <w:rsid w:val="00B77421"/>
    <w:rsid w:val="00B865B8"/>
    <w:rsid w:val="00B8738D"/>
    <w:rsid w:val="00B9093E"/>
    <w:rsid w:val="00B90D98"/>
    <w:rsid w:val="00B925F8"/>
    <w:rsid w:val="00BA15A2"/>
    <w:rsid w:val="00BA5299"/>
    <w:rsid w:val="00BB099B"/>
    <w:rsid w:val="00BB3DBA"/>
    <w:rsid w:val="00BB4ADA"/>
    <w:rsid w:val="00BC195C"/>
    <w:rsid w:val="00BC3C94"/>
    <w:rsid w:val="00BC42EE"/>
    <w:rsid w:val="00BC72C9"/>
    <w:rsid w:val="00BD05A7"/>
    <w:rsid w:val="00BD2F5F"/>
    <w:rsid w:val="00BD41C7"/>
    <w:rsid w:val="00BD7223"/>
    <w:rsid w:val="00BE163D"/>
    <w:rsid w:val="00BE1942"/>
    <w:rsid w:val="00BE1F57"/>
    <w:rsid w:val="00BE5A75"/>
    <w:rsid w:val="00C0211F"/>
    <w:rsid w:val="00C21157"/>
    <w:rsid w:val="00C226F4"/>
    <w:rsid w:val="00C25047"/>
    <w:rsid w:val="00C3076D"/>
    <w:rsid w:val="00C30A3C"/>
    <w:rsid w:val="00C53641"/>
    <w:rsid w:val="00C60AC9"/>
    <w:rsid w:val="00C77784"/>
    <w:rsid w:val="00C94697"/>
    <w:rsid w:val="00CB2BE8"/>
    <w:rsid w:val="00CB7F4E"/>
    <w:rsid w:val="00CC1C81"/>
    <w:rsid w:val="00CE1DEC"/>
    <w:rsid w:val="00CE20C1"/>
    <w:rsid w:val="00CE6FDB"/>
    <w:rsid w:val="00CF38C3"/>
    <w:rsid w:val="00CF6EFF"/>
    <w:rsid w:val="00D0037A"/>
    <w:rsid w:val="00D02852"/>
    <w:rsid w:val="00D05AA4"/>
    <w:rsid w:val="00D22D5C"/>
    <w:rsid w:val="00D33A41"/>
    <w:rsid w:val="00D476FB"/>
    <w:rsid w:val="00D57861"/>
    <w:rsid w:val="00D6793C"/>
    <w:rsid w:val="00D72A39"/>
    <w:rsid w:val="00D769B3"/>
    <w:rsid w:val="00D77F6A"/>
    <w:rsid w:val="00D80A4C"/>
    <w:rsid w:val="00D8149F"/>
    <w:rsid w:val="00D83981"/>
    <w:rsid w:val="00D872CB"/>
    <w:rsid w:val="00D91C7F"/>
    <w:rsid w:val="00DC75E8"/>
    <w:rsid w:val="00DF0D07"/>
    <w:rsid w:val="00DF3D87"/>
    <w:rsid w:val="00DF44DA"/>
    <w:rsid w:val="00E0336A"/>
    <w:rsid w:val="00E04C5D"/>
    <w:rsid w:val="00E130B3"/>
    <w:rsid w:val="00E134DF"/>
    <w:rsid w:val="00E14765"/>
    <w:rsid w:val="00E246AC"/>
    <w:rsid w:val="00E27750"/>
    <w:rsid w:val="00E301FE"/>
    <w:rsid w:val="00E310C8"/>
    <w:rsid w:val="00E32DE7"/>
    <w:rsid w:val="00E331B2"/>
    <w:rsid w:val="00E37220"/>
    <w:rsid w:val="00E37793"/>
    <w:rsid w:val="00E55989"/>
    <w:rsid w:val="00E56657"/>
    <w:rsid w:val="00E62C6E"/>
    <w:rsid w:val="00E91301"/>
    <w:rsid w:val="00E96E00"/>
    <w:rsid w:val="00E979BD"/>
    <w:rsid w:val="00EA1892"/>
    <w:rsid w:val="00EB0ED5"/>
    <w:rsid w:val="00EC640E"/>
    <w:rsid w:val="00ED13A2"/>
    <w:rsid w:val="00ED5D07"/>
    <w:rsid w:val="00ED70DA"/>
    <w:rsid w:val="00EE148A"/>
    <w:rsid w:val="00EE44D4"/>
    <w:rsid w:val="00EF0218"/>
    <w:rsid w:val="00EF42D3"/>
    <w:rsid w:val="00EF6A54"/>
    <w:rsid w:val="00F1110E"/>
    <w:rsid w:val="00F349E0"/>
    <w:rsid w:val="00F36311"/>
    <w:rsid w:val="00F36FFF"/>
    <w:rsid w:val="00F41BC0"/>
    <w:rsid w:val="00F502A8"/>
    <w:rsid w:val="00F50FD6"/>
    <w:rsid w:val="00F5472A"/>
    <w:rsid w:val="00F5795F"/>
    <w:rsid w:val="00F64817"/>
    <w:rsid w:val="00F659D0"/>
    <w:rsid w:val="00F725E1"/>
    <w:rsid w:val="00F9582A"/>
    <w:rsid w:val="00FB1E59"/>
    <w:rsid w:val="00FB29A3"/>
    <w:rsid w:val="00FB630E"/>
    <w:rsid w:val="00FC36D2"/>
    <w:rsid w:val="00FC3D94"/>
    <w:rsid w:val="00FD4917"/>
    <w:rsid w:val="00FF492C"/>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3259A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aliases w:val="Heading 3 Char,h3,H3,H31"/>
    <w:basedOn w:val="Heading1"/>
    <w:next w:val="Normal"/>
    <w:link w:val="Heading3Char1"/>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pPr>
      <w:keepLines/>
      <w:spacing w:before="240" w:after="120"/>
      <w:jc w:val="center"/>
    </w:pPr>
    <w:rPr>
      <w:b/>
    </w:rPr>
  </w:style>
  <w:style w:type="paragraph" w:customStyle="1" w:styleId="Normalaftertitle">
    <w:name w:val="Normal_after_title"/>
    <w:basedOn w:val="Normal"/>
    <w:next w:val="Normal"/>
    <w:pPr>
      <w:spacing w:before="360"/>
    </w:pPr>
  </w:style>
  <w:style w:type="paragraph" w:customStyle="1" w:styleId="TabletitleBR">
    <w:name w:val="Table_title_BR"/>
    <w:basedOn w:val="Normal"/>
    <w:next w:val="Tablehead"/>
    <w:pPr>
      <w:keepNext/>
      <w:keepLines/>
      <w:spacing w:before="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
    <w:name w:val="Figure"/>
    <w:basedOn w:val="Normal"/>
    <w:next w:val="FigureNotitle"/>
    <w:pPr>
      <w:keepNext/>
      <w:keepLines/>
      <w:spacing w:before="240" w:after="120"/>
      <w:jc w:val="center"/>
    </w:p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link w:val="RestitleChar"/>
  </w:style>
  <w:style w:type="paragraph" w:customStyle="1" w:styleId="Resref">
    <w:name w:val="Res_ref"/>
    <w:basedOn w:val="Recref"/>
    <w:next w:val="Resdate"/>
    <w:link w:val="ResrefChar"/>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
    <w:basedOn w:val="DefaultParagraphFont"/>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DNV-FT"/>
    <w:basedOn w:val="Note"/>
    <w:link w:val="FootnoteTextChar"/>
    <w:pPr>
      <w:keepLines/>
      <w:tabs>
        <w:tab w:val="left" w:pos="255"/>
      </w:tabs>
      <w:ind w:left="255" w:hanging="255"/>
    </w:pPr>
  </w:style>
  <w:style w:type="paragraph" w:customStyle="1" w:styleId="Note">
    <w:name w:val="Note"/>
    <w:basedOn w:val="Normal"/>
    <w:pPr>
      <w:spacing w:before="80"/>
    </w:p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link w:val="ResNoChar"/>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paragraph" w:customStyle="1" w:styleId="AnnexNotitle">
    <w:name w:val="Annex_No &amp; title"/>
    <w:basedOn w:val="Normal"/>
    <w:next w:val="Normalaftertitle"/>
    <w:link w:val="AnnexNotitleChar"/>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styleId="BodyText">
    <w:name w:val="Body Text"/>
    <w:basedOn w:val="Normal"/>
    <w:rsid w:val="007A299C"/>
    <w:rPr>
      <w:b/>
      <w:bCs/>
      <w:i/>
      <w:iCs/>
      <w:szCs w:val="24"/>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character" w:customStyle="1" w:styleId="shorttext1">
    <w:name w:val="short_text1"/>
    <w:basedOn w:val="DefaultParagraphFont"/>
    <w:rsid w:val="009322FA"/>
    <w:rPr>
      <w:sz w:val="29"/>
      <w:szCs w:val="29"/>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84602B"/>
    <w:rPr>
      <w:color w:val="606420"/>
      <w:u w:val="single"/>
    </w:rPr>
  </w:style>
  <w:style w:type="character" w:customStyle="1" w:styleId="Heading3Char1">
    <w:name w:val="Heading 3 Char1"/>
    <w:aliases w:val="Heading 3 Char Char,h3 Char,H3 Char,H31 Char"/>
    <w:basedOn w:val="DefaultParagraphFont"/>
    <w:link w:val="Heading3"/>
    <w:semiHidden/>
    <w:rsid w:val="001E692F"/>
    <w:rPr>
      <w:b/>
      <w:sz w:val="24"/>
      <w:lang w:val="en-GB" w:eastAsia="en-US" w:bidi="ar-SA"/>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rsid w:val="001E692F"/>
    <w:rPr>
      <w:sz w:val="24"/>
      <w:lang w:val="en-GB" w:eastAsia="en-US" w:bidi="ar-SA"/>
    </w:rPr>
  </w:style>
  <w:style w:type="character" w:customStyle="1" w:styleId="itur-title1">
    <w:name w:val="itur-title1"/>
    <w:basedOn w:val="DefaultParagraphFont"/>
    <w:rsid w:val="003D0AB2"/>
    <w:rPr>
      <w:b/>
      <w:bCs/>
      <w:color w:val="5B84D7"/>
      <w:sz w:val="26"/>
      <w:szCs w:val="26"/>
    </w:rPr>
  </w:style>
  <w:style w:type="character" w:styleId="Strong">
    <w:name w:val="Strong"/>
    <w:basedOn w:val="DefaultParagraphFont"/>
    <w:qFormat/>
    <w:rsid w:val="00C25047"/>
    <w:rPr>
      <w:b/>
      <w:bCs/>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paragraph" w:customStyle="1" w:styleId="Char">
    <w:name w:val="Char"/>
    <w:basedOn w:val="Normal"/>
    <w:rsid w:val="008051C9"/>
    <w:pPr>
      <w:tabs>
        <w:tab w:val="clear" w:pos="794"/>
        <w:tab w:val="clear" w:pos="1191"/>
        <w:tab w:val="clear" w:pos="1588"/>
        <w:tab w:val="clear" w:pos="1985"/>
      </w:tabs>
      <w:overflowPunct/>
      <w:autoSpaceDE/>
      <w:autoSpaceDN/>
      <w:adjustRightInd/>
      <w:spacing w:before="0" w:after="160" w:line="240" w:lineRule="exact"/>
      <w:textAlignment w:val="auto"/>
    </w:pPr>
    <w:rPr>
      <w:rFonts w:ascii="Arial" w:hAnsi="Arial"/>
      <w:sz w:val="20"/>
      <w:lang w:val="fr-FR" w:eastAsia="zh-CN"/>
    </w:rPr>
  </w:style>
  <w:style w:type="character" w:customStyle="1" w:styleId="msoins0">
    <w:name w:val="msoins"/>
    <w:basedOn w:val="DefaultParagraphFont"/>
    <w:rsid w:val="001B032E"/>
  </w:style>
  <w:style w:type="character" w:customStyle="1" w:styleId="msoins00">
    <w:name w:val="msoins0"/>
    <w:basedOn w:val="DefaultParagraphFont"/>
    <w:rsid w:val="006B16EA"/>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aftertitle"/>
    <w:uiPriority w:val="99"/>
    <w:rsid w:val="000A0059"/>
    <w:pPr>
      <w:keepNext/>
      <w:keepLines/>
      <w:spacing w:before="720" w:after="120" w:line="280" w:lineRule="exact"/>
      <w:jc w:val="center"/>
    </w:pPr>
    <w:rPr>
      <w:rFonts w:eastAsia="Times New Roman"/>
      <w:b/>
      <w:lang w:val="fr-FR"/>
    </w:rPr>
  </w:style>
  <w:style w:type="paragraph" w:styleId="BalloonText">
    <w:name w:val="Balloon Text"/>
    <w:basedOn w:val="Normal"/>
    <w:link w:val="BalloonTextChar"/>
    <w:rsid w:val="005D4F78"/>
    <w:pPr>
      <w:spacing w:before="0"/>
    </w:pPr>
    <w:rPr>
      <w:rFonts w:ascii="Tahoma" w:hAnsi="Tahoma" w:cs="Tahoma"/>
      <w:sz w:val="16"/>
      <w:szCs w:val="16"/>
    </w:rPr>
  </w:style>
  <w:style w:type="character" w:customStyle="1" w:styleId="BalloonTextChar">
    <w:name w:val="Balloon Text Char"/>
    <w:basedOn w:val="DefaultParagraphFont"/>
    <w:link w:val="BalloonText"/>
    <w:rsid w:val="005D4F78"/>
    <w:rPr>
      <w:rFonts w:ascii="Tahoma" w:hAnsi="Tahoma" w:cs="Tahoma"/>
      <w:sz w:val="16"/>
      <w:szCs w:val="16"/>
      <w:lang w:val="en-GB" w:eastAsia="en-US"/>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0">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0"/>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paragraph" w:customStyle="1" w:styleId="Reasons">
    <w:name w:val="Reasons"/>
    <w:basedOn w:val="Normal"/>
    <w:qFormat/>
    <w:rsid w:val="003259A5"/>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dms_pub/itu-t/oth/0A/0F/T0A0F0000040003MSW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tu.int/md/R00-CA-CIR-0013/en." TargetMode="External"/><Relationship Id="rId4" Type="http://schemas.openxmlformats.org/officeDocument/2006/relationships/settings" Target="settings.xml"/><Relationship Id="rId9" Type="http://schemas.openxmlformats.org/officeDocument/2006/relationships/hyperlink" Target="http://www.itu.int/md/R12-RA12-C-0116/en"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ngz\Application%20Data\Microsoft\Templates\POOL%20C%20-%20ITU\PC_RAG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PC_RAG12.dotx</Template>
  <TotalTime>16</TotalTime>
  <Pages>3</Pages>
  <Words>1342</Words>
  <Characters>495</Characters>
  <Application>Microsoft Office Word</Application>
  <DocSecurity>0</DocSecurity>
  <Lines>4</Lines>
  <Paragraphs>3</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1834</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Yang, Zhenyu</dc:creator>
  <cp:keywords>RAG03-1</cp:keywords>
  <dc:description>Document RAG08-1/1-E  For: _x000d_Document date: 12 December 2007_x000d_Saved by JJF44233 at 15:38:46 on 18/12/2007</dc:description>
  <cp:lastModifiedBy>song</cp:lastModifiedBy>
  <cp:revision>5</cp:revision>
  <cp:lastPrinted>2012-06-18T13:56:00Z</cp:lastPrinted>
  <dcterms:created xsi:type="dcterms:W3CDTF">2012-06-18T13:41:00Z</dcterms:created>
  <dcterms:modified xsi:type="dcterms:W3CDTF">2012-06-18T13:57:00Z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