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277FA6">
        <w:trPr>
          <w:cantSplit/>
        </w:trPr>
        <w:tc>
          <w:tcPr>
            <w:tcW w:w="6580" w:type="dxa"/>
            <w:vAlign w:val="center"/>
          </w:tcPr>
          <w:p w:rsidR="00277FA6" w:rsidRPr="005354F2" w:rsidRDefault="0071066F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0"/>
                <w:szCs w:val="26"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 w:cs="Times New Roman Bold"/>
                    <w:b/>
                    <w:bCs/>
                    <w:sz w:val="20"/>
                  </w:rPr>
                  <w:t>Geneva</w:t>
                </w:r>
              </w:smartTag>
            </w:smartTag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, </w:t>
            </w:r>
            <w:r w:rsidR="005354F2" w:rsidRPr="005354F2">
              <w:rPr>
                <w:rFonts w:ascii="Verdana" w:hAnsi="Verdana" w:cs="Times New Roman Bold"/>
                <w:b/>
                <w:bCs/>
                <w:sz w:val="20"/>
              </w:rPr>
              <w:t>8 – 10 June 2011</w:t>
            </w:r>
          </w:p>
        </w:tc>
        <w:tc>
          <w:tcPr>
            <w:tcW w:w="3451" w:type="dxa"/>
          </w:tcPr>
          <w:p w:rsidR="00277FA6" w:rsidRDefault="00984B1F" w:rsidP="00B9578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A6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277FA6" w:rsidRPr="0051782D" w:rsidRDefault="00277FA6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277FA6" w:rsidRPr="0051782D" w:rsidRDefault="00277FA6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77FA6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277FA6" w:rsidRPr="0051782D" w:rsidRDefault="00277FA6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277FA6" w:rsidRPr="00710D66" w:rsidRDefault="00277FA6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277FA6">
        <w:trPr>
          <w:cantSplit/>
        </w:trPr>
        <w:tc>
          <w:tcPr>
            <w:tcW w:w="6580" w:type="dxa"/>
            <w:vMerge w:val="restart"/>
          </w:tcPr>
          <w:p w:rsidR="00277FA6" w:rsidRPr="00143479" w:rsidRDefault="00277FA6" w:rsidP="0071066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12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</w:tcPr>
          <w:p w:rsidR="00277FA6" w:rsidRPr="00B95784" w:rsidRDefault="00984B1F" w:rsidP="00984B1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Revision 1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A34AAA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143479">
              <w:rPr>
                <w:rFonts w:ascii="Verdana" w:hAnsi="Verdana"/>
                <w:b/>
                <w:sz w:val="20"/>
                <w:lang w:eastAsia="zh-CN"/>
              </w:rPr>
              <w:t>RAG</w:t>
            </w:r>
            <w:r w:rsidR="00D8572C">
              <w:rPr>
                <w:rFonts w:ascii="Verdana" w:hAnsi="Verdana"/>
                <w:b/>
                <w:sz w:val="20"/>
                <w:lang w:eastAsia="zh-CN"/>
              </w:rPr>
              <w:t>11-1/</w:t>
            </w:r>
            <w:r>
              <w:rPr>
                <w:rFonts w:ascii="Verdana" w:hAnsi="Verdana"/>
                <w:b/>
                <w:sz w:val="20"/>
                <w:lang w:eastAsia="zh-CN"/>
              </w:rPr>
              <w:t>14</w:t>
            </w:r>
            <w:r w:rsidR="00C27422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77FA6">
        <w:trPr>
          <w:cantSplit/>
        </w:trPr>
        <w:tc>
          <w:tcPr>
            <w:tcW w:w="6580" w:type="dxa"/>
            <w:vMerge/>
          </w:tcPr>
          <w:p w:rsidR="00277FA6" w:rsidRDefault="00277FA6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277FA6" w:rsidRPr="00B95784" w:rsidRDefault="006855CE" w:rsidP="00984B1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984B1F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5C5C27">
              <w:rPr>
                <w:rFonts w:ascii="Verdana" w:hAnsi="Verdana"/>
                <w:b/>
                <w:sz w:val="20"/>
                <w:lang w:eastAsia="zh-CN"/>
              </w:rPr>
              <w:t xml:space="preserve"> May</w:t>
            </w:r>
            <w:r w:rsidR="00C27422">
              <w:rPr>
                <w:rFonts w:ascii="Verdana" w:hAnsi="Verdana"/>
                <w:b/>
                <w:sz w:val="20"/>
                <w:lang w:eastAsia="zh-CN"/>
              </w:rPr>
              <w:t xml:space="preserve"> 2011</w:t>
            </w:r>
          </w:p>
        </w:tc>
      </w:tr>
      <w:tr w:rsidR="00277FA6">
        <w:trPr>
          <w:cantSplit/>
        </w:trPr>
        <w:tc>
          <w:tcPr>
            <w:tcW w:w="6580" w:type="dxa"/>
            <w:vMerge/>
          </w:tcPr>
          <w:p w:rsidR="00277FA6" w:rsidRDefault="00277FA6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277FA6" w:rsidRPr="00B95784" w:rsidRDefault="00C27422" w:rsidP="006855CE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="006855C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</w:tbl>
    <w:p w:rsidR="00B81D01" w:rsidRPr="00B81D01" w:rsidRDefault="00B81D01" w:rsidP="00B81D01">
      <w:pPr>
        <w:spacing w:before="0"/>
        <w:rPr>
          <w:vanish/>
        </w:rPr>
      </w:pPr>
      <w:bookmarkStart w:id="5" w:name="dsource"/>
      <w:bookmarkEnd w:id="4"/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855CE" w:rsidTr="006855CE">
        <w:trPr>
          <w:cantSplit/>
        </w:trPr>
        <w:tc>
          <w:tcPr>
            <w:tcW w:w="9885" w:type="dxa"/>
            <w:hideMark/>
          </w:tcPr>
          <w:p w:rsidR="006855CE" w:rsidRDefault="00984B1F">
            <w:pPr>
              <w:pStyle w:val="Source"/>
            </w:pPr>
            <w:r>
              <w:t>Director, Radiocommunication Bureau</w:t>
            </w:r>
            <w:r w:rsidR="006855CE">
              <w:t xml:space="preserve"> </w:t>
            </w:r>
          </w:p>
        </w:tc>
      </w:tr>
      <w:tr w:rsidR="006855CE" w:rsidTr="006855CE">
        <w:trPr>
          <w:cantSplit/>
        </w:trPr>
        <w:tc>
          <w:tcPr>
            <w:tcW w:w="9885" w:type="dxa"/>
            <w:hideMark/>
          </w:tcPr>
          <w:p w:rsidR="006855CE" w:rsidRDefault="00984B1F">
            <w:pPr>
              <w:pStyle w:val="Title4"/>
              <w:rPr>
                <w:b w:val="0"/>
              </w:rPr>
            </w:pPr>
            <w:bookmarkStart w:id="6" w:name="dtitle1"/>
            <w:bookmarkEnd w:id="5"/>
            <w:r>
              <w:rPr>
                <w:b w:val="0"/>
              </w:rPr>
              <w:t>REVIEW OF BR INFORMATION SYSTEMS</w:t>
            </w:r>
          </w:p>
        </w:tc>
      </w:tr>
      <w:bookmarkEnd w:id="6"/>
    </w:tbl>
    <w:p w:rsidR="006855CE" w:rsidRDefault="006855CE" w:rsidP="00984B1F"/>
    <w:p w:rsidR="00984B1F" w:rsidRPr="005A5E76" w:rsidRDefault="00984B1F" w:rsidP="00984B1F">
      <w:pPr>
        <w:snapToGrid w:val="0"/>
        <w:spacing w:before="60" w:after="60"/>
        <w:jc w:val="both"/>
        <w:rPr>
          <w:sz w:val="22"/>
          <w:szCs w:val="18"/>
          <w:lang w:val="en-US"/>
        </w:rPr>
      </w:pPr>
      <w:r w:rsidRPr="005A5E76">
        <w:rPr>
          <w:sz w:val="22"/>
          <w:szCs w:val="18"/>
        </w:rPr>
        <w:t>This document provides a</w:t>
      </w:r>
      <w:r>
        <w:rPr>
          <w:sz w:val="22"/>
          <w:szCs w:val="18"/>
        </w:rPr>
        <w:t>n</w:t>
      </w:r>
      <w:r w:rsidRPr="005A5E76">
        <w:rPr>
          <w:sz w:val="22"/>
          <w:szCs w:val="18"/>
        </w:rPr>
        <w:t xml:space="preserve"> </w:t>
      </w:r>
      <w:r>
        <w:rPr>
          <w:sz w:val="22"/>
          <w:szCs w:val="18"/>
        </w:rPr>
        <w:t>overview</w:t>
      </w:r>
      <w:r w:rsidRPr="005A5E76">
        <w:rPr>
          <w:sz w:val="22"/>
          <w:szCs w:val="18"/>
        </w:rPr>
        <w:t xml:space="preserve"> of information systems </w:t>
      </w:r>
      <w:r w:rsidRPr="005A5E76">
        <w:rPr>
          <w:sz w:val="22"/>
          <w:szCs w:val="18"/>
          <w:lang w:val="en-US"/>
        </w:rPr>
        <w:t xml:space="preserve">used by the Bureau for notice submission, processing, examination, publication and distribution both for terrestrial and space services.  Some of the software components are available to administrations and </w:t>
      </w:r>
      <w:r>
        <w:rPr>
          <w:sz w:val="22"/>
          <w:szCs w:val="18"/>
          <w:lang w:val="en-US"/>
        </w:rPr>
        <w:t>other users</w:t>
      </w:r>
      <w:r w:rsidRPr="005A5E76">
        <w:rPr>
          <w:sz w:val="22"/>
          <w:szCs w:val="18"/>
          <w:lang w:val="en-US"/>
        </w:rPr>
        <w:t xml:space="preserve"> on distributed electronic media or by electronic download from the website.  Administrations have been requested by several </w:t>
      </w:r>
      <w:proofErr w:type="spellStart"/>
      <w:r w:rsidRPr="005A5E76">
        <w:rPr>
          <w:sz w:val="22"/>
          <w:szCs w:val="18"/>
          <w:lang w:val="en-US"/>
        </w:rPr>
        <w:t>WRC</w:t>
      </w:r>
      <w:proofErr w:type="spellEnd"/>
      <w:r w:rsidRPr="005A5E76">
        <w:rPr>
          <w:sz w:val="22"/>
          <w:szCs w:val="18"/>
          <w:lang w:val="en-US"/>
        </w:rPr>
        <w:t xml:space="preserve"> Resolutions to submit notices electronically to the Bureau, and the Bureau to publish electronically.</w:t>
      </w:r>
    </w:p>
    <w:p w:rsidR="00984B1F" w:rsidRPr="005A5E76" w:rsidRDefault="00984B1F" w:rsidP="00984B1F">
      <w:pPr>
        <w:snapToGrid w:val="0"/>
        <w:spacing w:before="60" w:after="60"/>
        <w:jc w:val="both"/>
        <w:rPr>
          <w:sz w:val="22"/>
          <w:szCs w:val="18"/>
          <w:lang w:val="en-US"/>
        </w:rPr>
      </w:pPr>
      <w:r w:rsidRPr="005A5E76">
        <w:rPr>
          <w:sz w:val="22"/>
          <w:szCs w:val="18"/>
          <w:lang w:val="en-US"/>
        </w:rPr>
        <w:t xml:space="preserve">Today, notices for terrestrial services are handled, stored and published separately from </w:t>
      </w:r>
      <w:r>
        <w:rPr>
          <w:sz w:val="22"/>
          <w:szCs w:val="18"/>
          <w:lang w:val="en-US"/>
        </w:rPr>
        <w:t>those</w:t>
      </w:r>
      <w:r w:rsidRPr="005A5E76">
        <w:rPr>
          <w:sz w:val="22"/>
          <w:szCs w:val="18"/>
          <w:lang w:val="en-US"/>
        </w:rPr>
        <w:t xml:space="preserve"> for space services.  Graphical user interfaces and database management systems used inside the Bureau and distributed outside on electronic media have gone </w:t>
      </w:r>
      <w:r>
        <w:rPr>
          <w:sz w:val="22"/>
          <w:szCs w:val="18"/>
          <w:lang w:val="en-US"/>
        </w:rPr>
        <w:t>in different directions.</w:t>
      </w:r>
    </w:p>
    <w:p w:rsidR="00984B1F" w:rsidRPr="005A5E76" w:rsidRDefault="00984B1F" w:rsidP="00984B1F">
      <w:pPr>
        <w:snapToGrid w:val="0"/>
        <w:spacing w:before="60" w:after="60"/>
        <w:jc w:val="both"/>
        <w:rPr>
          <w:sz w:val="22"/>
          <w:szCs w:val="18"/>
          <w:lang w:val="en-US"/>
        </w:rPr>
      </w:pPr>
      <w:r w:rsidRPr="005A5E76">
        <w:rPr>
          <w:sz w:val="22"/>
          <w:szCs w:val="18"/>
        </w:rPr>
        <w:t>Although in recent years the treatment of space notices has improved</w:t>
      </w:r>
      <w:r>
        <w:rPr>
          <w:sz w:val="22"/>
          <w:szCs w:val="18"/>
        </w:rPr>
        <w:t xml:space="preserve"> b</w:t>
      </w:r>
      <w:r w:rsidRPr="005A5E76">
        <w:rPr>
          <w:sz w:val="22"/>
          <w:szCs w:val="18"/>
        </w:rPr>
        <w:t xml:space="preserve">asic software developed up to twenty years ago and no longer compiling on today’s PC operating system </w:t>
      </w:r>
      <w:r>
        <w:rPr>
          <w:sz w:val="22"/>
          <w:szCs w:val="18"/>
        </w:rPr>
        <w:t xml:space="preserve">still </w:t>
      </w:r>
      <w:r w:rsidRPr="005A5E76">
        <w:rPr>
          <w:sz w:val="22"/>
          <w:szCs w:val="18"/>
        </w:rPr>
        <w:t xml:space="preserve">remain </w:t>
      </w:r>
      <w:r>
        <w:rPr>
          <w:sz w:val="22"/>
          <w:szCs w:val="18"/>
        </w:rPr>
        <w:t xml:space="preserve">in </w:t>
      </w:r>
      <w:r w:rsidRPr="005A5E76">
        <w:rPr>
          <w:sz w:val="22"/>
          <w:szCs w:val="18"/>
        </w:rPr>
        <w:t>operation</w:t>
      </w:r>
      <w:r>
        <w:rPr>
          <w:sz w:val="22"/>
          <w:szCs w:val="18"/>
        </w:rPr>
        <w:t>, while</w:t>
      </w:r>
      <w:r w:rsidRPr="005A5E76">
        <w:rPr>
          <w:sz w:val="22"/>
          <w:szCs w:val="18"/>
        </w:rPr>
        <w:t xml:space="preserve"> </w:t>
      </w:r>
      <w:r>
        <w:rPr>
          <w:sz w:val="22"/>
          <w:szCs w:val="18"/>
        </w:rPr>
        <w:t>s</w:t>
      </w:r>
      <w:proofErr w:type="spellStart"/>
      <w:r w:rsidRPr="005A5E76">
        <w:rPr>
          <w:sz w:val="22"/>
          <w:szCs w:val="18"/>
          <w:lang w:val="en-US"/>
        </w:rPr>
        <w:t>oftware</w:t>
      </w:r>
      <w:proofErr w:type="spellEnd"/>
      <w:r w:rsidRPr="005A5E76">
        <w:rPr>
          <w:sz w:val="22"/>
          <w:szCs w:val="18"/>
          <w:lang w:val="en-US"/>
        </w:rPr>
        <w:t xml:space="preserve"> development methods and information exchange techniques have seen drastic changes over the last decade.</w:t>
      </w:r>
    </w:p>
    <w:p w:rsidR="00984B1F" w:rsidRPr="005A5E76" w:rsidRDefault="00984B1F" w:rsidP="00984B1F">
      <w:pPr>
        <w:snapToGrid w:val="0"/>
        <w:spacing w:before="60" w:after="60"/>
        <w:jc w:val="both"/>
        <w:rPr>
          <w:sz w:val="22"/>
          <w:szCs w:val="18"/>
        </w:rPr>
      </w:pPr>
      <w:r w:rsidRPr="005A5E76">
        <w:rPr>
          <w:sz w:val="22"/>
          <w:szCs w:val="18"/>
        </w:rPr>
        <w:t xml:space="preserve">Several </w:t>
      </w:r>
      <w:r>
        <w:rPr>
          <w:sz w:val="22"/>
          <w:szCs w:val="18"/>
        </w:rPr>
        <w:t>bodies</w:t>
      </w:r>
      <w:r w:rsidRPr="005A5E76">
        <w:rPr>
          <w:sz w:val="22"/>
          <w:szCs w:val="18"/>
        </w:rPr>
        <w:t xml:space="preserve"> have acknowledged the importance of reducing the </w:t>
      </w:r>
      <w:proofErr w:type="spellStart"/>
      <w:r w:rsidRPr="005A5E76">
        <w:rPr>
          <w:sz w:val="22"/>
          <w:szCs w:val="18"/>
        </w:rPr>
        <w:t>ICT</w:t>
      </w:r>
      <w:proofErr w:type="spellEnd"/>
      <w:r w:rsidRPr="005A5E76">
        <w:rPr>
          <w:sz w:val="22"/>
          <w:szCs w:val="18"/>
        </w:rPr>
        <w:t xml:space="preserve"> costs by </w:t>
      </w:r>
      <w:r w:rsidRPr="005A5E76">
        <w:rPr>
          <w:sz w:val="22"/>
          <w:szCs w:val="18"/>
          <w:u w:val="single"/>
        </w:rPr>
        <w:t>centraliz</w:t>
      </w:r>
      <w:r>
        <w:rPr>
          <w:sz w:val="22"/>
          <w:szCs w:val="18"/>
          <w:u w:val="single"/>
        </w:rPr>
        <w:t>ing data</w:t>
      </w:r>
      <w:r w:rsidRPr="005A5E76">
        <w:rPr>
          <w:sz w:val="22"/>
          <w:szCs w:val="18"/>
        </w:rPr>
        <w:t xml:space="preserve"> and </w:t>
      </w:r>
      <w:r w:rsidRPr="005A5E76">
        <w:rPr>
          <w:sz w:val="22"/>
          <w:szCs w:val="18"/>
          <w:u w:val="single"/>
        </w:rPr>
        <w:t>streamlining business processes</w:t>
      </w:r>
      <w:r w:rsidRPr="005A5E76">
        <w:rPr>
          <w:sz w:val="22"/>
          <w:szCs w:val="18"/>
        </w:rPr>
        <w:t>, as to avoid inappropriate or ad-hoc costly software development.  For security, consistency, traceability, audit ability, accessibility and efficiency reasons, all data resulting from submission of notices to the Bureau should be brought in-line with general practices in database management systems namely, brought into one centralized and integrated database system with complete notice transaction processing implement</w:t>
      </w:r>
      <w:r>
        <w:rPr>
          <w:sz w:val="22"/>
          <w:szCs w:val="18"/>
        </w:rPr>
        <w:t>ing</w:t>
      </w:r>
      <w:r w:rsidRPr="005A5E76">
        <w:rPr>
          <w:sz w:val="22"/>
          <w:szCs w:val="18"/>
        </w:rPr>
        <w:t xml:space="preserve"> the different Radio Regulations or </w:t>
      </w:r>
      <w:r>
        <w:rPr>
          <w:sz w:val="22"/>
          <w:szCs w:val="18"/>
        </w:rPr>
        <w:t xml:space="preserve">Regional </w:t>
      </w:r>
      <w:r w:rsidRPr="005A5E76">
        <w:rPr>
          <w:sz w:val="22"/>
          <w:szCs w:val="18"/>
        </w:rPr>
        <w:t xml:space="preserve">Agreements procedures that conceptually are largely similar. </w:t>
      </w:r>
    </w:p>
    <w:p w:rsidR="00984B1F" w:rsidRPr="005A5E76" w:rsidRDefault="00984B1F" w:rsidP="00984B1F">
      <w:pPr>
        <w:snapToGrid w:val="0"/>
        <w:spacing w:before="60" w:after="60"/>
        <w:jc w:val="lowKashida"/>
        <w:rPr>
          <w:sz w:val="22"/>
          <w:szCs w:val="22"/>
        </w:rPr>
      </w:pPr>
      <w:r w:rsidRPr="005A5E76">
        <w:rPr>
          <w:sz w:val="22"/>
          <w:szCs w:val="22"/>
          <w:lang w:val="en-US"/>
        </w:rPr>
        <w:t xml:space="preserve">These factors highlight the urgent need for the Bureau to review and revise information systems and related working methods </w:t>
      </w:r>
      <w:r w:rsidRPr="005A5E76">
        <w:rPr>
          <w:sz w:val="22"/>
          <w:szCs w:val="22"/>
        </w:rPr>
        <w:t xml:space="preserve">in place for two decades. </w:t>
      </w:r>
      <w:r w:rsidRPr="005A5E76">
        <w:rPr>
          <w:sz w:val="22"/>
          <w:szCs w:val="22"/>
          <w:lang w:val="en-US"/>
        </w:rPr>
        <w:t>T</w:t>
      </w:r>
      <w:r w:rsidRPr="005A5E76">
        <w:rPr>
          <w:sz w:val="22"/>
          <w:szCs w:val="22"/>
        </w:rPr>
        <w:t xml:space="preserve">o further increase the throughput and improve services and interactions with administrations and </w:t>
      </w:r>
      <w:r>
        <w:rPr>
          <w:sz w:val="22"/>
          <w:szCs w:val="22"/>
        </w:rPr>
        <w:t>other users</w:t>
      </w:r>
      <w:r w:rsidRPr="005A5E76">
        <w:rPr>
          <w:sz w:val="22"/>
          <w:szCs w:val="22"/>
        </w:rPr>
        <w:t xml:space="preserve"> in a context of major budgetary reductions, it is imperative to reconsider organizational aspects, working methods, internal procedures, databases and software.</w:t>
      </w:r>
    </w:p>
    <w:p w:rsidR="00984B1F" w:rsidRDefault="00984B1F" w:rsidP="00984B1F">
      <w:pPr>
        <w:snapToGrid w:val="0"/>
        <w:spacing w:before="60" w:after="60"/>
        <w:jc w:val="both"/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t xml:space="preserve">To address the needs of both the membership and the Bureau, </w:t>
      </w:r>
      <w:r w:rsidRPr="005A5E76">
        <w:rPr>
          <w:sz w:val="22"/>
          <w:szCs w:val="18"/>
          <w:lang w:val="en-US"/>
        </w:rPr>
        <w:t>RAG</w:t>
      </w:r>
      <w:r>
        <w:rPr>
          <w:sz w:val="22"/>
          <w:szCs w:val="18"/>
          <w:lang w:val="en-US"/>
        </w:rPr>
        <w:t xml:space="preserve"> may consider</w:t>
      </w:r>
      <w:r w:rsidRPr="005A5E76">
        <w:rPr>
          <w:sz w:val="22"/>
          <w:szCs w:val="18"/>
          <w:lang w:val="en-US"/>
        </w:rPr>
        <w:t xml:space="preserve"> </w:t>
      </w:r>
      <w:r>
        <w:rPr>
          <w:sz w:val="22"/>
          <w:szCs w:val="18"/>
          <w:lang w:val="en-US"/>
        </w:rPr>
        <w:t xml:space="preserve">establishing </w:t>
      </w:r>
      <w:r w:rsidRPr="005A5E76">
        <w:rPr>
          <w:sz w:val="22"/>
          <w:szCs w:val="18"/>
          <w:lang w:val="en-US"/>
        </w:rPr>
        <w:t>a Task Group composed of representatives from the membership</w:t>
      </w:r>
      <w:r>
        <w:rPr>
          <w:sz w:val="22"/>
          <w:szCs w:val="18"/>
          <w:lang w:val="en-US"/>
        </w:rPr>
        <w:t>,</w:t>
      </w:r>
      <w:r w:rsidRPr="005A5E76">
        <w:rPr>
          <w:sz w:val="22"/>
          <w:szCs w:val="18"/>
          <w:lang w:val="en-US"/>
        </w:rPr>
        <w:t xml:space="preserve"> the Bureau </w:t>
      </w:r>
      <w:r>
        <w:rPr>
          <w:sz w:val="22"/>
          <w:szCs w:val="18"/>
          <w:lang w:val="en-US"/>
        </w:rPr>
        <w:t xml:space="preserve">and the ITU Information Services Department </w:t>
      </w:r>
      <w:r w:rsidRPr="005A5E76">
        <w:rPr>
          <w:sz w:val="22"/>
          <w:szCs w:val="18"/>
          <w:lang w:val="en-US"/>
        </w:rPr>
        <w:t>that would review and define requirements for a consolidated and integrated information system, largely shared with the membership, and establish a roadmap</w:t>
      </w:r>
      <w:r>
        <w:rPr>
          <w:sz w:val="22"/>
          <w:szCs w:val="18"/>
          <w:lang w:val="en-US"/>
        </w:rPr>
        <w:t xml:space="preserve"> for its implementation</w:t>
      </w:r>
      <w:r w:rsidRPr="005A5E76">
        <w:rPr>
          <w:sz w:val="22"/>
          <w:szCs w:val="18"/>
          <w:lang w:val="en-US"/>
        </w:rPr>
        <w:t>. Most of the work could be done by correspondence.</w:t>
      </w:r>
      <w:r>
        <w:rPr>
          <w:sz w:val="22"/>
          <w:szCs w:val="18"/>
          <w:lang w:val="en-US"/>
        </w:rPr>
        <w:t xml:space="preserve"> Possible issues for consideration by the Task Group are contained in the Annex to this document.</w:t>
      </w:r>
    </w:p>
    <w:p w:rsidR="00984B1F" w:rsidRDefault="00984B1F" w:rsidP="00984B1F">
      <w:pPr>
        <w:snapToGrid w:val="0"/>
        <w:spacing w:before="60" w:after="60"/>
        <w:jc w:val="both"/>
        <w:rPr>
          <w:sz w:val="22"/>
          <w:szCs w:val="18"/>
          <w:lang w:val="en-US"/>
        </w:rPr>
      </w:pPr>
    </w:p>
    <w:p w:rsidR="00984B1F" w:rsidRPr="00134C74" w:rsidRDefault="00984B1F" w:rsidP="00984B1F">
      <w:pPr>
        <w:snapToGrid w:val="0"/>
        <w:spacing w:before="60" w:after="60"/>
        <w:jc w:val="both"/>
        <w:rPr>
          <w:b/>
          <w:sz w:val="22"/>
          <w:szCs w:val="18"/>
        </w:rPr>
      </w:pPr>
      <w:r w:rsidRPr="00134C74">
        <w:rPr>
          <w:b/>
          <w:sz w:val="22"/>
          <w:szCs w:val="18"/>
          <w:lang w:val="en-US"/>
        </w:rPr>
        <w:t>Annex: 1</w:t>
      </w:r>
    </w:p>
    <w:p w:rsidR="00984B1F" w:rsidRDefault="00984B1F" w:rsidP="00984B1F">
      <w:pPr>
        <w:overflowPunct/>
        <w:autoSpaceDE/>
        <w:autoSpaceDN/>
        <w:snapToGrid w:val="0"/>
        <w:spacing w:before="0"/>
        <w:jc w:val="center"/>
        <w:textAlignment w:val="auto"/>
        <w:rPr>
          <w:sz w:val="22"/>
          <w:szCs w:val="22"/>
        </w:rPr>
        <w:sectPr w:rsidR="00984B1F" w:rsidSect="004B385C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247" w:left="1134" w:header="737" w:footer="567" w:gutter="0"/>
          <w:paperSrc w:first="12496" w:other="12496"/>
          <w:cols w:space="720"/>
          <w:titlePg/>
        </w:sectPr>
      </w:pPr>
    </w:p>
    <w:p w:rsidR="00984B1F" w:rsidRPr="00134C74" w:rsidRDefault="00984B1F" w:rsidP="00984B1F">
      <w:pPr>
        <w:snapToGrid w:val="0"/>
        <w:spacing w:before="0" w:after="360"/>
        <w:jc w:val="center"/>
        <w:rPr>
          <w:b/>
          <w:bCs/>
          <w:szCs w:val="24"/>
        </w:rPr>
      </w:pPr>
      <w:r w:rsidRPr="00134C74">
        <w:rPr>
          <w:b/>
          <w:bCs/>
          <w:szCs w:val="24"/>
        </w:rPr>
        <w:lastRenderedPageBreak/>
        <w:t>ANNEX</w:t>
      </w:r>
    </w:p>
    <w:p w:rsidR="00984B1F" w:rsidRDefault="00984B1F" w:rsidP="00984B1F">
      <w:pPr>
        <w:snapToGrid w:val="0"/>
        <w:spacing w:after="240"/>
        <w:jc w:val="both"/>
        <w:rPr>
          <w:sz w:val="22"/>
          <w:szCs w:val="18"/>
        </w:rPr>
      </w:pPr>
      <w:r>
        <w:rPr>
          <w:sz w:val="22"/>
          <w:szCs w:val="18"/>
        </w:rPr>
        <w:t>As possible issues to be considered by the Task Group, the Bureau has listed some initial points:</w:t>
      </w:r>
    </w:p>
    <w:p w:rsidR="00984B1F" w:rsidRPr="0023443B" w:rsidRDefault="00984B1F" w:rsidP="00984B1F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3443B">
        <w:rPr>
          <w:sz w:val="22"/>
          <w:szCs w:val="22"/>
        </w:rPr>
        <w:t xml:space="preserve">ata </w:t>
      </w:r>
      <w:r>
        <w:rPr>
          <w:sz w:val="22"/>
          <w:szCs w:val="22"/>
        </w:rPr>
        <w:t xml:space="preserve">integration </w:t>
      </w:r>
      <w:r w:rsidRPr="0023443B">
        <w:rPr>
          <w:sz w:val="22"/>
          <w:szCs w:val="22"/>
        </w:rPr>
        <w:t xml:space="preserve">into </w:t>
      </w:r>
      <w:r>
        <w:rPr>
          <w:sz w:val="22"/>
          <w:szCs w:val="22"/>
        </w:rPr>
        <w:t>a centralized</w:t>
      </w:r>
      <w:r w:rsidRPr="0023443B">
        <w:rPr>
          <w:bCs/>
          <w:sz w:val="22"/>
          <w:szCs w:val="22"/>
        </w:rPr>
        <w:t xml:space="preserve"> database system with role-based granting of access rights per specific user in order to control, secure and trace data.</w:t>
      </w:r>
    </w:p>
    <w:p w:rsidR="00984B1F" w:rsidRPr="0023443B" w:rsidRDefault="00984B1F" w:rsidP="00984B1F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Review of data structures in accordance with</w:t>
      </w:r>
      <w:r w:rsidRPr="0023443B">
        <w:rPr>
          <w:sz w:val="22"/>
          <w:szCs w:val="22"/>
        </w:rPr>
        <w:t xml:space="preserve"> relational DBMS principles (database design)</w:t>
      </w:r>
      <w:r>
        <w:rPr>
          <w:sz w:val="22"/>
          <w:szCs w:val="22"/>
        </w:rPr>
        <w:t xml:space="preserve"> and with regulatory and technical purposes (e.g. Appendix 4 of the Radio Regulations) in order to facilitate data access and queries.</w:t>
      </w:r>
    </w:p>
    <w:p w:rsidR="00984B1F" w:rsidRPr="0023443B" w:rsidRDefault="00984B1F" w:rsidP="00984B1F">
      <w:pPr>
        <w:pStyle w:val="ListParagraph"/>
        <w:numPr>
          <w:ilvl w:val="0"/>
          <w:numId w:val="4"/>
        </w:numPr>
        <w:snapToGrid w:val="0"/>
        <w:spacing w:after="240"/>
        <w:contextualSpacing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Establishing and publishing </w:t>
      </w:r>
      <w:r w:rsidRPr="0023443B">
        <w:rPr>
          <w:sz w:val="22"/>
          <w:szCs w:val="22"/>
        </w:rPr>
        <w:t xml:space="preserve">rigorous workflows using </w:t>
      </w:r>
      <w:r w:rsidRPr="00977D97">
        <w:rPr>
          <w:sz w:val="22"/>
          <w:szCs w:val="22"/>
        </w:rPr>
        <w:t>standard modelling pract</w:t>
      </w:r>
      <w:r w:rsidRPr="0023443B">
        <w:rPr>
          <w:sz w:val="22"/>
          <w:szCs w:val="22"/>
        </w:rPr>
        <w:t xml:space="preserve">ices and tools to help communications and common understanding </w:t>
      </w:r>
      <w:r>
        <w:rPr>
          <w:sz w:val="22"/>
          <w:szCs w:val="22"/>
        </w:rPr>
        <w:t xml:space="preserve">for each terrestrial and space notice types and to support </w:t>
      </w:r>
      <w:r w:rsidRPr="0023443B">
        <w:rPr>
          <w:sz w:val="22"/>
          <w:szCs w:val="22"/>
        </w:rPr>
        <w:t>database consistency</w:t>
      </w:r>
      <w:r>
        <w:rPr>
          <w:sz w:val="22"/>
          <w:szCs w:val="22"/>
        </w:rPr>
        <w:t xml:space="preserve"> and database transaction processing.</w:t>
      </w:r>
    </w:p>
    <w:p w:rsidR="00984B1F" w:rsidRPr="0023443B" w:rsidRDefault="00984B1F" w:rsidP="00984B1F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</w:t>
      </w:r>
      <w:r w:rsidRPr="0023443B">
        <w:rPr>
          <w:sz w:val="22"/>
          <w:szCs w:val="22"/>
        </w:rPr>
        <w:t xml:space="preserve">nforming to </w:t>
      </w:r>
      <w:r>
        <w:rPr>
          <w:sz w:val="22"/>
          <w:szCs w:val="22"/>
        </w:rPr>
        <w:t>international standards (e.g. XML) for</w:t>
      </w:r>
      <w:r w:rsidRPr="0023443B">
        <w:rPr>
          <w:sz w:val="22"/>
          <w:szCs w:val="22"/>
        </w:rPr>
        <w:t xml:space="preserve"> notice submissions</w:t>
      </w:r>
      <w:r>
        <w:rPr>
          <w:sz w:val="22"/>
          <w:szCs w:val="22"/>
        </w:rPr>
        <w:t xml:space="preserve"> and data exchanges</w:t>
      </w:r>
      <w:r w:rsidRPr="0023443B">
        <w:rPr>
          <w:sz w:val="22"/>
          <w:szCs w:val="22"/>
        </w:rPr>
        <w:t>.</w:t>
      </w:r>
    </w:p>
    <w:p w:rsidR="00984B1F" w:rsidRDefault="00984B1F" w:rsidP="00984B1F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Developing web interface (as e.g. </w:t>
      </w:r>
      <w:proofErr w:type="spellStart"/>
      <w:r>
        <w:rPr>
          <w:sz w:val="22"/>
          <w:szCs w:val="22"/>
        </w:rPr>
        <w:t>WISFAT</w:t>
      </w:r>
      <w:proofErr w:type="spellEnd"/>
      <w:r>
        <w:rPr>
          <w:sz w:val="22"/>
          <w:szCs w:val="22"/>
        </w:rPr>
        <w:t xml:space="preserve"> (</w:t>
      </w:r>
      <w:r w:rsidRPr="00B14696">
        <w:rPr>
          <w:b/>
          <w:bCs/>
          <w:sz w:val="22"/>
          <w:szCs w:val="22"/>
        </w:rPr>
        <w:t>W</w:t>
      </w:r>
      <w:r>
        <w:rPr>
          <w:sz w:val="22"/>
          <w:szCs w:val="22"/>
        </w:rPr>
        <w:t xml:space="preserve">eb </w:t>
      </w:r>
      <w:r w:rsidRPr="00B14696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nterface for </w:t>
      </w:r>
      <w:r w:rsidRPr="00B14696"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ubmission of </w:t>
      </w:r>
      <w:r w:rsidRPr="00B14696">
        <w:rPr>
          <w:b/>
          <w:bCs/>
          <w:sz w:val="22"/>
          <w:szCs w:val="22"/>
        </w:rPr>
        <w:t>F</w:t>
      </w:r>
      <w:r>
        <w:rPr>
          <w:sz w:val="22"/>
          <w:szCs w:val="22"/>
        </w:rPr>
        <w:t xml:space="preserve">requency </w:t>
      </w:r>
      <w:r w:rsidRPr="00B14696">
        <w:rPr>
          <w:b/>
          <w:bCs/>
          <w:sz w:val="22"/>
          <w:szCs w:val="22"/>
        </w:rPr>
        <w:t>A</w:t>
      </w:r>
      <w:r>
        <w:rPr>
          <w:sz w:val="22"/>
          <w:szCs w:val="22"/>
        </w:rPr>
        <w:t xml:space="preserve">ssignments to </w:t>
      </w:r>
      <w:r w:rsidRPr="00B14696">
        <w:rPr>
          <w:b/>
          <w:bCs/>
          <w:sz w:val="22"/>
          <w:szCs w:val="22"/>
        </w:rPr>
        <w:t>T</w:t>
      </w:r>
      <w:r>
        <w:rPr>
          <w:sz w:val="22"/>
          <w:szCs w:val="22"/>
        </w:rPr>
        <w:t>errestrial services))</w:t>
      </w:r>
      <w:r w:rsidRPr="0023443B">
        <w:rPr>
          <w:sz w:val="22"/>
          <w:szCs w:val="22"/>
        </w:rPr>
        <w:t xml:space="preserve"> </w:t>
      </w:r>
      <w:r>
        <w:rPr>
          <w:sz w:val="22"/>
          <w:szCs w:val="22"/>
        </w:rPr>
        <w:t>for the electronic submission of notices pertaining to the space and radio- astronomy services.</w:t>
      </w:r>
    </w:p>
    <w:p w:rsidR="00984B1F" w:rsidRDefault="00984B1F" w:rsidP="00984B1F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Streamlining</w:t>
      </w:r>
      <w:r w:rsidRPr="0023443B">
        <w:rPr>
          <w:sz w:val="22"/>
          <w:szCs w:val="22"/>
        </w:rPr>
        <w:t xml:space="preserve"> terrestrial and space electronic publications</w:t>
      </w:r>
      <w:r>
        <w:rPr>
          <w:sz w:val="22"/>
          <w:szCs w:val="22"/>
        </w:rPr>
        <w:t xml:space="preserve">, including the </w:t>
      </w:r>
      <w:proofErr w:type="spellStart"/>
      <w:r>
        <w:rPr>
          <w:sz w:val="22"/>
          <w:szCs w:val="22"/>
        </w:rPr>
        <w:t>IFL</w:t>
      </w:r>
      <w:proofErr w:type="spellEnd"/>
      <w:r>
        <w:rPr>
          <w:sz w:val="22"/>
          <w:szCs w:val="22"/>
        </w:rPr>
        <w:t xml:space="preserve"> Preface, </w:t>
      </w:r>
      <w:r w:rsidRPr="0023443B">
        <w:rPr>
          <w:sz w:val="22"/>
          <w:szCs w:val="22"/>
        </w:rPr>
        <w:t>for ease of use.</w:t>
      </w:r>
    </w:p>
    <w:p w:rsidR="00984B1F" w:rsidRDefault="00984B1F" w:rsidP="00984B1F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napToGrid w:val="0"/>
        <w:spacing w:after="24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B14696">
        <w:rPr>
          <w:sz w:val="22"/>
          <w:szCs w:val="22"/>
        </w:rPr>
        <w:t>esuming the publication of the International Frequency List</w:t>
      </w:r>
      <w:r>
        <w:rPr>
          <w:sz w:val="22"/>
          <w:szCs w:val="22"/>
        </w:rPr>
        <w:t xml:space="preserve"> (see</w:t>
      </w:r>
      <w:r w:rsidRPr="00B14696">
        <w:rPr>
          <w:sz w:val="22"/>
          <w:szCs w:val="22"/>
        </w:rPr>
        <w:t xml:space="preserve"> Article 20</w:t>
      </w:r>
      <w:r>
        <w:rPr>
          <w:sz w:val="22"/>
          <w:szCs w:val="22"/>
        </w:rPr>
        <w:t>).]</w:t>
      </w:r>
    </w:p>
    <w:p w:rsidR="00984B1F" w:rsidRDefault="00984B1F" w:rsidP="00984B1F">
      <w:bookmarkStart w:id="7" w:name="_GoBack"/>
      <w:bookmarkEnd w:id="7"/>
    </w:p>
    <w:p w:rsidR="006855CE" w:rsidRDefault="006855CE" w:rsidP="006855CE">
      <w:pPr>
        <w:tabs>
          <w:tab w:val="left" w:pos="5580"/>
        </w:tabs>
        <w:jc w:val="center"/>
      </w:pPr>
      <w:r>
        <w:t>______________</w:t>
      </w:r>
    </w:p>
    <w:p w:rsidR="00444635" w:rsidRPr="007F2EE3" w:rsidRDefault="00444635" w:rsidP="00444635">
      <w:pPr>
        <w:jc w:val="center"/>
        <w:rPr>
          <w:lang w:eastAsia="zh-CN"/>
        </w:rPr>
      </w:pPr>
    </w:p>
    <w:sectPr w:rsidR="00444635" w:rsidRPr="007F2EE3" w:rsidSect="00D02712">
      <w:headerReference w:type="default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3F" w:rsidRDefault="00BC7B3F">
      <w:r>
        <w:separator/>
      </w:r>
    </w:p>
  </w:endnote>
  <w:endnote w:type="continuationSeparator" w:id="0">
    <w:p w:rsidR="00BC7B3F" w:rsidRDefault="00BC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1F" w:rsidRDefault="00984B1F" w:rsidP="00134C7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F43CB" w:rsidRPr="00CF43CB">
      <w:rPr>
        <w:lang w:val="da-DK"/>
      </w:rPr>
      <w:t>L:\014Rev1e.docx</w:t>
    </w:r>
    <w:r>
      <w:rPr>
        <w:lang w:val="da-DK"/>
      </w:rPr>
      <w:fldChar w:fldCharType="end"/>
    </w:r>
  </w:p>
  <w:p w:rsidR="00984B1F" w:rsidRDefault="00984B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1F" w:rsidRDefault="00984B1F" w:rsidP="0012096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CF43CB">
      <w:t>L:\014Rev1e.docx</w:t>
    </w:r>
    <w:r>
      <w:fldChar w:fldCharType="end"/>
    </w:r>
    <w:r>
      <w:t xml:space="preserve"> </w:t>
    </w:r>
  </w:p>
  <w:p w:rsidR="00984B1F" w:rsidRDefault="00984B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AA" w:rsidRPr="004E08F2" w:rsidRDefault="00A34AAA" w:rsidP="006855CE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CF43CB" w:rsidRPr="00CF43CB">
      <w:rPr>
        <w:lang w:val="en-US"/>
      </w:rPr>
      <w:t>L</w:t>
    </w:r>
    <w:r w:rsidR="00CF43CB">
      <w:t>:\014Rev1e.docx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AA" w:rsidRDefault="00A34AAA" w:rsidP="00DE225A">
    <w:pPr>
      <w:pStyle w:val="Footer"/>
    </w:pPr>
    <w:r>
      <w:fldChar w:fldCharType="begin"/>
    </w:r>
    <w:r w:rsidRPr="00A35A31">
      <w:rPr>
        <w:lang w:val="da-DK"/>
      </w:rPr>
      <w:instrText xml:space="preserve"> FILENAME \p \* MERGEFORMAT </w:instrText>
    </w:r>
    <w:r>
      <w:fldChar w:fldCharType="separate"/>
    </w:r>
    <w:r w:rsidR="00CF43CB">
      <w:rPr>
        <w:lang w:val="da-DK"/>
      </w:rPr>
      <w:t>L:\014Rev1e.docx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3F" w:rsidRDefault="00BC7B3F">
      <w:r>
        <w:t>____________________</w:t>
      </w:r>
    </w:p>
  </w:footnote>
  <w:footnote w:type="continuationSeparator" w:id="0">
    <w:p w:rsidR="00BC7B3F" w:rsidRDefault="00BC7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1F" w:rsidRPr="00B07A62" w:rsidRDefault="00984B1F" w:rsidP="00FB44BF">
    <w:pPr>
      <w:pStyle w:val="Header"/>
      <w:rPr>
        <w:lang w:val="en-U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Pr="00B07A62">
      <w:rPr>
        <w:lang w:val="en-US"/>
      </w:rPr>
      <w:t xml:space="preserve"> -</w:t>
    </w:r>
  </w:p>
  <w:p w:rsidR="00984B1F" w:rsidRPr="00B07A62" w:rsidRDefault="00984B1F" w:rsidP="00134C74">
    <w:pPr>
      <w:pStyle w:val="Header"/>
      <w:rPr>
        <w:lang w:val="en-US"/>
      </w:rPr>
    </w:pPr>
    <w:r w:rsidRPr="00B07A62">
      <w:rPr>
        <w:lang w:val="en-US"/>
      </w:rPr>
      <w:t>RAG11-</w:t>
    </w:r>
    <w:r>
      <w:rPr>
        <w:lang w:val="en-US"/>
      </w:rPr>
      <w:t>1</w:t>
    </w:r>
    <w:r w:rsidRPr="00B07A62">
      <w:rPr>
        <w:lang w:val="en-US"/>
      </w:rPr>
      <w:t>/</w:t>
    </w:r>
    <w:r>
      <w:rPr>
        <w:lang w:val="en-US"/>
      </w:rPr>
      <w:t>14</w:t>
    </w:r>
    <w:r w:rsidRPr="00B07A62">
      <w:rPr>
        <w:lang w:val="en-U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AA" w:rsidRDefault="00A34AA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4B1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34AAA" w:rsidRDefault="001274F2" w:rsidP="006855CE">
    <w:pPr>
      <w:pStyle w:val="Header"/>
      <w:rPr>
        <w:lang w:val="en-US"/>
      </w:rPr>
    </w:pPr>
    <w:r>
      <w:rPr>
        <w:lang w:val="en-US"/>
      </w:rPr>
      <w:t>RAG11-1</w:t>
    </w:r>
    <w:r w:rsidR="00A34AAA">
      <w:rPr>
        <w:lang w:val="en-US"/>
      </w:rPr>
      <w:t>/</w:t>
    </w:r>
    <w:r w:rsidR="006855CE">
      <w:rPr>
        <w:lang w:val="en-US"/>
      </w:rPr>
      <w:t>16</w:t>
    </w:r>
    <w:r w:rsidR="00A34AAA"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1F" w:rsidRPr="00B07A62" w:rsidRDefault="00984B1F" w:rsidP="00984B1F">
    <w:pPr>
      <w:pStyle w:val="Header"/>
      <w:rPr>
        <w:lang w:val="en-U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43CB">
      <w:rPr>
        <w:noProof/>
      </w:rPr>
      <w:t>2</w:t>
    </w:r>
    <w:r>
      <w:rPr>
        <w:noProof/>
      </w:rPr>
      <w:fldChar w:fldCharType="end"/>
    </w:r>
    <w:r w:rsidRPr="00B07A62">
      <w:rPr>
        <w:lang w:val="en-US"/>
      </w:rPr>
      <w:t xml:space="preserve"> -</w:t>
    </w:r>
  </w:p>
  <w:p w:rsidR="00A34AAA" w:rsidRPr="00984B1F" w:rsidRDefault="00984B1F" w:rsidP="00984B1F">
    <w:pPr>
      <w:pStyle w:val="Header"/>
      <w:rPr>
        <w:lang w:val="en-US"/>
      </w:rPr>
    </w:pPr>
    <w:r w:rsidRPr="00B07A62">
      <w:rPr>
        <w:lang w:val="en-US"/>
      </w:rPr>
      <w:t>RAG11-</w:t>
    </w:r>
    <w:r>
      <w:rPr>
        <w:lang w:val="en-US"/>
      </w:rPr>
      <w:t>1</w:t>
    </w:r>
    <w:r w:rsidRPr="00B07A62">
      <w:rPr>
        <w:lang w:val="en-US"/>
      </w:rPr>
      <w:t>/</w:t>
    </w:r>
    <w:r>
      <w:rPr>
        <w:lang w:val="en-US"/>
      </w:rPr>
      <w:t>14(Rev.1)</w:t>
    </w:r>
    <w:r w:rsidRPr="00B07A62"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86"/>
    <w:multiLevelType w:val="hybridMultilevel"/>
    <w:tmpl w:val="5BC62574"/>
    <w:lvl w:ilvl="0" w:tplc="6BDAF61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56890BB8"/>
    <w:multiLevelType w:val="hybridMultilevel"/>
    <w:tmpl w:val="05F2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7180A"/>
    <w:multiLevelType w:val="hybridMultilevel"/>
    <w:tmpl w:val="C49045FE"/>
    <w:lvl w:ilvl="0" w:tplc="04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b/>
        <w:i w:val="0"/>
        <w:sz w:val="21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B872A79"/>
    <w:multiLevelType w:val="hybridMultilevel"/>
    <w:tmpl w:val="35A2038C"/>
    <w:lvl w:ilvl="0" w:tplc="1F54553C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F2"/>
    <w:rsid w:val="000069D4"/>
    <w:rsid w:val="00007569"/>
    <w:rsid w:val="000174AD"/>
    <w:rsid w:val="00037E62"/>
    <w:rsid w:val="00042082"/>
    <w:rsid w:val="00065D74"/>
    <w:rsid w:val="00097C05"/>
    <w:rsid w:val="000A7D55"/>
    <w:rsid w:val="000C2E8E"/>
    <w:rsid w:val="000D124E"/>
    <w:rsid w:val="000E0E7C"/>
    <w:rsid w:val="000E2D8F"/>
    <w:rsid w:val="000F1B4B"/>
    <w:rsid w:val="0012744F"/>
    <w:rsid w:val="001274F2"/>
    <w:rsid w:val="00143479"/>
    <w:rsid w:val="00156F66"/>
    <w:rsid w:val="00171DD1"/>
    <w:rsid w:val="00182528"/>
    <w:rsid w:val="0018500B"/>
    <w:rsid w:val="001950AC"/>
    <w:rsid w:val="00196A19"/>
    <w:rsid w:val="001A7472"/>
    <w:rsid w:val="001C1752"/>
    <w:rsid w:val="00202DC1"/>
    <w:rsid w:val="0020636A"/>
    <w:rsid w:val="002116EE"/>
    <w:rsid w:val="002309D8"/>
    <w:rsid w:val="00230FD3"/>
    <w:rsid w:val="00253991"/>
    <w:rsid w:val="00277FA6"/>
    <w:rsid w:val="002859E2"/>
    <w:rsid w:val="002A5C4A"/>
    <w:rsid w:val="002A7FE2"/>
    <w:rsid w:val="002C2A4E"/>
    <w:rsid w:val="002D0486"/>
    <w:rsid w:val="002E1B4F"/>
    <w:rsid w:val="002E6A1A"/>
    <w:rsid w:val="002F2E67"/>
    <w:rsid w:val="00315546"/>
    <w:rsid w:val="00330567"/>
    <w:rsid w:val="00331A43"/>
    <w:rsid w:val="00360F2F"/>
    <w:rsid w:val="00386A9D"/>
    <w:rsid w:val="00391081"/>
    <w:rsid w:val="00391E80"/>
    <w:rsid w:val="003A11CB"/>
    <w:rsid w:val="003B2789"/>
    <w:rsid w:val="003C13CE"/>
    <w:rsid w:val="003E2518"/>
    <w:rsid w:val="003E74C6"/>
    <w:rsid w:val="004044EE"/>
    <w:rsid w:val="004410CD"/>
    <w:rsid w:val="00441B86"/>
    <w:rsid w:val="00444635"/>
    <w:rsid w:val="0048769E"/>
    <w:rsid w:val="0048792F"/>
    <w:rsid w:val="004B1EF7"/>
    <w:rsid w:val="004B3FAD"/>
    <w:rsid w:val="004C0BE2"/>
    <w:rsid w:val="004C7CF3"/>
    <w:rsid w:val="004D216C"/>
    <w:rsid w:val="004D470F"/>
    <w:rsid w:val="004E08F2"/>
    <w:rsid w:val="00501DCA"/>
    <w:rsid w:val="00513A47"/>
    <w:rsid w:val="0051782D"/>
    <w:rsid w:val="005354F2"/>
    <w:rsid w:val="005408DF"/>
    <w:rsid w:val="00573344"/>
    <w:rsid w:val="00583F9B"/>
    <w:rsid w:val="0058433B"/>
    <w:rsid w:val="005C5C27"/>
    <w:rsid w:val="005D0892"/>
    <w:rsid w:val="005E5C10"/>
    <w:rsid w:val="005F2C78"/>
    <w:rsid w:val="006059F6"/>
    <w:rsid w:val="006144E4"/>
    <w:rsid w:val="0063767B"/>
    <w:rsid w:val="00650299"/>
    <w:rsid w:val="00655FC5"/>
    <w:rsid w:val="006574F3"/>
    <w:rsid w:val="0067115B"/>
    <w:rsid w:val="006855CE"/>
    <w:rsid w:val="00687207"/>
    <w:rsid w:val="006B1C56"/>
    <w:rsid w:val="006B44AE"/>
    <w:rsid w:val="0071066F"/>
    <w:rsid w:val="00710D66"/>
    <w:rsid w:val="007120DC"/>
    <w:rsid w:val="00736ED0"/>
    <w:rsid w:val="00774DC8"/>
    <w:rsid w:val="007764B7"/>
    <w:rsid w:val="00783279"/>
    <w:rsid w:val="007916BA"/>
    <w:rsid w:val="007D0EF6"/>
    <w:rsid w:val="007F2EE3"/>
    <w:rsid w:val="007F3FE6"/>
    <w:rsid w:val="00822581"/>
    <w:rsid w:val="008309DD"/>
    <w:rsid w:val="0083227A"/>
    <w:rsid w:val="008400A1"/>
    <w:rsid w:val="00855FAE"/>
    <w:rsid w:val="00866900"/>
    <w:rsid w:val="00881BA1"/>
    <w:rsid w:val="00890DB9"/>
    <w:rsid w:val="00892CD8"/>
    <w:rsid w:val="008B72A1"/>
    <w:rsid w:val="008C08B4"/>
    <w:rsid w:val="008C26B8"/>
    <w:rsid w:val="008F1F63"/>
    <w:rsid w:val="009275B1"/>
    <w:rsid w:val="00933320"/>
    <w:rsid w:val="00954E2C"/>
    <w:rsid w:val="00964BFC"/>
    <w:rsid w:val="00982084"/>
    <w:rsid w:val="00984B1F"/>
    <w:rsid w:val="00995963"/>
    <w:rsid w:val="009B61EB"/>
    <w:rsid w:val="009C2064"/>
    <w:rsid w:val="009C28D4"/>
    <w:rsid w:val="009D1697"/>
    <w:rsid w:val="009E2882"/>
    <w:rsid w:val="00A014F8"/>
    <w:rsid w:val="00A13622"/>
    <w:rsid w:val="00A33AAA"/>
    <w:rsid w:val="00A34AAA"/>
    <w:rsid w:val="00A5173C"/>
    <w:rsid w:val="00A61AEF"/>
    <w:rsid w:val="00AF173A"/>
    <w:rsid w:val="00B066A4"/>
    <w:rsid w:val="00B07A13"/>
    <w:rsid w:val="00B21DA5"/>
    <w:rsid w:val="00B326E7"/>
    <w:rsid w:val="00B4279B"/>
    <w:rsid w:val="00B45FC9"/>
    <w:rsid w:val="00B63A6E"/>
    <w:rsid w:val="00B7229B"/>
    <w:rsid w:val="00B81D01"/>
    <w:rsid w:val="00B95784"/>
    <w:rsid w:val="00B97879"/>
    <w:rsid w:val="00BC7B3F"/>
    <w:rsid w:val="00BC7CCF"/>
    <w:rsid w:val="00BD3B24"/>
    <w:rsid w:val="00BE470B"/>
    <w:rsid w:val="00C27422"/>
    <w:rsid w:val="00C57A91"/>
    <w:rsid w:val="00C9110D"/>
    <w:rsid w:val="00CC01C2"/>
    <w:rsid w:val="00CF21F2"/>
    <w:rsid w:val="00CF43CB"/>
    <w:rsid w:val="00D02712"/>
    <w:rsid w:val="00D214D0"/>
    <w:rsid w:val="00D249FF"/>
    <w:rsid w:val="00D2554D"/>
    <w:rsid w:val="00D45EE2"/>
    <w:rsid w:val="00D5573A"/>
    <w:rsid w:val="00D6546B"/>
    <w:rsid w:val="00D8032B"/>
    <w:rsid w:val="00D8572C"/>
    <w:rsid w:val="00DD4BED"/>
    <w:rsid w:val="00DE225A"/>
    <w:rsid w:val="00DE39F0"/>
    <w:rsid w:val="00DF0AF3"/>
    <w:rsid w:val="00E27D7E"/>
    <w:rsid w:val="00E34E21"/>
    <w:rsid w:val="00E42E13"/>
    <w:rsid w:val="00E6257C"/>
    <w:rsid w:val="00E63C59"/>
    <w:rsid w:val="00E65CB1"/>
    <w:rsid w:val="00E95946"/>
    <w:rsid w:val="00EA5FD6"/>
    <w:rsid w:val="00EB3D1F"/>
    <w:rsid w:val="00ED25A1"/>
    <w:rsid w:val="00ED632C"/>
    <w:rsid w:val="00EE1081"/>
    <w:rsid w:val="00EE571D"/>
    <w:rsid w:val="00F0046F"/>
    <w:rsid w:val="00F056D7"/>
    <w:rsid w:val="00F125B1"/>
    <w:rsid w:val="00F575AB"/>
    <w:rsid w:val="00F62B5D"/>
    <w:rsid w:val="00F75C71"/>
    <w:rsid w:val="00F94FBD"/>
    <w:rsid w:val="00FA124A"/>
    <w:rsid w:val="00FC08DD"/>
    <w:rsid w:val="00FC2316"/>
    <w:rsid w:val="00FC2CFD"/>
    <w:rsid w:val="00FD40A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rsid w:val="00E63C59"/>
    <w:rPr>
      <w:rFonts w:cs="Times New Roman"/>
    </w:rPr>
  </w:style>
  <w:style w:type="character" w:customStyle="1" w:styleId="Artdef">
    <w:name w:val="Art_def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rsid w:val="00E63C59"/>
    <w:rPr>
      <w:rFonts w:cs="Times New Roman"/>
    </w:rPr>
  </w:style>
  <w:style w:type="character" w:customStyle="1" w:styleId="Recdef">
    <w:name w:val="Rec_def"/>
    <w:rsid w:val="00E63C59"/>
    <w:rPr>
      <w:rFonts w:cs="Times New Roman"/>
      <w:b/>
    </w:rPr>
  </w:style>
  <w:style w:type="character" w:customStyle="1" w:styleId="Resdef">
    <w:name w:val="Res_def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rsid w:val="004E08F2"/>
    <w:rPr>
      <w:rFonts w:cs="Times New Roman"/>
      <w:color w:val="0000FF"/>
      <w:u w:val="single"/>
    </w:rPr>
  </w:style>
  <w:style w:type="character" w:styleId="Strong">
    <w:name w:val="Strong"/>
    <w:qFormat/>
    <w:locked/>
    <w:rsid w:val="006B44AE"/>
    <w:rPr>
      <w:b/>
    </w:rPr>
  </w:style>
  <w:style w:type="paragraph" w:styleId="ListParagraph">
    <w:name w:val="List Paragraph"/>
    <w:basedOn w:val="Normal"/>
    <w:uiPriority w:val="34"/>
    <w:qFormat/>
    <w:rsid w:val="007F2EE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textAlignment w:val="auto"/>
    </w:pPr>
  </w:style>
  <w:style w:type="character" w:customStyle="1" w:styleId="CallChar">
    <w:name w:val="Call Char"/>
    <w:link w:val="Call"/>
    <w:uiPriority w:val="99"/>
    <w:locked/>
    <w:rsid w:val="007F2EE3"/>
    <w:rPr>
      <w:rFonts w:ascii="Times New Roman" w:hAnsi="Times New Roman"/>
      <w:i/>
      <w:sz w:val="24"/>
      <w:lang w:val="en-GB" w:eastAsia="en-US"/>
    </w:rPr>
  </w:style>
  <w:style w:type="character" w:styleId="FollowedHyperlink">
    <w:name w:val="FollowedHyperlink"/>
    <w:rsid w:val="001274F2"/>
    <w:rPr>
      <w:color w:val="800080"/>
      <w:u w:val="single"/>
    </w:rPr>
  </w:style>
  <w:style w:type="character" w:customStyle="1" w:styleId="enumlev1Char">
    <w:name w:val="enumlev1 Char"/>
    <w:link w:val="enumlev1"/>
    <w:locked/>
    <w:rsid w:val="006855CE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link w:val="Header"/>
    <w:rsid w:val="00984B1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984B1F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rsid w:val="00E63C59"/>
    <w:rPr>
      <w:rFonts w:cs="Times New Roman"/>
    </w:rPr>
  </w:style>
  <w:style w:type="character" w:customStyle="1" w:styleId="Artdef">
    <w:name w:val="Art_def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rsid w:val="00E63C59"/>
    <w:rPr>
      <w:rFonts w:cs="Times New Roman"/>
    </w:rPr>
  </w:style>
  <w:style w:type="character" w:customStyle="1" w:styleId="Recdef">
    <w:name w:val="Rec_def"/>
    <w:rsid w:val="00E63C59"/>
    <w:rPr>
      <w:rFonts w:cs="Times New Roman"/>
      <w:b/>
    </w:rPr>
  </w:style>
  <w:style w:type="character" w:customStyle="1" w:styleId="Resdef">
    <w:name w:val="Res_def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rsid w:val="004E08F2"/>
    <w:rPr>
      <w:rFonts w:cs="Times New Roman"/>
      <w:color w:val="0000FF"/>
      <w:u w:val="single"/>
    </w:rPr>
  </w:style>
  <w:style w:type="character" w:styleId="Strong">
    <w:name w:val="Strong"/>
    <w:qFormat/>
    <w:locked/>
    <w:rsid w:val="006B44AE"/>
    <w:rPr>
      <w:b/>
    </w:rPr>
  </w:style>
  <w:style w:type="paragraph" w:styleId="ListParagraph">
    <w:name w:val="List Paragraph"/>
    <w:basedOn w:val="Normal"/>
    <w:uiPriority w:val="34"/>
    <w:qFormat/>
    <w:rsid w:val="007F2EE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textAlignment w:val="auto"/>
    </w:pPr>
  </w:style>
  <w:style w:type="character" w:customStyle="1" w:styleId="CallChar">
    <w:name w:val="Call Char"/>
    <w:link w:val="Call"/>
    <w:uiPriority w:val="99"/>
    <w:locked/>
    <w:rsid w:val="007F2EE3"/>
    <w:rPr>
      <w:rFonts w:ascii="Times New Roman" w:hAnsi="Times New Roman"/>
      <w:i/>
      <w:sz w:val="24"/>
      <w:lang w:val="en-GB" w:eastAsia="en-US"/>
    </w:rPr>
  </w:style>
  <w:style w:type="character" w:styleId="FollowedHyperlink">
    <w:name w:val="FollowedHyperlink"/>
    <w:rsid w:val="001274F2"/>
    <w:rPr>
      <w:color w:val="800080"/>
      <w:u w:val="single"/>
    </w:rPr>
  </w:style>
  <w:style w:type="character" w:customStyle="1" w:styleId="enumlev1Char">
    <w:name w:val="enumlev1 Char"/>
    <w:link w:val="enumlev1"/>
    <w:locked/>
    <w:rsid w:val="006855CE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link w:val="Header"/>
    <w:rsid w:val="00984B1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984B1F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48C5-8BF6-4AB5-A24E-E8836F27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596</Words>
  <Characters>3606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Titolo</vt:lpstr>
      </vt:variant>
      <vt:variant>
        <vt:i4>1</vt:i4>
      </vt:variant>
    </vt:vector>
  </HeadingPairs>
  <TitlesOfParts>
    <vt:vector size="8" baseType="lpstr">
      <vt:lpstr>Radiocommunication Study Groups</vt:lpstr>
      <vt:lpstr/>
      <vt:lpstr>1	Introduction</vt:lpstr>
      <vt:lpstr>Resolution 166 (Guadalajara, 2010) – Number of Vice Chairmen</vt:lpstr>
      <vt:lpstr>Experience in the Radiocommunication Sector</vt:lpstr>
      <vt:lpstr>Limitation on Holding Multiple Positions</vt:lpstr>
      <vt:lpstr>Conclusion</vt:lpstr>
      <vt:lpstr>Radiocommunication Study Groups</vt:lpstr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fernandv</dc:creator>
  <cp:keywords/>
  <dc:description/>
  <cp:lastModifiedBy>mostyn</cp:lastModifiedBy>
  <cp:revision>3</cp:revision>
  <cp:lastPrinted>2011-05-31T13:43:00Z</cp:lastPrinted>
  <dcterms:created xsi:type="dcterms:W3CDTF">2011-05-31T13:43:00Z</dcterms:created>
  <dcterms:modified xsi:type="dcterms:W3CDTF">2011-05-31T13:43:00Z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