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2D238A" w:rsidTr="004224D6">
        <w:trPr>
          <w:cantSplit/>
        </w:trPr>
        <w:tc>
          <w:tcPr>
            <w:tcW w:w="6629" w:type="dxa"/>
          </w:tcPr>
          <w:p w:rsidR="002D238A" w:rsidRPr="002D238A" w:rsidRDefault="002D238A" w:rsidP="004224D6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D228F7">
              <w:rPr>
                <w:rFonts w:ascii="Verdana" w:hAnsi="Verdana"/>
                <w:b/>
                <w:bCs/>
                <w:sz w:val="20"/>
              </w:rPr>
              <w:t>8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D228F7">
              <w:rPr>
                <w:rFonts w:ascii="Verdana" w:hAnsi="Verdana"/>
                <w:b/>
                <w:bCs/>
                <w:sz w:val="20"/>
              </w:rPr>
              <w:t>0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D228F7">
              <w:rPr>
                <w:rFonts w:ascii="Verdana" w:hAnsi="Verdana"/>
                <w:b/>
                <w:bCs/>
                <w:sz w:val="20"/>
              </w:rPr>
              <w:t>juin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D228F7">
              <w:rPr>
                <w:rFonts w:ascii="Verdana" w:hAnsi="Verdana"/>
                <w:b/>
                <w:bCs/>
                <w:sz w:val="20"/>
              </w:rPr>
              <w:t>1</w:t>
            </w:r>
          </w:p>
        </w:tc>
        <w:tc>
          <w:tcPr>
            <w:tcW w:w="3260" w:type="dxa"/>
          </w:tcPr>
          <w:p w:rsidR="002D238A" w:rsidRDefault="005430E4" w:rsidP="004224D6">
            <w:pPr>
              <w:shd w:val="solid" w:color="FFFFFF" w:fill="FFFFFF"/>
              <w:spacing w:before="0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F6F4E3B" wp14:editId="5C190938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:rsidTr="004224D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2D238A" w:rsidRPr="0051782D" w:rsidRDefault="002D238A" w:rsidP="004224D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2D238A" w:rsidRPr="0051782D" w:rsidRDefault="002D238A" w:rsidP="004224D6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:rsidTr="004224D6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2D238A" w:rsidRPr="0051782D" w:rsidRDefault="002D238A" w:rsidP="004224D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2D238A" w:rsidRPr="002D238A" w:rsidRDefault="002D238A" w:rsidP="004224D6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:rsidTr="004224D6">
        <w:trPr>
          <w:cantSplit/>
        </w:trPr>
        <w:tc>
          <w:tcPr>
            <w:tcW w:w="6629" w:type="dxa"/>
            <w:vMerge w:val="restart"/>
          </w:tcPr>
          <w:p w:rsidR="002D238A" w:rsidRDefault="002D238A" w:rsidP="004224D6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260" w:type="dxa"/>
          </w:tcPr>
          <w:p w:rsidR="002D238A" w:rsidRPr="004224D6" w:rsidRDefault="005521BB" w:rsidP="004224D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Révision 1 au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="004224D6" w:rsidRPr="004224D6">
              <w:rPr>
                <w:rFonts w:ascii="Verdana" w:hAnsi="Verdana"/>
                <w:b/>
                <w:sz w:val="18"/>
                <w:szCs w:val="18"/>
              </w:rPr>
              <w:t>Document RAG11-1/AMD/1-F</w:t>
            </w:r>
          </w:p>
        </w:tc>
      </w:tr>
      <w:tr w:rsidR="002D238A" w:rsidRPr="002A127E" w:rsidTr="004224D6">
        <w:trPr>
          <w:cantSplit/>
        </w:trPr>
        <w:tc>
          <w:tcPr>
            <w:tcW w:w="6629" w:type="dxa"/>
            <w:vMerge/>
          </w:tcPr>
          <w:p w:rsidR="002D238A" w:rsidRDefault="002D238A" w:rsidP="004224D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260" w:type="dxa"/>
          </w:tcPr>
          <w:p w:rsidR="002D238A" w:rsidRPr="004224D6" w:rsidRDefault="005521BB" w:rsidP="004224D6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</w:t>
            </w:r>
            <w:r w:rsidR="004224D6">
              <w:rPr>
                <w:rFonts w:ascii="Verdana" w:hAnsi="Verdana"/>
                <w:b/>
                <w:sz w:val="20"/>
              </w:rPr>
              <w:t xml:space="preserve"> juin 2011</w:t>
            </w:r>
          </w:p>
        </w:tc>
      </w:tr>
      <w:tr w:rsidR="002D238A" w:rsidRPr="002A127E" w:rsidTr="004224D6">
        <w:trPr>
          <w:cantSplit/>
        </w:trPr>
        <w:tc>
          <w:tcPr>
            <w:tcW w:w="6629" w:type="dxa"/>
            <w:vMerge/>
          </w:tcPr>
          <w:p w:rsidR="002D238A" w:rsidRDefault="002D238A" w:rsidP="004224D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260" w:type="dxa"/>
          </w:tcPr>
          <w:p w:rsidR="002D238A" w:rsidRPr="004224D6" w:rsidRDefault="004224D6" w:rsidP="004224D6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4224D6" w:rsidP="00FB7F76">
            <w:pPr>
              <w:pStyle w:val="Source"/>
              <w:spacing w:before="720"/>
            </w:pPr>
            <w:bookmarkStart w:id="3" w:name="dsource" w:colFirst="0" w:colLast="0"/>
            <w:bookmarkEnd w:id="2"/>
            <w:r w:rsidRPr="00E86EDB">
              <w:rPr>
                <w:b w:val="0"/>
                <w:bCs/>
                <w:szCs w:val="28"/>
                <w:lang w:val="fr-CH"/>
              </w:rPr>
              <w:t>PROJET D'ORDRE DU JOUR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4224D6" w:rsidP="004224D6">
            <w:pPr>
              <w:pStyle w:val="Title1"/>
            </w:pPr>
            <w:bookmarkStart w:id="4" w:name="dtitle1" w:colFirst="0" w:colLast="0"/>
            <w:bookmarkEnd w:id="3"/>
            <w:r w:rsidRPr="00E86EDB">
              <w:rPr>
                <w:szCs w:val="28"/>
                <w:lang w:val="fr-CH"/>
              </w:rPr>
              <w:t xml:space="preserve">DIX-HUITIÈME RéUNION DU GROUPE CONSULTATIF </w:t>
            </w:r>
            <w:r w:rsidRPr="00E86EDB">
              <w:rPr>
                <w:szCs w:val="28"/>
                <w:lang w:val="fr-CH"/>
              </w:rPr>
              <w:br/>
              <w:t>DES RADIOCOMMUNICATIONS</w:t>
            </w:r>
          </w:p>
        </w:tc>
      </w:tr>
    </w:tbl>
    <w:bookmarkEnd w:id="4"/>
    <w:p w:rsidR="00D228F7" w:rsidRDefault="004224D6" w:rsidP="004224D6">
      <w:pPr>
        <w:pStyle w:val="Normalaftertitle"/>
        <w:jc w:val="center"/>
        <w:rPr>
          <w:bCs/>
          <w:szCs w:val="28"/>
          <w:lang w:val="fr-CH"/>
        </w:rPr>
      </w:pPr>
      <w:r w:rsidRPr="00FB7F76">
        <w:rPr>
          <w:bCs/>
          <w:szCs w:val="28"/>
          <w:lang w:val="fr-CH"/>
        </w:rPr>
        <w:t>Genève, 8-10 juin 2011</w:t>
      </w:r>
      <w:r w:rsidRPr="00FB7F76">
        <w:rPr>
          <w:bCs/>
          <w:szCs w:val="28"/>
          <w:lang w:val="fr-CH"/>
        </w:rPr>
        <w:br/>
      </w:r>
      <w:r w:rsidRPr="00E86EDB">
        <w:rPr>
          <w:bCs/>
          <w:szCs w:val="28"/>
          <w:lang w:val="fr-CH"/>
        </w:rPr>
        <w:t>(Salle C, Tour de l'UIT)</w:t>
      </w:r>
    </w:p>
    <w:p w:rsidR="004224D6" w:rsidRPr="00FB7F76" w:rsidRDefault="004224D6" w:rsidP="004224D6">
      <w:pPr>
        <w:rPr>
          <w:sz w:val="12"/>
          <w:szCs w:val="12"/>
          <w:lang w:val="fr-CH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97"/>
        <w:gridCol w:w="6782"/>
        <w:gridCol w:w="2552"/>
      </w:tblGrid>
      <w:tr w:rsidR="004224D6" w:rsidRPr="004224D6" w:rsidTr="00FB7F76">
        <w:tc>
          <w:tcPr>
            <w:tcW w:w="697" w:type="dxa"/>
          </w:tcPr>
          <w:p w:rsidR="004224D6" w:rsidRPr="004224D6" w:rsidRDefault="004224D6" w:rsidP="004224D6">
            <w:pPr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4224D6">
            <w:pPr>
              <w:rPr>
                <w:szCs w:val="24"/>
                <w:lang w:val="fr-CH"/>
              </w:rPr>
            </w:pPr>
          </w:p>
        </w:tc>
        <w:tc>
          <w:tcPr>
            <w:tcW w:w="2552" w:type="dxa"/>
          </w:tcPr>
          <w:p w:rsidR="004224D6" w:rsidRPr="004224D6" w:rsidRDefault="004224D6" w:rsidP="004224D6">
            <w:pPr>
              <w:jc w:val="center"/>
              <w:rPr>
                <w:b/>
                <w:bCs/>
                <w:szCs w:val="24"/>
                <w:lang w:val="fr-CH"/>
              </w:rPr>
            </w:pPr>
            <w:r w:rsidRPr="004224D6">
              <w:rPr>
                <w:b/>
                <w:bCs/>
                <w:szCs w:val="24"/>
                <w:lang w:val="fr-CH"/>
              </w:rPr>
              <w:t>Document</w:t>
            </w:r>
            <w:r w:rsidRPr="004224D6">
              <w:rPr>
                <w:b/>
                <w:bCs/>
                <w:szCs w:val="24"/>
                <w:lang w:val="fr-CH"/>
              </w:rPr>
              <w:br/>
              <w:t>RAG11-1/</w:t>
            </w: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</w:t>
            </w:r>
          </w:p>
        </w:tc>
        <w:tc>
          <w:tcPr>
            <w:tcW w:w="6782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Remarques liminaires</w:t>
            </w:r>
          </w:p>
        </w:tc>
        <w:tc>
          <w:tcPr>
            <w:tcW w:w="2552" w:type="dxa"/>
          </w:tcPr>
          <w:p w:rsidR="004224D6" w:rsidRPr="004224D6" w:rsidRDefault="00FB7F76" w:rsidP="005E2297">
            <w:pPr>
              <w:spacing w:after="40"/>
              <w:jc w:val="center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-</w:t>
            </w: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2</w:t>
            </w:r>
          </w:p>
        </w:tc>
        <w:tc>
          <w:tcPr>
            <w:tcW w:w="6782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Adoption de l'ordre du jour</w:t>
            </w:r>
          </w:p>
        </w:tc>
        <w:tc>
          <w:tcPr>
            <w:tcW w:w="2552" w:type="dxa"/>
          </w:tcPr>
          <w:p w:rsidR="004224D6" w:rsidRPr="004224D6" w:rsidRDefault="00FB7F76" w:rsidP="005E2297">
            <w:pPr>
              <w:spacing w:after="40"/>
              <w:jc w:val="center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-</w:t>
            </w: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3</w:t>
            </w:r>
          </w:p>
        </w:tc>
        <w:tc>
          <w:tcPr>
            <w:tcW w:w="6782" w:type="dxa"/>
          </w:tcPr>
          <w:p w:rsidR="004224D6" w:rsidRPr="004224D6" w:rsidRDefault="004224D6" w:rsidP="005E2297">
            <w:pPr>
              <w:tabs>
                <w:tab w:val="clear" w:pos="794"/>
              </w:tabs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Questions relatives au Conseil et à la Conférence de plénipotentiaire</w:t>
            </w:r>
            <w:r w:rsidR="00D4297C">
              <w:rPr>
                <w:szCs w:val="24"/>
                <w:lang w:val="fr-CH"/>
              </w:rPr>
              <w:t>s</w:t>
            </w:r>
            <w:r w:rsidRPr="004224D6">
              <w:rPr>
                <w:szCs w:val="24"/>
                <w:lang w:val="fr-CH"/>
              </w:rPr>
              <w:t xml:space="preserve"> </w:t>
            </w:r>
            <w:r w:rsidR="00D4297C">
              <w:rPr>
                <w:szCs w:val="24"/>
                <w:lang w:val="fr-CH"/>
              </w:rPr>
              <w:t>intéressant</w:t>
            </w:r>
            <w:r w:rsidRPr="004224D6">
              <w:rPr>
                <w:szCs w:val="24"/>
                <w:lang w:val="fr-CH"/>
              </w:rPr>
              <w:t xml:space="preserve"> le GCR</w:t>
            </w:r>
          </w:p>
        </w:tc>
        <w:tc>
          <w:tcPr>
            <w:tcW w:w="2552" w:type="dxa"/>
          </w:tcPr>
          <w:p w:rsidR="004224D6" w:rsidRPr="004224D6" w:rsidRDefault="004224D6" w:rsidP="005E2297">
            <w:pPr>
              <w:spacing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3.1</w:t>
            </w:r>
            <w:r w:rsidRPr="004224D6">
              <w:rPr>
                <w:szCs w:val="24"/>
                <w:lang w:val="fr-CH"/>
              </w:rPr>
              <w:tab/>
              <w:t>Questions relatives au Conseil</w:t>
            </w:r>
          </w:p>
        </w:tc>
        <w:tc>
          <w:tcPr>
            <w:tcW w:w="2552" w:type="dxa"/>
          </w:tcPr>
          <w:p w:rsidR="004224D6" w:rsidRPr="004224D6" w:rsidRDefault="001F402B" w:rsidP="002B0596">
            <w:pPr>
              <w:spacing w:before="40" w:after="40"/>
              <w:jc w:val="center"/>
              <w:rPr>
                <w:szCs w:val="24"/>
                <w:lang w:val="fr-CH"/>
              </w:rPr>
            </w:pPr>
            <w:hyperlink r:id="rId9" w:history="1">
              <w:r w:rsidR="002B0596" w:rsidRPr="00404B92">
                <w:rPr>
                  <w:rStyle w:val="Hyperlink"/>
                </w:rPr>
                <w:t>1R1</w:t>
              </w:r>
            </w:hyperlink>
            <w:r w:rsidR="002B0596">
              <w:t xml:space="preserve"> (§ 2, Add.1, 3, 4), </w:t>
            </w:r>
            <w:hyperlink r:id="rId10" w:history="1">
              <w:r w:rsidR="002B0596" w:rsidRPr="00D81F15">
                <w:rPr>
                  <w:rStyle w:val="Hyperlink"/>
                </w:rPr>
                <w:t>15</w:t>
              </w:r>
            </w:hyperlink>
            <w:r w:rsidR="002B0596">
              <w:t xml:space="preserve"> (§ 3)</w:t>
            </w: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3.2</w:t>
            </w:r>
            <w:r w:rsidRPr="004224D6">
              <w:rPr>
                <w:szCs w:val="24"/>
                <w:lang w:val="fr-CH"/>
              </w:rPr>
              <w:tab/>
              <w:t>Résultats de la PP-10</w:t>
            </w:r>
          </w:p>
        </w:tc>
        <w:tc>
          <w:tcPr>
            <w:tcW w:w="2552" w:type="dxa"/>
          </w:tcPr>
          <w:p w:rsidR="004224D6" w:rsidRPr="004224D6" w:rsidRDefault="001F402B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hyperlink r:id="rId11" w:history="1">
              <w:r w:rsidR="002B0596" w:rsidRPr="00404B92">
                <w:rPr>
                  <w:rStyle w:val="Hyperlink"/>
                </w:rPr>
                <w:t>1R1</w:t>
              </w:r>
            </w:hyperlink>
            <w:r w:rsidR="00FB7F76">
              <w:t xml:space="preserve"> (§ 3)</w:t>
            </w:r>
            <w:r w:rsidR="002B0596">
              <w:t xml:space="preserve">, </w:t>
            </w:r>
            <w:hyperlink r:id="rId12" w:history="1">
              <w:r w:rsidR="002B0596" w:rsidRPr="00D81F15">
                <w:rPr>
                  <w:rStyle w:val="Hyperlink"/>
                </w:rPr>
                <w:t>15</w:t>
              </w:r>
            </w:hyperlink>
            <w:r w:rsidR="002B0596">
              <w:t xml:space="preserve"> (§ 7)</w:t>
            </w: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3.2.1</w:t>
            </w:r>
            <w:r w:rsidRPr="004224D6">
              <w:rPr>
                <w:szCs w:val="24"/>
                <w:lang w:val="fr-CH"/>
              </w:rPr>
              <w:tab/>
              <w:t>Délais et procédures d</w:t>
            </w:r>
            <w:r w:rsidR="00435318">
              <w:rPr>
                <w:szCs w:val="24"/>
                <w:lang w:val="fr-CH"/>
              </w:rPr>
              <w:t>'</w:t>
            </w:r>
            <w:r w:rsidRPr="004224D6">
              <w:rPr>
                <w:szCs w:val="24"/>
                <w:lang w:val="fr-CH"/>
              </w:rPr>
              <w:t>inscription</w:t>
            </w:r>
          </w:p>
        </w:tc>
        <w:tc>
          <w:tcPr>
            <w:tcW w:w="2552" w:type="dxa"/>
          </w:tcPr>
          <w:p w:rsidR="004224D6" w:rsidRPr="004224D6" w:rsidRDefault="001F402B" w:rsidP="00320E2B">
            <w:pPr>
              <w:spacing w:before="40" w:after="40"/>
              <w:jc w:val="center"/>
              <w:rPr>
                <w:szCs w:val="24"/>
                <w:lang w:val="fr-CH"/>
              </w:rPr>
            </w:pPr>
            <w:hyperlink r:id="rId13" w:history="1">
              <w:r w:rsidR="002B0596" w:rsidRPr="003B7ECB">
                <w:rPr>
                  <w:rStyle w:val="Hyperlink"/>
                </w:rPr>
                <w:t>1R1</w:t>
              </w:r>
            </w:hyperlink>
            <w:r w:rsidR="002B0596">
              <w:t xml:space="preserve"> (§ 3.8), </w:t>
            </w:r>
            <w:hyperlink r:id="rId14" w:history="1">
              <w:r w:rsidR="002B0596" w:rsidRPr="00AC4BDA">
                <w:rPr>
                  <w:rStyle w:val="Hyperlink"/>
                </w:rPr>
                <w:t>8</w:t>
              </w:r>
            </w:hyperlink>
            <w:r w:rsidR="002B0596">
              <w:t xml:space="preserve">, </w:t>
            </w:r>
            <w:hyperlink r:id="rId15" w:history="1">
              <w:r w:rsidR="002B0596" w:rsidRPr="00926928">
                <w:rPr>
                  <w:rStyle w:val="Hyperlink"/>
                </w:rPr>
                <w:t>15</w:t>
              </w:r>
            </w:hyperlink>
            <w:r w:rsidR="002B0596">
              <w:t xml:space="preserve"> (§ 6)</w:t>
            </w: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4</w:t>
            </w:r>
          </w:p>
        </w:tc>
        <w:tc>
          <w:tcPr>
            <w:tcW w:w="6782" w:type="dxa"/>
          </w:tcPr>
          <w:p w:rsidR="004224D6" w:rsidRPr="004224D6" w:rsidRDefault="004224D6" w:rsidP="005E2297">
            <w:pPr>
              <w:tabs>
                <w:tab w:val="clear" w:pos="794"/>
                <w:tab w:val="left" w:pos="721"/>
              </w:tabs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Activités des commissions d'études:</w:t>
            </w:r>
          </w:p>
        </w:tc>
        <w:tc>
          <w:tcPr>
            <w:tcW w:w="2552" w:type="dxa"/>
          </w:tcPr>
          <w:p w:rsidR="004224D6" w:rsidRPr="004224D6" w:rsidRDefault="004224D6" w:rsidP="005E2297">
            <w:pPr>
              <w:spacing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4.1</w:t>
            </w:r>
            <w:r w:rsidRPr="004224D6">
              <w:rPr>
                <w:szCs w:val="24"/>
                <w:lang w:val="fr-CH"/>
              </w:rPr>
              <w:tab/>
              <w:t>Méthodes de travail et activités des Commissions d'études de l'UIT</w:t>
            </w:r>
            <w:r w:rsidRPr="004224D6">
              <w:rPr>
                <w:szCs w:val="24"/>
                <w:lang w:val="fr-CH"/>
              </w:rPr>
              <w:noBreakHyphen/>
              <w:t>R</w:t>
            </w:r>
          </w:p>
        </w:tc>
        <w:tc>
          <w:tcPr>
            <w:tcW w:w="2552" w:type="dxa"/>
          </w:tcPr>
          <w:p w:rsidR="004224D6" w:rsidRPr="004224D6" w:rsidRDefault="001F402B" w:rsidP="00320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53"/>
              </w:tabs>
              <w:spacing w:before="40" w:after="40"/>
              <w:jc w:val="center"/>
              <w:rPr>
                <w:szCs w:val="24"/>
                <w:lang w:val="fr-CH"/>
              </w:rPr>
            </w:pPr>
            <w:hyperlink r:id="rId16" w:history="1">
              <w:r w:rsidR="002B0596" w:rsidRPr="00404B92">
                <w:rPr>
                  <w:rStyle w:val="Hyperlink"/>
                </w:rPr>
                <w:t>1R1</w:t>
              </w:r>
            </w:hyperlink>
            <w:r w:rsidR="002B0596">
              <w:t xml:space="preserve"> (§ 4.1, 4.2, 4.3), </w:t>
            </w:r>
            <w:hyperlink r:id="rId17" w:history="1">
              <w:r w:rsidR="002B0596" w:rsidRPr="00AC4BDA">
                <w:rPr>
                  <w:rStyle w:val="Hyperlink"/>
                </w:rPr>
                <w:t>3</w:t>
              </w:r>
            </w:hyperlink>
            <w:r w:rsidR="002B0596">
              <w:t xml:space="preserve">, </w:t>
            </w:r>
            <w:hyperlink r:id="rId18" w:history="1">
              <w:r w:rsidR="002B0596" w:rsidRPr="00AC4BDA">
                <w:rPr>
                  <w:rStyle w:val="Hyperlink"/>
                </w:rPr>
                <w:t>6</w:t>
              </w:r>
            </w:hyperlink>
            <w:r w:rsidR="002B0596">
              <w:t xml:space="preserve">, </w:t>
            </w:r>
            <w:hyperlink r:id="rId19" w:history="1">
              <w:r w:rsidR="002B0596" w:rsidRPr="00926928">
                <w:rPr>
                  <w:rStyle w:val="Hyperlink"/>
                </w:rPr>
                <w:t>15</w:t>
              </w:r>
            </w:hyperlink>
            <w:r w:rsidR="002B0596">
              <w:t xml:space="preserve"> (§ 1, 2, 9), </w:t>
            </w:r>
            <w:hyperlink r:id="rId20" w:history="1">
              <w:r w:rsidR="002B0596" w:rsidRPr="00AC4BDA">
                <w:rPr>
                  <w:rStyle w:val="Hyperlink"/>
                </w:rPr>
                <w:t>17</w:t>
              </w:r>
            </w:hyperlink>
            <w:r w:rsidR="002B0596">
              <w:t xml:space="preserve">, </w:t>
            </w:r>
            <w:hyperlink r:id="rId21" w:history="1">
              <w:r w:rsidR="002B0596" w:rsidRPr="001E403F">
                <w:rPr>
                  <w:rStyle w:val="Hyperlink"/>
                </w:rPr>
                <w:t>19</w:t>
              </w:r>
            </w:hyperlink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4.2</w:t>
            </w:r>
            <w:r w:rsidRPr="004224D6">
              <w:rPr>
                <w:szCs w:val="24"/>
                <w:lang w:val="fr-CH"/>
              </w:rPr>
              <w:tab/>
              <w:t>Liaison et collaboration avec l'UIT-T et l'UIT-D et avec d'autres organisations</w:t>
            </w:r>
          </w:p>
        </w:tc>
        <w:tc>
          <w:tcPr>
            <w:tcW w:w="2552" w:type="dxa"/>
          </w:tcPr>
          <w:p w:rsidR="004224D6" w:rsidRPr="004224D6" w:rsidRDefault="001F402B" w:rsidP="00320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68"/>
              </w:tabs>
              <w:spacing w:before="40" w:after="40"/>
              <w:jc w:val="center"/>
              <w:rPr>
                <w:szCs w:val="24"/>
                <w:lang w:val="fr-CH"/>
              </w:rPr>
            </w:pPr>
            <w:hyperlink r:id="rId22" w:history="1">
              <w:r w:rsidR="002B0596" w:rsidRPr="00404B92">
                <w:rPr>
                  <w:rStyle w:val="Hyperlink"/>
                </w:rPr>
                <w:t>1R1</w:t>
              </w:r>
            </w:hyperlink>
            <w:r w:rsidR="002B0596">
              <w:t xml:space="preserve"> (§ 4.4), </w:t>
            </w:r>
            <w:hyperlink r:id="rId23" w:history="1">
              <w:r w:rsidR="002B0596" w:rsidRPr="00AC4BDA">
                <w:rPr>
                  <w:rStyle w:val="Hyperlink"/>
                </w:rPr>
                <w:t>21</w:t>
              </w:r>
            </w:hyperlink>
            <w:r w:rsidR="002B0596">
              <w:t xml:space="preserve">, </w:t>
            </w:r>
            <w:hyperlink r:id="rId24" w:history="1">
              <w:r w:rsidR="002B0596" w:rsidRPr="00AC4BDA">
                <w:rPr>
                  <w:rStyle w:val="Hyperlink"/>
                </w:rPr>
                <w:t>22</w:t>
              </w:r>
            </w:hyperlink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4224D6" w:rsidP="00320E2B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4.3</w:t>
            </w:r>
            <w:r w:rsidRPr="004224D6">
              <w:rPr>
                <w:szCs w:val="24"/>
                <w:lang w:val="fr-CH"/>
              </w:rPr>
              <w:tab/>
              <w:t>Méthodes de travail électroniques</w:t>
            </w:r>
          </w:p>
        </w:tc>
        <w:tc>
          <w:tcPr>
            <w:tcW w:w="2552" w:type="dxa"/>
          </w:tcPr>
          <w:p w:rsidR="004224D6" w:rsidRPr="004224D6" w:rsidRDefault="001F402B" w:rsidP="00320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68"/>
              </w:tabs>
              <w:spacing w:before="40" w:after="40"/>
              <w:jc w:val="center"/>
              <w:rPr>
                <w:szCs w:val="24"/>
                <w:lang w:val="fr-CH"/>
              </w:rPr>
            </w:pPr>
            <w:hyperlink r:id="rId25" w:history="1">
              <w:r w:rsidR="002B0596" w:rsidRPr="00AC4BDA">
                <w:rPr>
                  <w:rStyle w:val="Hyperlink"/>
                </w:rPr>
                <w:t>5</w:t>
              </w:r>
            </w:hyperlink>
            <w:r w:rsidR="002B0596">
              <w:t xml:space="preserve">, </w:t>
            </w:r>
            <w:hyperlink r:id="rId26" w:history="1">
              <w:r w:rsidR="002B0596" w:rsidRPr="00926928">
                <w:rPr>
                  <w:rStyle w:val="Hyperlink"/>
                </w:rPr>
                <w:t>15</w:t>
              </w:r>
            </w:hyperlink>
            <w:r w:rsidR="002B0596">
              <w:t xml:space="preserve"> (§ 10), </w:t>
            </w:r>
            <w:hyperlink r:id="rId27" w:history="1">
              <w:r w:rsidR="002B0596" w:rsidRPr="003B7ECB">
                <w:rPr>
                  <w:rStyle w:val="Hyperlink"/>
                </w:rPr>
                <w:t>18</w:t>
              </w:r>
            </w:hyperlink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5</w:t>
            </w:r>
          </w:p>
        </w:tc>
        <w:tc>
          <w:tcPr>
            <w:tcW w:w="6782" w:type="dxa"/>
          </w:tcPr>
          <w:p w:rsidR="004224D6" w:rsidRPr="004224D6" w:rsidRDefault="004224D6" w:rsidP="005E2297">
            <w:pPr>
              <w:tabs>
                <w:tab w:val="clear" w:pos="794"/>
                <w:tab w:val="left" w:pos="721"/>
              </w:tabs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Examen des systèmes d</w:t>
            </w:r>
            <w:r w:rsidR="00435318">
              <w:rPr>
                <w:szCs w:val="24"/>
                <w:lang w:val="fr-CH"/>
              </w:rPr>
              <w:t>'</w:t>
            </w:r>
            <w:r w:rsidRPr="004224D6">
              <w:rPr>
                <w:szCs w:val="24"/>
                <w:lang w:val="fr-CH"/>
              </w:rPr>
              <w:t>information du BR</w:t>
            </w:r>
          </w:p>
        </w:tc>
        <w:tc>
          <w:tcPr>
            <w:tcW w:w="2552" w:type="dxa"/>
          </w:tcPr>
          <w:p w:rsidR="004224D6" w:rsidRPr="004224D6" w:rsidRDefault="001F402B" w:rsidP="005E2297">
            <w:pPr>
              <w:spacing w:after="40"/>
              <w:jc w:val="center"/>
              <w:rPr>
                <w:szCs w:val="24"/>
                <w:lang w:val="fr-CH"/>
              </w:rPr>
            </w:pPr>
            <w:hyperlink r:id="rId28" w:history="1">
              <w:r w:rsidR="002B0596" w:rsidRPr="003B7ECB">
                <w:rPr>
                  <w:rStyle w:val="Hyperlink"/>
                </w:rPr>
                <w:t>14(R</w:t>
              </w:r>
              <w:r w:rsidR="002B0596">
                <w:rPr>
                  <w:rStyle w:val="Hyperlink"/>
                </w:rPr>
                <w:t>é</w:t>
              </w:r>
              <w:r w:rsidR="002B0596" w:rsidRPr="003B7ECB">
                <w:rPr>
                  <w:rStyle w:val="Hyperlink"/>
                </w:rPr>
                <w:t>v.1)</w:t>
              </w:r>
            </w:hyperlink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br w:type="page"/>
              <w:t>6</w:t>
            </w:r>
          </w:p>
        </w:tc>
        <w:tc>
          <w:tcPr>
            <w:tcW w:w="6782" w:type="dxa"/>
          </w:tcPr>
          <w:p w:rsidR="002B0596" w:rsidRPr="004224D6" w:rsidRDefault="002B0596" w:rsidP="005E2297">
            <w:pPr>
              <w:tabs>
                <w:tab w:val="clear" w:pos="794"/>
                <w:tab w:val="left" w:pos="721"/>
              </w:tabs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Travaux préparatoires en vue de l'AR-12</w:t>
            </w:r>
          </w:p>
        </w:tc>
        <w:tc>
          <w:tcPr>
            <w:tcW w:w="2552" w:type="dxa"/>
          </w:tcPr>
          <w:p w:rsidR="002B0596" w:rsidRPr="00B158E5" w:rsidRDefault="001F402B" w:rsidP="005E2297">
            <w:pPr>
              <w:spacing w:after="40"/>
              <w:jc w:val="center"/>
            </w:pPr>
            <w:hyperlink r:id="rId29" w:history="1">
              <w:r w:rsidR="002B0596" w:rsidRPr="00404B92">
                <w:rPr>
                  <w:rStyle w:val="Hyperlink"/>
                </w:rPr>
                <w:t>1R1</w:t>
              </w:r>
            </w:hyperlink>
            <w:r w:rsidR="002B0596">
              <w:t xml:space="preserve"> (§ 5)</w:t>
            </w:r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FB7F7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FB7F76">
            <w:pPr>
              <w:tabs>
                <w:tab w:val="clear" w:pos="794"/>
                <w:tab w:val="left" w:pos="721"/>
              </w:tabs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6.1</w:t>
            </w:r>
            <w:r w:rsidRPr="004224D6">
              <w:rPr>
                <w:szCs w:val="24"/>
                <w:lang w:val="fr-CH"/>
              </w:rPr>
              <w:tab/>
            </w:r>
            <w:r>
              <w:rPr>
                <w:szCs w:val="24"/>
                <w:lang w:val="fr-CH"/>
              </w:rPr>
              <w:t>Révisions</w:t>
            </w:r>
            <w:r w:rsidRPr="004224D6">
              <w:rPr>
                <w:szCs w:val="24"/>
                <w:lang w:val="fr-CH"/>
              </w:rPr>
              <w:t xml:space="preserve"> apportées à la Résolution UIT-R 1</w:t>
            </w:r>
          </w:p>
        </w:tc>
        <w:tc>
          <w:tcPr>
            <w:tcW w:w="2552" w:type="dxa"/>
          </w:tcPr>
          <w:p w:rsidR="002B0596" w:rsidRDefault="001F402B" w:rsidP="00FB7F76">
            <w:pPr>
              <w:spacing w:before="40" w:after="40"/>
              <w:jc w:val="center"/>
            </w:pPr>
            <w:hyperlink r:id="rId30" w:history="1">
              <w:r w:rsidR="002B0596" w:rsidRPr="00926928">
                <w:rPr>
                  <w:rStyle w:val="Hyperlink"/>
                </w:rPr>
                <w:t>15</w:t>
              </w:r>
            </w:hyperlink>
            <w:r w:rsidR="002B0596">
              <w:t xml:space="preserve"> (§ 8), </w:t>
            </w:r>
            <w:hyperlink r:id="rId31" w:history="1">
              <w:r w:rsidR="002B0596" w:rsidRPr="001E403F">
                <w:rPr>
                  <w:rStyle w:val="Hyperlink"/>
                </w:rPr>
                <w:t>20</w:t>
              </w:r>
            </w:hyperlink>
            <w:r w:rsidR="002B0596" w:rsidRPr="000A2F61">
              <w:t>,</w:t>
            </w:r>
            <w:r w:rsidR="002B0596">
              <w:t xml:space="preserve"> </w:t>
            </w:r>
            <w:hyperlink r:id="rId32" w:history="1">
              <w:r w:rsidR="002B0596" w:rsidRPr="001E403F">
                <w:rPr>
                  <w:rStyle w:val="Hyperlink"/>
                </w:rPr>
                <w:t>24</w:t>
              </w:r>
            </w:hyperlink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FB7F7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FB7F76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6.2</w:t>
            </w:r>
            <w:r w:rsidRPr="004224D6">
              <w:rPr>
                <w:szCs w:val="24"/>
                <w:lang w:val="fr-CH"/>
              </w:rPr>
              <w:tab/>
              <w:t>Conformité et interopérabilité des équipements radioélectriques –</w:t>
            </w:r>
            <w:r>
              <w:rPr>
                <w:szCs w:val="24"/>
                <w:lang w:val="fr-CH"/>
              </w:rPr>
              <w:t xml:space="preserve"> </w:t>
            </w:r>
            <w:r w:rsidRPr="004224D6">
              <w:rPr>
                <w:szCs w:val="24"/>
                <w:lang w:val="fr-CH"/>
              </w:rPr>
              <w:t>Résolution 177 (Guadalajara, 2010)</w:t>
            </w:r>
          </w:p>
        </w:tc>
        <w:tc>
          <w:tcPr>
            <w:tcW w:w="2552" w:type="dxa"/>
          </w:tcPr>
          <w:p w:rsidR="002B0596" w:rsidRDefault="001F402B" w:rsidP="00FB7F76">
            <w:pPr>
              <w:spacing w:before="40" w:after="40"/>
              <w:jc w:val="center"/>
            </w:pPr>
            <w:hyperlink r:id="rId33" w:history="1">
              <w:r w:rsidR="002B0596" w:rsidRPr="00404B92">
                <w:rPr>
                  <w:rStyle w:val="Hyperlink"/>
                </w:rPr>
                <w:t>1R1</w:t>
              </w:r>
            </w:hyperlink>
            <w:r w:rsidR="002B0596">
              <w:t xml:space="preserve"> (§ 3.10), </w:t>
            </w:r>
            <w:hyperlink r:id="rId34" w:history="1">
              <w:r w:rsidR="002B0596" w:rsidRPr="001E403F">
                <w:rPr>
                  <w:rStyle w:val="Hyperlink"/>
                </w:rPr>
                <w:t>4</w:t>
              </w:r>
            </w:hyperlink>
            <w:r w:rsidR="002B0596" w:rsidRPr="000A2F61">
              <w:t>,</w:t>
            </w:r>
            <w:r w:rsidR="002B0596">
              <w:t xml:space="preserve"> </w:t>
            </w:r>
            <w:hyperlink r:id="rId35" w:history="1">
              <w:r w:rsidR="002B0596" w:rsidRPr="001E403F">
                <w:rPr>
                  <w:rStyle w:val="Hyperlink"/>
                </w:rPr>
                <w:t>10</w:t>
              </w:r>
            </w:hyperlink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FB7F7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FB7F76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6.3</w:t>
            </w:r>
            <w:r w:rsidRPr="004224D6">
              <w:rPr>
                <w:szCs w:val="24"/>
                <w:lang w:val="fr-CH"/>
              </w:rPr>
              <w:tab/>
              <w:t xml:space="preserve">Nombre de </w:t>
            </w:r>
            <w:r>
              <w:rPr>
                <w:szCs w:val="24"/>
                <w:lang w:val="fr-CH"/>
              </w:rPr>
              <w:t>V</w:t>
            </w:r>
            <w:r w:rsidRPr="004224D6">
              <w:rPr>
                <w:szCs w:val="24"/>
                <w:lang w:val="fr-CH"/>
              </w:rPr>
              <w:t>ice-</w:t>
            </w:r>
            <w:r>
              <w:rPr>
                <w:szCs w:val="24"/>
                <w:lang w:val="fr-CH"/>
              </w:rPr>
              <w:t>P</w:t>
            </w:r>
            <w:r w:rsidRPr="004224D6">
              <w:rPr>
                <w:szCs w:val="24"/>
                <w:lang w:val="fr-CH"/>
              </w:rPr>
              <w:t>résidents – Résolution 166 (Guadalajara,</w:t>
            </w:r>
            <w:r>
              <w:rPr>
                <w:szCs w:val="24"/>
                <w:lang w:val="fr-CH"/>
              </w:rPr>
              <w:t> </w:t>
            </w:r>
            <w:r w:rsidRPr="004224D6">
              <w:rPr>
                <w:szCs w:val="24"/>
                <w:lang w:val="fr-CH"/>
              </w:rPr>
              <w:t>2010)</w:t>
            </w:r>
          </w:p>
        </w:tc>
        <w:tc>
          <w:tcPr>
            <w:tcW w:w="2552" w:type="dxa"/>
          </w:tcPr>
          <w:p w:rsidR="002B0596" w:rsidRDefault="001F402B" w:rsidP="00FB7F76">
            <w:pPr>
              <w:spacing w:before="40" w:after="40"/>
              <w:jc w:val="center"/>
            </w:pPr>
            <w:hyperlink r:id="rId36" w:history="1">
              <w:r w:rsidR="002B0596" w:rsidRPr="00404B92">
                <w:rPr>
                  <w:rStyle w:val="Hyperlink"/>
                </w:rPr>
                <w:t>1R1</w:t>
              </w:r>
            </w:hyperlink>
            <w:r w:rsidR="002B0596">
              <w:t xml:space="preserve"> (</w:t>
            </w:r>
            <w:r w:rsidR="002B0596">
              <w:rPr>
                <w:rFonts w:ascii="StempelGaramond Roman" w:hAnsi="StempelGaramond Roman"/>
              </w:rPr>
              <w:t>§</w:t>
            </w:r>
            <w:r w:rsidR="0063014D">
              <w:rPr>
                <w:rFonts w:ascii="StempelGaramond Roman" w:hAnsi="StempelGaramond Roman"/>
              </w:rPr>
              <w:t xml:space="preserve"> </w:t>
            </w:r>
            <w:r w:rsidR="002B0596">
              <w:t xml:space="preserve">3.9), </w:t>
            </w:r>
            <w:hyperlink r:id="rId37" w:history="1">
              <w:r w:rsidR="002B0596" w:rsidRPr="001E403F">
                <w:rPr>
                  <w:rStyle w:val="Hyperlink"/>
                </w:rPr>
                <w:t>9</w:t>
              </w:r>
            </w:hyperlink>
            <w:r w:rsidR="002B0596" w:rsidRPr="000A2F61">
              <w:t>,</w:t>
            </w:r>
            <w:r w:rsidR="002B0596">
              <w:t xml:space="preserve"> </w:t>
            </w:r>
            <w:hyperlink r:id="rId38" w:history="1">
              <w:r w:rsidR="002B0596" w:rsidRPr="00926928">
                <w:rPr>
                  <w:rStyle w:val="Hyperlink"/>
                </w:rPr>
                <w:t>15</w:t>
              </w:r>
            </w:hyperlink>
            <w:r w:rsidR="002B0596">
              <w:t xml:space="preserve"> (§ 5), </w:t>
            </w:r>
            <w:hyperlink r:id="rId39" w:history="1">
              <w:r w:rsidR="002B0596" w:rsidRPr="001E403F">
                <w:rPr>
                  <w:rStyle w:val="Hyperlink"/>
                </w:rPr>
                <w:t>16</w:t>
              </w:r>
            </w:hyperlink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FB7F7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FB7F76">
            <w:pPr>
              <w:tabs>
                <w:tab w:val="clear" w:pos="794"/>
                <w:tab w:val="left" w:pos="721"/>
              </w:tabs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6.4</w:t>
            </w:r>
            <w:r w:rsidRPr="004224D6">
              <w:rPr>
                <w:szCs w:val="24"/>
                <w:lang w:val="fr-CH"/>
              </w:rPr>
              <w:tab/>
              <w:t>Groupes du Rapporteur intersectoriels – Résolution UIT-R 6</w:t>
            </w:r>
          </w:p>
        </w:tc>
        <w:tc>
          <w:tcPr>
            <w:tcW w:w="2552" w:type="dxa"/>
          </w:tcPr>
          <w:p w:rsidR="002B0596" w:rsidRDefault="001F402B" w:rsidP="00FB7F76">
            <w:pPr>
              <w:spacing w:before="40" w:after="40"/>
              <w:jc w:val="center"/>
            </w:pPr>
            <w:hyperlink r:id="rId40" w:history="1">
              <w:r w:rsidR="002B0596" w:rsidRPr="001E403F">
                <w:rPr>
                  <w:rStyle w:val="Hyperlink"/>
                </w:rPr>
                <w:t>2</w:t>
              </w:r>
            </w:hyperlink>
            <w:r w:rsidR="002B0596">
              <w:t xml:space="preserve"> + Add.1</w:t>
            </w:r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2B0596">
            <w:pPr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6.5</w:t>
            </w:r>
            <w:r w:rsidRPr="004224D6">
              <w:rPr>
                <w:szCs w:val="24"/>
                <w:lang w:val="fr-CH"/>
              </w:rPr>
              <w:tab/>
            </w:r>
            <w:r>
              <w:rPr>
                <w:szCs w:val="24"/>
                <w:lang w:val="fr-CH"/>
              </w:rPr>
              <w:t>Changements climatiques</w:t>
            </w:r>
          </w:p>
        </w:tc>
        <w:tc>
          <w:tcPr>
            <w:tcW w:w="2552" w:type="dxa"/>
          </w:tcPr>
          <w:p w:rsidR="002B0596" w:rsidRDefault="001F402B" w:rsidP="00FB7F76">
            <w:pPr>
              <w:spacing w:before="40" w:after="40"/>
              <w:jc w:val="center"/>
            </w:pPr>
            <w:hyperlink r:id="rId41" w:history="1">
              <w:r w:rsidR="002B0596" w:rsidRPr="001E403F">
                <w:rPr>
                  <w:rStyle w:val="Hyperlink"/>
                </w:rPr>
                <w:t>12</w:t>
              </w:r>
            </w:hyperlink>
            <w:r w:rsidR="00FB7F76">
              <w:t>,</w:t>
            </w:r>
            <w:r w:rsidR="002B0596">
              <w:t xml:space="preserve"> </w:t>
            </w:r>
            <w:hyperlink r:id="rId42" w:history="1">
              <w:r w:rsidR="002B0596" w:rsidRPr="001E403F">
                <w:rPr>
                  <w:rStyle w:val="Hyperlink"/>
                </w:rPr>
                <w:t>13</w:t>
              </w:r>
            </w:hyperlink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2B0596">
            <w:pPr>
              <w:spacing w:before="40" w:after="40"/>
              <w:ind w:left="794" w:hanging="794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6.6</w:t>
            </w:r>
            <w:r>
              <w:rPr>
                <w:szCs w:val="24"/>
                <w:lang w:val="fr-CH"/>
              </w:rPr>
              <w:tab/>
              <w:t>SMSI</w:t>
            </w:r>
          </w:p>
        </w:tc>
        <w:tc>
          <w:tcPr>
            <w:tcW w:w="2552" w:type="dxa"/>
          </w:tcPr>
          <w:p w:rsidR="002B0596" w:rsidRDefault="001F402B" w:rsidP="002B0596">
            <w:pPr>
              <w:spacing w:before="40" w:after="40"/>
              <w:jc w:val="center"/>
            </w:pPr>
            <w:hyperlink r:id="rId43" w:history="1">
              <w:r w:rsidR="002B0596" w:rsidRPr="001E403F">
                <w:rPr>
                  <w:rStyle w:val="Hyperlink"/>
                </w:rPr>
                <w:t>11</w:t>
              </w:r>
            </w:hyperlink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F67952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br w:type="page"/>
              <w:t>7</w:t>
            </w:r>
          </w:p>
        </w:tc>
        <w:tc>
          <w:tcPr>
            <w:tcW w:w="6782" w:type="dxa"/>
          </w:tcPr>
          <w:p w:rsidR="002B0596" w:rsidRPr="004224D6" w:rsidRDefault="002B0596" w:rsidP="00F67952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Travaux préparatoires en vue de la CMR-12</w:t>
            </w:r>
          </w:p>
        </w:tc>
        <w:tc>
          <w:tcPr>
            <w:tcW w:w="2552" w:type="dxa"/>
          </w:tcPr>
          <w:p w:rsidR="002B0596" w:rsidRPr="00B158E5" w:rsidRDefault="002B0596" w:rsidP="00F67952">
            <w:pPr>
              <w:jc w:val="center"/>
            </w:pPr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7.1</w:t>
            </w:r>
            <w:r w:rsidRPr="004224D6">
              <w:rPr>
                <w:szCs w:val="24"/>
                <w:lang w:val="fr-CH"/>
              </w:rPr>
              <w:tab/>
              <w:t>Processus de la RPC</w:t>
            </w:r>
          </w:p>
        </w:tc>
        <w:tc>
          <w:tcPr>
            <w:tcW w:w="2552" w:type="dxa"/>
          </w:tcPr>
          <w:p w:rsidR="002B0596" w:rsidRPr="00B158E5" w:rsidRDefault="001F402B" w:rsidP="002B0596">
            <w:pPr>
              <w:spacing w:before="40" w:after="40"/>
              <w:jc w:val="center"/>
            </w:pPr>
            <w:hyperlink r:id="rId44" w:history="1">
              <w:r w:rsidR="002B0596" w:rsidRPr="00404B92">
                <w:rPr>
                  <w:rStyle w:val="Hyperlink"/>
                </w:rPr>
                <w:t>1R1</w:t>
              </w:r>
            </w:hyperlink>
            <w:r w:rsidR="002B0596">
              <w:t xml:space="preserve"> (§ 6.1)</w:t>
            </w:r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7.2</w:t>
            </w:r>
            <w:r w:rsidRPr="004224D6">
              <w:rPr>
                <w:szCs w:val="24"/>
                <w:lang w:val="fr-CH"/>
              </w:rPr>
              <w:tab/>
              <w:t>BR et activités régionales</w:t>
            </w:r>
          </w:p>
        </w:tc>
        <w:tc>
          <w:tcPr>
            <w:tcW w:w="2552" w:type="dxa"/>
          </w:tcPr>
          <w:p w:rsidR="002B0596" w:rsidRDefault="001F402B" w:rsidP="002B0596">
            <w:pPr>
              <w:spacing w:before="40" w:after="40"/>
              <w:jc w:val="center"/>
            </w:pPr>
            <w:hyperlink r:id="rId45" w:history="1">
              <w:r w:rsidR="002B0596" w:rsidRPr="00404B92">
                <w:rPr>
                  <w:rStyle w:val="Hyperlink"/>
                </w:rPr>
                <w:t>1R1</w:t>
              </w:r>
            </w:hyperlink>
            <w:r w:rsidR="002B0596">
              <w:t xml:space="preserve"> (§ 6.2)</w:t>
            </w:r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7.3</w:t>
            </w:r>
            <w:r w:rsidRPr="004224D6">
              <w:rPr>
                <w:szCs w:val="24"/>
                <w:lang w:val="fr-CH"/>
              </w:rPr>
              <w:tab/>
              <w:t>Résolution 80 (Rév.CMR-07)</w:t>
            </w:r>
          </w:p>
        </w:tc>
        <w:tc>
          <w:tcPr>
            <w:tcW w:w="2552" w:type="dxa"/>
          </w:tcPr>
          <w:p w:rsidR="002B0596" w:rsidRDefault="001F402B" w:rsidP="002B0596">
            <w:pPr>
              <w:spacing w:before="40" w:after="40"/>
              <w:jc w:val="center"/>
            </w:pPr>
            <w:hyperlink r:id="rId46" w:history="1">
              <w:r w:rsidR="002B0596" w:rsidRPr="00404B92">
                <w:rPr>
                  <w:rStyle w:val="Hyperlink"/>
                </w:rPr>
                <w:t>1R1</w:t>
              </w:r>
            </w:hyperlink>
            <w:r w:rsidR="002B0596">
              <w:t xml:space="preserve"> (§ 6.3)</w:t>
            </w:r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7.4</w:t>
            </w:r>
            <w:r>
              <w:rPr>
                <w:szCs w:val="24"/>
                <w:lang w:val="fr-CH"/>
              </w:rPr>
              <w:tab/>
            </w:r>
            <w:r w:rsidR="00FB7F76">
              <w:rPr>
                <w:szCs w:val="24"/>
                <w:lang w:val="fr-CH"/>
              </w:rPr>
              <w:t>Divers</w:t>
            </w:r>
          </w:p>
        </w:tc>
        <w:tc>
          <w:tcPr>
            <w:tcW w:w="2552" w:type="dxa"/>
          </w:tcPr>
          <w:p w:rsidR="002B0596" w:rsidRPr="00B158E5" w:rsidRDefault="001F402B" w:rsidP="002B0596">
            <w:pPr>
              <w:spacing w:before="40" w:after="40"/>
              <w:jc w:val="center"/>
            </w:pPr>
            <w:hyperlink r:id="rId47" w:history="1">
              <w:r w:rsidR="00FB7F76" w:rsidRPr="001E403F">
                <w:rPr>
                  <w:rStyle w:val="Hyperlink"/>
                </w:rPr>
                <w:t>23</w:t>
              </w:r>
            </w:hyperlink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8</w:t>
            </w:r>
          </w:p>
        </w:tc>
        <w:tc>
          <w:tcPr>
            <w:tcW w:w="6782" w:type="dxa"/>
          </w:tcPr>
          <w:p w:rsidR="002B0596" w:rsidRPr="004224D6" w:rsidRDefault="002B059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 xml:space="preserve">Planification stratégique, financière et opérationnelle </w:t>
            </w:r>
          </w:p>
        </w:tc>
        <w:tc>
          <w:tcPr>
            <w:tcW w:w="2552" w:type="dxa"/>
          </w:tcPr>
          <w:p w:rsidR="002B0596" w:rsidRDefault="002B0596" w:rsidP="005E2297">
            <w:pPr>
              <w:jc w:val="center"/>
            </w:pPr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FB7F76">
            <w:pPr>
              <w:spacing w:before="40" w:after="40"/>
              <w:ind w:left="794" w:hanging="794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8.1</w:t>
            </w:r>
            <w:r w:rsidRPr="004224D6">
              <w:rPr>
                <w:szCs w:val="24"/>
                <w:lang w:val="fr-CH"/>
              </w:rPr>
              <w:tab/>
              <w:t>Rapport d</w:t>
            </w:r>
            <w:r>
              <w:rPr>
                <w:szCs w:val="24"/>
                <w:lang w:val="fr-CH"/>
              </w:rPr>
              <w:t>'</w:t>
            </w:r>
            <w:r w:rsidR="00FB7F76">
              <w:rPr>
                <w:szCs w:val="24"/>
                <w:lang w:val="fr-CH"/>
              </w:rPr>
              <w:t>activité pour 2010 (compris numéro 160CA de la Convention</w:t>
            </w:r>
          </w:p>
        </w:tc>
        <w:tc>
          <w:tcPr>
            <w:tcW w:w="2552" w:type="dxa"/>
          </w:tcPr>
          <w:p w:rsidR="002B0596" w:rsidRPr="00B158E5" w:rsidRDefault="001F402B" w:rsidP="002B0596">
            <w:pPr>
              <w:jc w:val="center"/>
            </w:pPr>
            <w:hyperlink r:id="rId48" w:history="1">
              <w:r w:rsidR="00FB7F76" w:rsidRPr="00404B92">
                <w:rPr>
                  <w:rStyle w:val="Hyperlink"/>
                </w:rPr>
                <w:t>1R1</w:t>
              </w:r>
            </w:hyperlink>
            <w:r w:rsidR="00FB7F76">
              <w:t xml:space="preserve"> (§ 7)</w:t>
            </w:r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1F402B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1F402B" w:rsidP="001F402B">
            <w:pPr>
              <w:spacing w:before="40" w:after="40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8.2</w:t>
            </w:r>
            <w:r w:rsidR="002B0596" w:rsidRPr="004224D6">
              <w:rPr>
                <w:szCs w:val="24"/>
                <w:lang w:val="fr-CH"/>
              </w:rPr>
              <w:tab/>
              <w:t>Projet de Plan opérationnel pour la période 2012-2015</w:t>
            </w:r>
          </w:p>
        </w:tc>
        <w:tc>
          <w:tcPr>
            <w:tcW w:w="2552" w:type="dxa"/>
          </w:tcPr>
          <w:p w:rsidR="002B0596" w:rsidRPr="00B158E5" w:rsidRDefault="001F402B" w:rsidP="001F402B">
            <w:pPr>
              <w:spacing w:before="40" w:after="40"/>
              <w:jc w:val="center"/>
            </w:pPr>
            <w:hyperlink r:id="rId49" w:history="1">
              <w:r w:rsidR="00FB7F76" w:rsidRPr="00404B92">
                <w:rPr>
                  <w:rStyle w:val="Hyperlink"/>
                </w:rPr>
                <w:t>1R1</w:t>
              </w:r>
            </w:hyperlink>
            <w:r w:rsidR="00FB7F76">
              <w:t xml:space="preserve"> (§ 7), </w:t>
            </w:r>
            <w:hyperlink r:id="rId50" w:history="1">
              <w:r w:rsidR="00FB7F76" w:rsidRPr="001E403F">
                <w:rPr>
                  <w:rStyle w:val="Hyperlink"/>
                </w:rPr>
                <w:t>15</w:t>
              </w:r>
            </w:hyperlink>
            <w:r w:rsidR="00FB7F76">
              <w:t xml:space="preserve"> (§ 4)</w:t>
            </w:r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2B0596" w:rsidRPr="004224D6" w:rsidRDefault="002B0596" w:rsidP="002B0596">
            <w:pPr>
              <w:spacing w:before="40"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8.3</w:t>
            </w:r>
            <w:r w:rsidRPr="004224D6">
              <w:rPr>
                <w:szCs w:val="24"/>
                <w:lang w:val="fr-CH"/>
              </w:rPr>
              <w:tab/>
              <w:t>Plan stratégique</w:t>
            </w:r>
          </w:p>
        </w:tc>
        <w:tc>
          <w:tcPr>
            <w:tcW w:w="2552" w:type="dxa"/>
          </w:tcPr>
          <w:p w:rsidR="002B0596" w:rsidRPr="00B158E5" w:rsidRDefault="001F402B" w:rsidP="002B0596">
            <w:pPr>
              <w:spacing w:before="40" w:after="40"/>
              <w:jc w:val="center"/>
            </w:pPr>
            <w:hyperlink r:id="rId51" w:history="1">
              <w:r w:rsidR="00FB7F76" w:rsidRPr="001E403F">
                <w:rPr>
                  <w:rStyle w:val="Hyperlink"/>
                </w:rPr>
                <w:t>1R1</w:t>
              </w:r>
            </w:hyperlink>
            <w:r w:rsidR="00FB7F76">
              <w:t xml:space="preserve"> (§ 3.1), </w:t>
            </w:r>
            <w:hyperlink r:id="rId52" w:history="1">
              <w:r w:rsidR="00FB7F76" w:rsidRPr="001E403F">
                <w:rPr>
                  <w:rStyle w:val="Hyperlink"/>
                </w:rPr>
                <w:t>7</w:t>
              </w:r>
            </w:hyperlink>
          </w:p>
        </w:tc>
      </w:tr>
      <w:tr w:rsidR="002B0596" w:rsidRPr="004224D6" w:rsidTr="00FB7F76">
        <w:tc>
          <w:tcPr>
            <w:tcW w:w="697" w:type="dxa"/>
          </w:tcPr>
          <w:p w:rsidR="002B0596" w:rsidRPr="004224D6" w:rsidRDefault="002B0596" w:rsidP="005E2297">
            <w:pPr>
              <w:spacing w:after="40"/>
              <w:rPr>
                <w:szCs w:val="24"/>
                <w:highlight w:val="yellow"/>
                <w:lang w:val="fr-CH"/>
              </w:rPr>
            </w:pPr>
            <w:r w:rsidRPr="004224D6">
              <w:rPr>
                <w:szCs w:val="24"/>
                <w:lang w:val="fr-CH"/>
              </w:rPr>
              <w:t>9</w:t>
            </w:r>
          </w:p>
        </w:tc>
        <w:tc>
          <w:tcPr>
            <w:tcW w:w="6782" w:type="dxa"/>
          </w:tcPr>
          <w:p w:rsidR="002B0596" w:rsidRPr="004224D6" w:rsidRDefault="002B059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Séminaires et ateliers</w:t>
            </w:r>
          </w:p>
        </w:tc>
        <w:tc>
          <w:tcPr>
            <w:tcW w:w="2552" w:type="dxa"/>
          </w:tcPr>
          <w:p w:rsidR="002B0596" w:rsidRDefault="001F402B" w:rsidP="005E2297">
            <w:pPr>
              <w:jc w:val="center"/>
            </w:pPr>
            <w:hyperlink r:id="rId53" w:history="1">
              <w:r w:rsidR="00FB7F76" w:rsidRPr="00404B92">
                <w:rPr>
                  <w:rStyle w:val="Hyperlink"/>
                </w:rPr>
                <w:t>1R1</w:t>
              </w:r>
            </w:hyperlink>
            <w:r w:rsidR="00FB7F76">
              <w:t xml:space="preserve"> (§ 8)</w:t>
            </w: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10</w:t>
            </w:r>
          </w:p>
        </w:tc>
        <w:tc>
          <w:tcPr>
            <w:tcW w:w="6782" w:type="dxa"/>
          </w:tcPr>
          <w:p w:rsidR="004224D6" w:rsidRPr="004224D6" w:rsidRDefault="00FB7F76" w:rsidP="005E2297">
            <w:pPr>
              <w:spacing w:after="40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Examen du résumé des conclusions</w:t>
            </w:r>
          </w:p>
        </w:tc>
        <w:tc>
          <w:tcPr>
            <w:tcW w:w="2552" w:type="dxa"/>
          </w:tcPr>
          <w:p w:rsidR="004224D6" w:rsidRPr="004224D6" w:rsidRDefault="004224D6" w:rsidP="005E2297">
            <w:pPr>
              <w:spacing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11</w:t>
            </w:r>
          </w:p>
        </w:tc>
        <w:tc>
          <w:tcPr>
            <w:tcW w:w="6782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Date de la ou des prochaine(s) réunion(s)</w:t>
            </w:r>
          </w:p>
        </w:tc>
        <w:tc>
          <w:tcPr>
            <w:tcW w:w="2552" w:type="dxa"/>
          </w:tcPr>
          <w:p w:rsidR="004224D6" w:rsidRPr="004224D6" w:rsidRDefault="004224D6" w:rsidP="005E2297">
            <w:pPr>
              <w:spacing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12</w:t>
            </w:r>
          </w:p>
        </w:tc>
        <w:tc>
          <w:tcPr>
            <w:tcW w:w="6782" w:type="dxa"/>
          </w:tcPr>
          <w:p w:rsidR="004224D6" w:rsidRPr="004224D6" w:rsidRDefault="004224D6" w:rsidP="005E2297">
            <w:pPr>
              <w:spacing w:after="40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Divers</w:t>
            </w:r>
          </w:p>
        </w:tc>
        <w:tc>
          <w:tcPr>
            <w:tcW w:w="2552" w:type="dxa"/>
          </w:tcPr>
          <w:p w:rsidR="004224D6" w:rsidRPr="004224D6" w:rsidRDefault="004224D6" w:rsidP="005E2297">
            <w:pPr>
              <w:spacing w:after="40"/>
              <w:jc w:val="center"/>
              <w:rPr>
                <w:szCs w:val="24"/>
                <w:lang w:val="fr-CH"/>
              </w:rPr>
            </w:pPr>
          </w:p>
        </w:tc>
      </w:tr>
      <w:tr w:rsidR="004224D6" w:rsidRPr="004224D6" w:rsidTr="00FB7F76">
        <w:tc>
          <w:tcPr>
            <w:tcW w:w="697" w:type="dxa"/>
          </w:tcPr>
          <w:p w:rsidR="004224D6" w:rsidRPr="004224D6" w:rsidRDefault="004224D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4224D6" w:rsidRPr="004224D6" w:rsidRDefault="00320E2B" w:rsidP="004224D6">
            <w:pPr>
              <w:spacing w:before="40" w:after="40"/>
              <w:rPr>
                <w:szCs w:val="24"/>
                <w:lang w:val="fr-CH"/>
              </w:rPr>
            </w:pPr>
            <w:r w:rsidRPr="00320E2B">
              <w:rPr>
                <w:szCs w:val="24"/>
                <w:lang w:val="fr-CH"/>
              </w:rPr>
              <w:t>–</w:t>
            </w:r>
            <w:r w:rsidR="004224D6" w:rsidRPr="004224D6">
              <w:rPr>
                <w:szCs w:val="24"/>
                <w:lang w:val="fr-CH"/>
              </w:rPr>
              <w:tab/>
              <w:t>Statistiques sur la participation des Membres du Secteur</w:t>
            </w:r>
          </w:p>
        </w:tc>
        <w:tc>
          <w:tcPr>
            <w:tcW w:w="2552" w:type="dxa"/>
          </w:tcPr>
          <w:p w:rsidR="004224D6" w:rsidRPr="004224D6" w:rsidRDefault="001F402B" w:rsidP="002B0596">
            <w:pPr>
              <w:spacing w:before="40" w:after="40"/>
              <w:jc w:val="center"/>
              <w:rPr>
                <w:szCs w:val="24"/>
                <w:lang w:val="fr-CH"/>
              </w:rPr>
            </w:pPr>
            <w:hyperlink r:id="rId54" w:history="1">
              <w:r w:rsidR="002B0596" w:rsidRPr="002B0596">
                <w:rPr>
                  <w:rStyle w:val="Hyperlink"/>
                </w:rPr>
                <w:t>1</w:t>
              </w:r>
            </w:hyperlink>
            <w:r w:rsidR="002B0596">
              <w:t xml:space="preserve"> (Add.2(R1))</w:t>
            </w:r>
          </w:p>
        </w:tc>
      </w:tr>
      <w:tr w:rsidR="00FB7F76" w:rsidRPr="004224D6" w:rsidTr="00FB7F76">
        <w:tc>
          <w:tcPr>
            <w:tcW w:w="697" w:type="dxa"/>
          </w:tcPr>
          <w:p w:rsidR="00FB7F76" w:rsidRPr="004224D6" w:rsidRDefault="00FB7F76" w:rsidP="004224D6">
            <w:pPr>
              <w:spacing w:before="40" w:after="40"/>
              <w:rPr>
                <w:szCs w:val="24"/>
                <w:lang w:val="fr-CH"/>
              </w:rPr>
            </w:pPr>
          </w:p>
        </w:tc>
        <w:tc>
          <w:tcPr>
            <w:tcW w:w="6782" w:type="dxa"/>
          </w:tcPr>
          <w:p w:rsidR="00FB7F76" w:rsidRPr="00320E2B" w:rsidRDefault="00FB7F76" w:rsidP="00FB7F76">
            <w:pPr>
              <w:spacing w:before="40" w:after="40"/>
              <w:ind w:left="794" w:hanging="794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ab/>
            </w:r>
            <w:r>
              <w:t>UNIDROIT (Institut international pour l'unification du droit privé)</w:t>
            </w:r>
          </w:p>
        </w:tc>
        <w:tc>
          <w:tcPr>
            <w:tcW w:w="2552" w:type="dxa"/>
          </w:tcPr>
          <w:p w:rsidR="00FB7F76" w:rsidRDefault="00FB7F76" w:rsidP="002B0596">
            <w:pPr>
              <w:spacing w:before="40" w:after="40"/>
              <w:jc w:val="center"/>
            </w:pPr>
          </w:p>
        </w:tc>
      </w:tr>
    </w:tbl>
    <w:p w:rsidR="004224D6" w:rsidRPr="004224D6" w:rsidRDefault="004224D6" w:rsidP="00C23F56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680"/>
        <w:rPr>
          <w:szCs w:val="24"/>
          <w:lang w:val="fr-CH"/>
        </w:rPr>
      </w:pPr>
      <w:r w:rsidRPr="004224D6">
        <w:rPr>
          <w:szCs w:val="24"/>
          <w:lang w:val="fr-CH"/>
        </w:rPr>
        <w:tab/>
        <w:t>J.</w:t>
      </w:r>
      <w:r w:rsidR="00320E2B">
        <w:rPr>
          <w:szCs w:val="24"/>
          <w:lang w:val="fr-CH"/>
        </w:rPr>
        <w:t>-</w:t>
      </w:r>
      <w:r w:rsidRPr="004224D6">
        <w:rPr>
          <w:szCs w:val="24"/>
          <w:lang w:val="fr-CH"/>
        </w:rPr>
        <w:t>B. YAO KOUAKOU</w:t>
      </w:r>
      <w:r w:rsidRPr="004224D6">
        <w:rPr>
          <w:szCs w:val="24"/>
          <w:lang w:val="fr-CH"/>
        </w:rPr>
        <w:br/>
      </w:r>
      <w:r w:rsidRPr="004224D6">
        <w:rPr>
          <w:szCs w:val="24"/>
          <w:lang w:val="fr-CH"/>
        </w:rPr>
        <w:tab/>
        <w:t xml:space="preserve">Président du Groupe consultatif </w:t>
      </w:r>
      <w:r w:rsidR="00320E2B">
        <w:rPr>
          <w:szCs w:val="24"/>
          <w:lang w:val="fr-CH"/>
        </w:rPr>
        <w:br/>
      </w:r>
      <w:r w:rsidR="00320E2B">
        <w:rPr>
          <w:szCs w:val="24"/>
          <w:lang w:val="fr-CH"/>
        </w:rPr>
        <w:tab/>
      </w:r>
      <w:r w:rsidRPr="004224D6">
        <w:rPr>
          <w:szCs w:val="24"/>
          <w:lang w:val="fr-CH"/>
        </w:rPr>
        <w:t>des radiocommunications</w:t>
      </w:r>
      <w:bookmarkStart w:id="5" w:name="_GoBack"/>
      <w:bookmarkEnd w:id="5"/>
    </w:p>
    <w:sectPr w:rsidR="004224D6" w:rsidRPr="004224D6" w:rsidSect="004224D6">
      <w:headerReference w:type="even" r:id="rId55"/>
      <w:headerReference w:type="default" r:id="rId56"/>
      <w:footerReference w:type="even" r:id="rId57"/>
      <w:footerReference w:type="default" r:id="rId58"/>
      <w:footerReference w:type="first" r:id="rId59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96" w:rsidRDefault="002B0596">
      <w:r>
        <w:separator/>
      </w:r>
    </w:p>
  </w:endnote>
  <w:endnote w:type="continuationSeparator" w:id="0">
    <w:p w:rsidR="002B0596" w:rsidRDefault="002B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96" w:rsidRDefault="002B0596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F402B">
      <w:rPr>
        <w:lang w:val="en-US"/>
      </w:rPr>
      <w:t>P:\FRA\ITU-R\AG\RAG11\RAG-1\ADM\001REV1F.docx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402B">
      <w:t>08.06.11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402B">
      <w:t>08.06.11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96" w:rsidRDefault="002B0596" w:rsidP="005F72E7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F402B">
      <w:rPr>
        <w:lang w:val="en-US"/>
      </w:rPr>
      <w:t>P:\FRA\ITU-R\AG\RAG11\RAG-1\ADM\001REV1F.docx</w:t>
    </w:r>
    <w:r>
      <w:rPr>
        <w:lang w:val="en-US"/>
      </w:rPr>
      <w:fldChar w:fldCharType="end"/>
    </w:r>
    <w:r>
      <w:rPr>
        <w:lang w:val="en-US"/>
      </w:rPr>
      <w:t xml:space="preserve"> (309</w:t>
    </w:r>
    <w:r w:rsidR="005F72E7">
      <w:rPr>
        <w:lang w:val="en-US"/>
      </w:rPr>
      <w:t>362</w:t>
    </w:r>
    <w:r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402B">
      <w:t>08.06.11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402B">
      <w:t>08.06.11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E7" w:rsidRDefault="005F72E7" w:rsidP="005F72E7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F402B">
      <w:rPr>
        <w:lang w:val="en-US"/>
      </w:rPr>
      <w:t>P:\FRA\ITU-R\AG\RAG11\RAG-1\ADM\001REV1F.docx</w:t>
    </w:r>
    <w:r>
      <w:rPr>
        <w:lang w:val="en-US"/>
      </w:rPr>
      <w:fldChar w:fldCharType="end"/>
    </w:r>
    <w:r>
      <w:rPr>
        <w:lang w:val="en-US"/>
      </w:rPr>
      <w:t xml:space="preserve"> (309362)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402B">
      <w:t>08.06.11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402B">
      <w:t>08.06.11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96" w:rsidRDefault="002B0596">
      <w:r>
        <w:t>____________________</w:t>
      </w:r>
    </w:p>
  </w:footnote>
  <w:footnote w:type="continuationSeparator" w:id="0">
    <w:p w:rsidR="002B0596" w:rsidRDefault="002B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96" w:rsidRDefault="002B0596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F402B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96" w:rsidRDefault="002B0596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F402B">
      <w:rPr>
        <w:noProof/>
      </w:rPr>
      <w:t>2</w:t>
    </w:r>
    <w:r>
      <w:rPr>
        <w:noProof/>
      </w:rPr>
      <w:fldChar w:fldCharType="end"/>
    </w:r>
  </w:p>
  <w:p w:rsidR="002B0596" w:rsidRDefault="002B0596" w:rsidP="00435318">
    <w:pPr>
      <w:pStyle w:val="Header"/>
      <w:rPr>
        <w:lang w:val="es-ES"/>
      </w:rPr>
    </w:pPr>
    <w:r>
      <w:rPr>
        <w:lang w:val="es-ES"/>
      </w:rPr>
      <w:t>RAG11-1/ADM/1</w:t>
    </w:r>
    <w:r w:rsidR="005F72E7">
      <w:rPr>
        <w:lang w:val="es-ES"/>
      </w:rPr>
      <w:t>(Rév.1)</w:t>
    </w:r>
    <w:r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607F4"/>
    <w:multiLevelType w:val="hybridMultilevel"/>
    <w:tmpl w:val="DBAC0C68"/>
    <w:lvl w:ilvl="0" w:tplc="2C5E6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D6"/>
    <w:rsid w:val="000A2F61"/>
    <w:rsid w:val="00140AE6"/>
    <w:rsid w:val="001F402B"/>
    <w:rsid w:val="002B0596"/>
    <w:rsid w:val="002D238A"/>
    <w:rsid w:val="00320E2B"/>
    <w:rsid w:val="00386BBB"/>
    <w:rsid w:val="004224D6"/>
    <w:rsid w:val="00435318"/>
    <w:rsid w:val="00477C3D"/>
    <w:rsid w:val="005047DF"/>
    <w:rsid w:val="005430E4"/>
    <w:rsid w:val="005521BB"/>
    <w:rsid w:val="00597F40"/>
    <w:rsid w:val="005E2297"/>
    <w:rsid w:val="005F72E7"/>
    <w:rsid w:val="00616586"/>
    <w:rsid w:val="0063014D"/>
    <w:rsid w:val="0067019B"/>
    <w:rsid w:val="00773E5E"/>
    <w:rsid w:val="00824C49"/>
    <w:rsid w:val="00847AAC"/>
    <w:rsid w:val="00925627"/>
    <w:rsid w:val="0093101F"/>
    <w:rsid w:val="009515FB"/>
    <w:rsid w:val="0097156E"/>
    <w:rsid w:val="00A26DB1"/>
    <w:rsid w:val="00A9055C"/>
    <w:rsid w:val="00AB7F92"/>
    <w:rsid w:val="00C23F56"/>
    <w:rsid w:val="00CC5B9E"/>
    <w:rsid w:val="00CC7208"/>
    <w:rsid w:val="00D228F7"/>
    <w:rsid w:val="00D4297C"/>
    <w:rsid w:val="00E149CD"/>
    <w:rsid w:val="00F67952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sid w:val="004224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4D6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224D6"/>
    <w:rPr>
      <w:rFonts w:ascii="Times New Roman" w:hAnsi="Times New Roman"/>
      <w:lang w:val="en-GB" w:eastAsia="en-US"/>
    </w:rPr>
  </w:style>
  <w:style w:type="character" w:styleId="Hyperlink">
    <w:name w:val="Hyperlink"/>
    <w:basedOn w:val="DefaultParagraphFont"/>
    <w:unhideWhenUsed/>
    <w:rsid w:val="00422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sid w:val="004224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4D6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224D6"/>
    <w:rPr>
      <w:rFonts w:ascii="Times New Roman" w:hAnsi="Times New Roman"/>
      <w:lang w:val="en-GB" w:eastAsia="en-US"/>
    </w:rPr>
  </w:style>
  <w:style w:type="character" w:styleId="Hyperlink">
    <w:name w:val="Hyperlink"/>
    <w:basedOn w:val="DefaultParagraphFont"/>
    <w:unhideWhenUsed/>
    <w:rsid w:val="00422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1-RAG2011-C-0001/en" TargetMode="External"/><Relationship Id="rId18" Type="http://schemas.openxmlformats.org/officeDocument/2006/relationships/hyperlink" Target="http://www.itu.int/md/R11-RAG2011-C-0006/en" TargetMode="External"/><Relationship Id="rId26" Type="http://schemas.openxmlformats.org/officeDocument/2006/relationships/hyperlink" Target="http://www.itu.int/md/R11-RAG2011-C-0015/en" TargetMode="External"/><Relationship Id="rId39" Type="http://schemas.openxmlformats.org/officeDocument/2006/relationships/hyperlink" Target="http://www.itu.int/md/R11-RAG2011-C-0016/en" TargetMode="External"/><Relationship Id="rId21" Type="http://schemas.openxmlformats.org/officeDocument/2006/relationships/hyperlink" Target="http://www.itu.int/md/R11-RAG2011-C-0019/en" TargetMode="External"/><Relationship Id="rId34" Type="http://schemas.openxmlformats.org/officeDocument/2006/relationships/hyperlink" Target="http://www.itu.int/md/R11-RAG2011-C-0004/en" TargetMode="External"/><Relationship Id="rId42" Type="http://schemas.openxmlformats.org/officeDocument/2006/relationships/hyperlink" Target="http://www.itu.int/md/R11-RAG2011-C-0013/en" TargetMode="External"/><Relationship Id="rId47" Type="http://schemas.openxmlformats.org/officeDocument/2006/relationships/hyperlink" Target="http://www.itu.int/md/R11-RAG2011-C-0023/en" TargetMode="External"/><Relationship Id="rId50" Type="http://schemas.openxmlformats.org/officeDocument/2006/relationships/hyperlink" Target="http://www.itu.int/md/R11-RAG2011-C-0015/en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md/R11-RAG2011-C-0001/en" TargetMode="External"/><Relationship Id="rId20" Type="http://schemas.openxmlformats.org/officeDocument/2006/relationships/hyperlink" Target="http://www.itu.int/md/R11-RAG2011-C-0017/en" TargetMode="External"/><Relationship Id="rId29" Type="http://schemas.openxmlformats.org/officeDocument/2006/relationships/hyperlink" Target="http://www.itu.int/md/R11-RAG2011-C-0001/en" TargetMode="External"/><Relationship Id="rId41" Type="http://schemas.openxmlformats.org/officeDocument/2006/relationships/hyperlink" Target="http://www.itu.int/md/R11-RAG2011-C-0012/en" TargetMode="External"/><Relationship Id="rId54" Type="http://schemas.openxmlformats.org/officeDocument/2006/relationships/hyperlink" Target="http://www.itu.int/md/R11-RAG2011-C-0001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1-RAG2011-C-0001/en" TargetMode="External"/><Relationship Id="rId24" Type="http://schemas.openxmlformats.org/officeDocument/2006/relationships/hyperlink" Target="http://www.itu.int/md/R11-RAG2011-C-0022/en" TargetMode="External"/><Relationship Id="rId32" Type="http://schemas.openxmlformats.org/officeDocument/2006/relationships/hyperlink" Target="http://www.itu.int/md/R11-RAG2011-C-0024/en" TargetMode="External"/><Relationship Id="rId37" Type="http://schemas.openxmlformats.org/officeDocument/2006/relationships/hyperlink" Target="http://www.itu.int/md/R11-RAG2011-C-0009/en" TargetMode="External"/><Relationship Id="rId40" Type="http://schemas.openxmlformats.org/officeDocument/2006/relationships/hyperlink" Target="http://www.itu.int/md/R11-RAG2011-C-0002/en" TargetMode="External"/><Relationship Id="rId45" Type="http://schemas.openxmlformats.org/officeDocument/2006/relationships/hyperlink" Target="http://www.itu.int/md/R11-RAG2011-C-0001/en" TargetMode="External"/><Relationship Id="rId53" Type="http://schemas.openxmlformats.org/officeDocument/2006/relationships/hyperlink" Target="http://www.itu.int/md/R11-RAG2011-C-0001/en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1-RAG2011-C-0015/en" TargetMode="External"/><Relationship Id="rId23" Type="http://schemas.openxmlformats.org/officeDocument/2006/relationships/hyperlink" Target="http://www.itu.int/md/R11-RAG2011-C-0021/en" TargetMode="External"/><Relationship Id="rId28" Type="http://schemas.openxmlformats.org/officeDocument/2006/relationships/hyperlink" Target="http://www.itu.int/md/R11-RAG2011-C-0014/en" TargetMode="External"/><Relationship Id="rId36" Type="http://schemas.openxmlformats.org/officeDocument/2006/relationships/hyperlink" Target="http://www.itu.int/md/R11-RAG2011-C-0001/en" TargetMode="External"/><Relationship Id="rId49" Type="http://schemas.openxmlformats.org/officeDocument/2006/relationships/hyperlink" Target="http://www.itu.int/md/R11-RAG2011-C-0001/en" TargetMode="External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hyperlink" Target="http://www.itu.int/md/R11-RAG2011-C-0015/en" TargetMode="External"/><Relationship Id="rId19" Type="http://schemas.openxmlformats.org/officeDocument/2006/relationships/hyperlink" Target="http://www.itu.int/md/R11-RAG2011-C-0015/en" TargetMode="External"/><Relationship Id="rId31" Type="http://schemas.openxmlformats.org/officeDocument/2006/relationships/hyperlink" Target="http://www.itu.int/md/R11-RAG2011-C-0020/en" TargetMode="External"/><Relationship Id="rId44" Type="http://schemas.openxmlformats.org/officeDocument/2006/relationships/hyperlink" Target="http://www.itu.int/md/R11-RAG2011-C-0001/en" TargetMode="External"/><Relationship Id="rId52" Type="http://schemas.openxmlformats.org/officeDocument/2006/relationships/hyperlink" Target="http://www.itu.int/md/R11-RAG2011-C-0007/en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11-RAG2011-C-0001/en" TargetMode="External"/><Relationship Id="rId14" Type="http://schemas.openxmlformats.org/officeDocument/2006/relationships/hyperlink" Target="http://www.itu.int/md/R11-RAG2011-C-0008/en" TargetMode="External"/><Relationship Id="rId22" Type="http://schemas.openxmlformats.org/officeDocument/2006/relationships/hyperlink" Target="http://www.itu.int/md/R11-RAG2011-C-0001/en" TargetMode="External"/><Relationship Id="rId27" Type="http://schemas.openxmlformats.org/officeDocument/2006/relationships/hyperlink" Target="http://www.itu.int/md/R11-RAG2011-C-0018/en" TargetMode="External"/><Relationship Id="rId30" Type="http://schemas.openxmlformats.org/officeDocument/2006/relationships/hyperlink" Target="http://www.itu.int/md/R11-RAG2011-C-0015/en" TargetMode="External"/><Relationship Id="rId35" Type="http://schemas.openxmlformats.org/officeDocument/2006/relationships/hyperlink" Target="http://www.itu.int/md/R11-RAG2011-C-0010/en" TargetMode="External"/><Relationship Id="rId43" Type="http://schemas.openxmlformats.org/officeDocument/2006/relationships/hyperlink" Target="http://www.itu.int/md/R11-RAG2011-C-0011/en" TargetMode="External"/><Relationship Id="rId48" Type="http://schemas.openxmlformats.org/officeDocument/2006/relationships/hyperlink" Target="http://www.itu.int/md/R11-RAG2011-C-0001/en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http://www.itu.int/md/R11-RAG2011-C-0001/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tu.int/md/R11-RAG2011-C-0015/en" TargetMode="External"/><Relationship Id="rId17" Type="http://schemas.openxmlformats.org/officeDocument/2006/relationships/hyperlink" Target="http://www.itu.int/md/R11-RAG2011-C-0003/en" TargetMode="External"/><Relationship Id="rId25" Type="http://schemas.openxmlformats.org/officeDocument/2006/relationships/hyperlink" Target="http://www.itu.int/md/R11-RAG2011-C-0005/en" TargetMode="External"/><Relationship Id="rId33" Type="http://schemas.openxmlformats.org/officeDocument/2006/relationships/hyperlink" Target="http://www.itu.int/md/R11-RAG2011-C-0001/en" TargetMode="External"/><Relationship Id="rId38" Type="http://schemas.openxmlformats.org/officeDocument/2006/relationships/hyperlink" Target="http://www.itu.int/md/R11-RAG2011-C-0015/en" TargetMode="External"/><Relationship Id="rId46" Type="http://schemas.openxmlformats.org/officeDocument/2006/relationships/hyperlink" Target="http://www.itu.int/md/R11-RAG2011-C-0001/en" TargetMode="External"/><Relationship Id="rId5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PF_RAG11.dotm</Template>
  <TotalTime>30</TotalTime>
  <Pages>2</Pages>
  <Words>367</Words>
  <Characters>1856</Characters>
  <Application>Microsoft Office Word</Application>
  <DocSecurity>0</DocSecurity>
  <Lines>136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DIX-HUITIÈME RÉUNION DU GROUPE CONSULTATIF DES RADIOCOMMUNICATIONS</vt:lpstr>
    </vt:vector>
  </TitlesOfParts>
  <Manager>General Secretariat - Pool</Manager>
  <Company>International Telecommunication Union (ITU)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DIX-HUITIÈME RÉUNION DU GROUPE CONSULTATIF DES RADIOCOMMUNICATIONS</dc:title>
  <dc:subject>GROUPE CONSULTATIF DES RADIOCOMMUNICATIONS</dc:subject>
  <dc:creator>PROJET D'ORDRE DU JOUR</dc:creator>
  <cp:keywords>RAG03-1</cp:keywords>
  <dc:description>Révision 1 au Document RAG11-1/AMD/1-F  For: _x000d_Document date: 8 juin 2011_x000d_Saved by MHS107813 at 14:53:18 on 08.06.2011</dc:description>
  <cp:lastModifiedBy>Sane, Marie Henriette</cp:lastModifiedBy>
  <cp:revision>15</cp:revision>
  <cp:lastPrinted>2011-06-08T12:53:00Z</cp:lastPrinted>
  <dcterms:created xsi:type="dcterms:W3CDTF">2011-06-08T12:12:00Z</dcterms:created>
  <dcterms:modified xsi:type="dcterms:W3CDTF">2011-06-08T12:53:00Z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Révision 1 au Document RAG11-1/AMD/1-F</vt:lpwstr>
  </property>
  <property fmtid="{D5CDD505-2E9C-101B-9397-08002B2CF9AE}" pid="3" name="Docdate">
    <vt:lpwstr>8 juin 2011</vt:lpwstr>
  </property>
  <property fmtid="{D5CDD505-2E9C-101B-9397-08002B2CF9AE}" pid="4" name="Docorlang">
    <vt:lpwstr>Original: anglais</vt:lpwstr>
  </property>
  <property fmtid="{D5CDD505-2E9C-101B-9397-08002B2CF9AE}" pid="5" name="Docauthor">
    <vt:lpwstr>PROJET D'ORDRE DU JOUR</vt:lpwstr>
  </property>
</Properties>
</file>