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44539B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>
              <w:rPr>
                <w:rFonts w:ascii="Times" w:hAnsi="Times"/>
                <w:noProof/>
                <w:lang w:val="en-US" w:eastAsia="zh-CN"/>
              </w:rPr>
              <w:drawing>
                <wp:inline distT="0" distB="0" distL="0" distR="0">
                  <wp:extent cx="1843405" cy="760730"/>
                  <wp:effectExtent l="0" t="0" r="444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E14EB" w:rsidRPr="003E48A8" w:rsidRDefault="0062163C" w:rsidP="00FE297B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FE297B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10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-</w:t>
            </w:r>
            <w:r w:rsidR="00FE297B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8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FE297B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يونيو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</w:t>
            </w:r>
            <w:r w:rsidR="00FE297B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1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6E743A" w:rsidP="006E743A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 xml:space="preserve">المراجعة </w:t>
            </w:r>
            <w:r>
              <w:rPr>
                <w:rFonts w:ascii="Verdana" w:hAnsi="Verdana"/>
                <w:sz w:val="18"/>
                <w:lang w:val="en-US" w:bidi="ar-EG"/>
              </w:rPr>
              <w:t>1</w:t>
            </w:r>
            <w:r>
              <w:rPr>
                <w:rFonts w:ascii="Verdana" w:hAnsi="Verdana"/>
                <w:sz w:val="18"/>
                <w:rtl/>
                <w:lang w:val="en-US" w:bidi="ar-EG"/>
              </w:rPr>
              <w:br/>
            </w:r>
            <w:r>
              <w:rPr>
                <w:rFonts w:ascii="Verdana" w:hAnsi="Verdana" w:hint="cs"/>
                <w:sz w:val="18"/>
                <w:rtl/>
                <w:lang w:val="en-US" w:bidi="ar-EG"/>
              </w:rPr>
              <w:t>ل</w:t>
            </w:r>
            <w:r w:rsidR="002C0BC5">
              <w:rPr>
                <w:rFonts w:ascii="Verdana" w:hAnsi="Verdana" w:hint="cs"/>
                <w:sz w:val="18"/>
                <w:rtl/>
                <w:lang w:val="en-US" w:bidi="ar-EG"/>
              </w:rPr>
              <w:t>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 w:rsidR="002C0BC5">
              <w:rPr>
                <w:rFonts w:ascii="Verdana" w:hAnsi="Verdana"/>
                <w:sz w:val="18"/>
              </w:rPr>
              <w:t>1</w:t>
            </w:r>
            <w:r w:rsidR="00FE297B">
              <w:rPr>
                <w:rFonts w:ascii="Verdana" w:hAnsi="Verdana"/>
                <w:sz w:val="18"/>
              </w:rPr>
              <w:t>1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6E743A" w:rsidP="00FE297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8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FE297B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يونيو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18"/>
                <w:lang w:val="en-US" w:bidi="ar-EG"/>
              </w:rPr>
              <w:t>201</w:t>
            </w:r>
            <w:r w:rsidR="00FE297B">
              <w:rPr>
                <w:rFonts w:ascii="Verdana" w:hAnsi="Verdana"/>
                <w:b/>
                <w:bCs/>
                <w:sz w:val="18"/>
                <w:lang w:val="en-US" w:bidi="ar-EG"/>
              </w:rPr>
              <w:t>1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</w:tbl>
    <w:bookmarkEnd w:id="3"/>
    <w:p w:rsidR="00FA58C0" w:rsidRPr="00DC0E66" w:rsidRDefault="008D4A20" w:rsidP="00792AF4">
      <w:pPr>
        <w:spacing w:before="600"/>
        <w:jc w:val="center"/>
        <w:rPr>
          <w:sz w:val="40"/>
          <w:szCs w:val="40"/>
          <w:rtl/>
          <w:lang w:val="en-US"/>
        </w:rPr>
      </w:pPr>
      <w:r w:rsidRPr="00DC0E66">
        <w:rPr>
          <w:rFonts w:hint="cs"/>
          <w:sz w:val="40"/>
          <w:szCs w:val="40"/>
          <w:rtl/>
          <w:lang w:val="en-US"/>
        </w:rPr>
        <w:t>مش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Pr="00DC0E66">
        <w:rPr>
          <w:rFonts w:hint="cs"/>
          <w:sz w:val="40"/>
          <w:szCs w:val="40"/>
          <w:rtl/>
          <w:lang w:val="en-US"/>
        </w:rPr>
        <w:t>روع</w:t>
      </w:r>
      <w:r w:rsidR="00FA58C0" w:rsidRPr="00DC0E66">
        <w:rPr>
          <w:rFonts w:hint="cs"/>
          <w:sz w:val="40"/>
          <w:szCs w:val="40"/>
          <w:rtl/>
          <w:lang w:val="en-US"/>
        </w:rPr>
        <w:t xml:space="preserve"> ج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="00FA58C0" w:rsidRPr="00DC0E66">
        <w:rPr>
          <w:rFonts w:hint="cs"/>
          <w:sz w:val="40"/>
          <w:szCs w:val="40"/>
          <w:rtl/>
          <w:lang w:val="en-US"/>
        </w:rPr>
        <w:t xml:space="preserve">دول </w:t>
      </w:r>
      <w:r w:rsidR="00792AF4" w:rsidRPr="00DC0E66">
        <w:rPr>
          <w:rFonts w:hint="cs"/>
          <w:sz w:val="40"/>
          <w:szCs w:val="40"/>
          <w:rtl/>
          <w:lang w:val="en-US"/>
        </w:rPr>
        <w:t>ال</w:t>
      </w:r>
      <w:r w:rsidR="00FA58C0" w:rsidRPr="00DC0E66">
        <w:rPr>
          <w:rFonts w:hint="cs"/>
          <w:sz w:val="40"/>
          <w:szCs w:val="40"/>
          <w:rtl/>
          <w:lang w:val="en-US"/>
        </w:rPr>
        <w:t>أعم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="00FA58C0" w:rsidRPr="00DC0E66">
        <w:rPr>
          <w:rFonts w:hint="cs"/>
          <w:sz w:val="40"/>
          <w:szCs w:val="40"/>
          <w:rtl/>
          <w:lang w:val="en-US"/>
        </w:rPr>
        <w:t>ال</w:t>
      </w:r>
    </w:p>
    <w:p w:rsidR="00FA58C0" w:rsidRPr="00792AF4" w:rsidRDefault="00FA58C0" w:rsidP="00FE297B">
      <w:pPr>
        <w:spacing w:before="360"/>
        <w:jc w:val="center"/>
        <w:rPr>
          <w:rFonts w:ascii="Times New Roman Bold" w:hAnsi="Times New Roman Bold"/>
          <w:b/>
          <w:bCs/>
          <w:w w:val="110"/>
          <w:sz w:val="28"/>
          <w:szCs w:val="40"/>
          <w:rtl/>
          <w:lang w:val="en-US"/>
        </w:rPr>
      </w:pPr>
      <w:r w:rsidRPr="00792AF4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 xml:space="preserve">الاجتماع </w:t>
      </w:r>
      <w:r w:rsidR="00FE297B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>الثامن</w:t>
      </w:r>
      <w:r w:rsidRPr="00792AF4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 xml:space="preserve"> عشر للفريق الاستشاري للاتصالات الراديوية</w:t>
      </w:r>
    </w:p>
    <w:p w:rsidR="009C0B76" w:rsidRPr="009C0B76" w:rsidRDefault="00FA58C0" w:rsidP="00D935D0">
      <w:pPr>
        <w:spacing w:before="240" w:after="240"/>
        <w:jc w:val="center"/>
        <w:rPr>
          <w:w w:val="110"/>
          <w:rtl/>
          <w:lang w:val="en-US" w:bidi="ar-EG"/>
        </w:rPr>
      </w:pPr>
      <w:r w:rsidRPr="00792AF4">
        <w:rPr>
          <w:rFonts w:hint="cs"/>
          <w:w w:val="110"/>
          <w:rtl/>
          <w:lang w:val="en-US"/>
        </w:rPr>
        <w:t xml:space="preserve">جنيف، </w:t>
      </w:r>
      <w:r w:rsidR="00465296">
        <w:rPr>
          <w:w w:val="110"/>
          <w:lang w:val="en-US"/>
        </w:rPr>
        <w:t>1</w:t>
      </w:r>
      <w:r w:rsidR="00FE297B">
        <w:rPr>
          <w:w w:val="110"/>
          <w:lang w:val="en-US"/>
        </w:rPr>
        <w:t>0</w:t>
      </w:r>
      <w:r w:rsidR="00465296">
        <w:rPr>
          <w:w w:val="110"/>
          <w:lang w:val="en-US"/>
        </w:rPr>
        <w:t>-</w:t>
      </w:r>
      <w:r w:rsidR="00FE297B">
        <w:rPr>
          <w:w w:val="110"/>
          <w:lang w:val="en-US"/>
        </w:rPr>
        <w:t>8</w:t>
      </w:r>
      <w:r w:rsidRPr="00792AF4">
        <w:rPr>
          <w:rFonts w:hint="cs"/>
          <w:w w:val="110"/>
          <w:rtl/>
          <w:lang w:val="en-US"/>
        </w:rPr>
        <w:t xml:space="preserve"> </w:t>
      </w:r>
      <w:r w:rsidR="00FE297B">
        <w:rPr>
          <w:rFonts w:hint="cs"/>
          <w:w w:val="110"/>
          <w:rtl/>
          <w:lang w:val="en-US"/>
        </w:rPr>
        <w:t>يونيو</w:t>
      </w:r>
      <w:r w:rsidRPr="00792AF4">
        <w:rPr>
          <w:rFonts w:hint="cs"/>
          <w:w w:val="110"/>
          <w:rtl/>
          <w:lang w:val="en-US"/>
        </w:rPr>
        <w:t xml:space="preserve"> </w:t>
      </w:r>
      <w:r w:rsidR="00465296">
        <w:rPr>
          <w:w w:val="110"/>
          <w:lang w:val="en-US"/>
        </w:rPr>
        <w:t>201</w:t>
      </w:r>
      <w:r w:rsidR="00FE297B">
        <w:rPr>
          <w:w w:val="110"/>
          <w:lang w:val="en-US"/>
        </w:rPr>
        <w:t>1</w:t>
      </w:r>
      <w:r w:rsidR="009C0B76">
        <w:rPr>
          <w:w w:val="110"/>
          <w:rtl/>
          <w:lang w:val="fr-FR" w:bidi="ar-EG"/>
        </w:rPr>
        <w:br/>
      </w:r>
      <w:r w:rsidR="009C0B76">
        <w:rPr>
          <w:rFonts w:hint="cs"/>
          <w:w w:val="110"/>
          <w:rtl/>
          <w:lang w:val="fr-FR" w:bidi="ar-EG"/>
        </w:rPr>
        <w:t xml:space="preserve">(القاعة </w:t>
      </w:r>
      <w:r w:rsidR="00FE297B">
        <w:rPr>
          <w:w w:val="110"/>
          <w:lang w:val="en-US" w:bidi="ar-EG"/>
        </w:rPr>
        <w:t>C</w:t>
      </w:r>
      <w:r w:rsidR="009C0B76">
        <w:rPr>
          <w:rFonts w:hint="cs"/>
          <w:w w:val="110"/>
          <w:rtl/>
          <w:lang w:val="en-US" w:bidi="ar-EG"/>
        </w:rPr>
        <w:t>، مبنى البرج في مقر الاتحاد)</w:t>
      </w:r>
    </w:p>
    <w:tbl>
      <w:tblPr>
        <w:bidiVisual/>
        <w:tblW w:w="4945" w:type="pct"/>
        <w:tblLook w:val="01E0" w:firstRow="1" w:lastRow="1" w:firstColumn="1" w:lastColumn="1" w:noHBand="0" w:noVBand="0"/>
      </w:tblPr>
      <w:tblGrid>
        <w:gridCol w:w="653"/>
        <w:gridCol w:w="7269"/>
        <w:gridCol w:w="1825"/>
      </w:tblGrid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936" w:type="pct"/>
          </w:tcPr>
          <w:p w:rsidR="00FB6428" w:rsidRPr="00FB6428" w:rsidRDefault="005443B0" w:rsidP="00BE034A">
            <w:pPr>
              <w:spacing w:before="60" w:after="60" w:line="30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="00FB6428" w:rsidRPr="00FB6428">
              <w:rPr>
                <w:b/>
                <w:bCs/>
              </w:rPr>
              <w:br/>
              <w:t>RAG11-1/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1</w:t>
            </w: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ملاحظات افتتاحية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2</w:t>
            </w: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إقرار جدول الأعمال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3</w:t>
            </w:r>
          </w:p>
        </w:tc>
        <w:tc>
          <w:tcPr>
            <w:tcW w:w="3729" w:type="pct"/>
          </w:tcPr>
          <w:p w:rsidR="00FB6428" w:rsidRPr="00BE034A" w:rsidRDefault="00FB6428" w:rsidP="00BE034A">
            <w:pPr>
              <w:spacing w:before="60" w:after="60" w:line="300" w:lineRule="exact"/>
            </w:pPr>
            <w:r w:rsidRPr="00BE034A">
              <w:rPr>
                <w:rFonts w:hint="cs"/>
                <w:rtl/>
              </w:rPr>
              <w:t>مسائل ذات صلة بالمجلس ومؤتمر المندوبين المفوضين، تتعلق بالفريق الاستشاري للاتصالات الراديوية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1.3</w:t>
            </w:r>
            <w:r>
              <w:rPr>
                <w:rFonts w:hint="cs"/>
                <w:rtl/>
              </w:rPr>
              <w:tab/>
              <w:t>مسائل ذات صلة بالمجلس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9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2, Adds.1, 3, 4), </w:t>
            </w:r>
            <w:hyperlink r:id="rId10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 3)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rPr>
                <w:lang w:val="en-US"/>
              </w:rPr>
            </w:pPr>
            <w:r>
              <w:t>2.3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نتائج مؤتمر المندوبين </w:t>
            </w:r>
            <w:proofErr w:type="spellStart"/>
            <w:r>
              <w:rPr>
                <w:rFonts w:hint="cs"/>
                <w:rtl/>
                <w:lang w:bidi="ar-SY"/>
              </w:rPr>
              <w:t>الفوضين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لعام </w:t>
            </w:r>
            <w:r>
              <w:rPr>
                <w:lang w:val="en-US" w:bidi="ar-SY"/>
              </w:rPr>
              <w:t>2010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11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3) , </w:t>
            </w:r>
            <w:hyperlink r:id="rId12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 7)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1.2.3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المواعيد النهائية وإجراءات التسجيل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13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3.8), </w:t>
            </w:r>
            <w:hyperlink r:id="rId14" w:history="1">
              <w:r w:rsidR="00FB6428" w:rsidRPr="00FB6428">
                <w:rPr>
                  <w:color w:val="0000FF"/>
                  <w:u w:val="single"/>
                </w:rPr>
                <w:t>8</w:t>
              </w:r>
            </w:hyperlink>
            <w:r w:rsidR="00FB6428" w:rsidRPr="00FB6428">
              <w:t xml:space="preserve">, </w:t>
            </w:r>
            <w:hyperlink r:id="rId15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 6)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4</w:t>
            </w: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أنشطة لجان الدراسات: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1.4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أساليب عمل لجان الدراسات التابعة لقطاع الاتصالات الراديوية وأنشطتها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16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4.1, 4.2, 4.3), </w:t>
            </w:r>
            <w:hyperlink r:id="rId17" w:history="1">
              <w:r w:rsidR="00FB6428" w:rsidRPr="00FB6428">
                <w:rPr>
                  <w:color w:val="0000FF"/>
                  <w:u w:val="single"/>
                </w:rPr>
                <w:t>3</w:t>
              </w:r>
            </w:hyperlink>
            <w:r w:rsidR="00FB6428" w:rsidRPr="00FB6428">
              <w:t xml:space="preserve">, </w:t>
            </w:r>
            <w:hyperlink r:id="rId18" w:history="1">
              <w:r w:rsidR="00FB6428" w:rsidRPr="00FB6428">
                <w:rPr>
                  <w:color w:val="0000FF"/>
                  <w:u w:val="single"/>
                </w:rPr>
                <w:t>6</w:t>
              </w:r>
            </w:hyperlink>
            <w:r w:rsidR="00FB6428" w:rsidRPr="00FB6428">
              <w:t xml:space="preserve">, </w:t>
            </w:r>
            <w:hyperlink r:id="rId19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 1, 2, 9), </w:t>
            </w:r>
            <w:hyperlink r:id="rId20" w:history="1">
              <w:r w:rsidR="00FB6428" w:rsidRPr="00FB6428">
                <w:rPr>
                  <w:color w:val="0000FF"/>
                  <w:u w:val="single"/>
                </w:rPr>
                <w:t>17</w:t>
              </w:r>
            </w:hyperlink>
            <w:r w:rsidR="00FB6428" w:rsidRPr="00FB6428">
              <w:t xml:space="preserve">, </w:t>
            </w:r>
            <w:hyperlink r:id="rId21" w:history="1">
              <w:r w:rsidR="00FB6428" w:rsidRPr="00FB6428">
                <w:rPr>
                  <w:color w:val="0000FF"/>
                  <w:u w:val="single"/>
                </w:rPr>
                <w:t>19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FB6428" w:rsidP="00BE034A">
            <w:pPr>
              <w:spacing w:before="60" w:after="60" w:line="300" w:lineRule="exact"/>
              <w:ind w:left="794" w:hanging="794"/>
              <w:rPr>
                <w:rtl/>
                <w:lang w:val="en-US" w:bidi="ar-SY"/>
              </w:rPr>
            </w:pPr>
            <w:r>
              <w:t>2.</w:t>
            </w:r>
            <w:r>
              <w:rPr>
                <w:lang w:val="en-US" w:bidi="ar-SY"/>
              </w:rPr>
              <w:t>4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التعاون والاتصالات مع قطاعي تقييس الاتصالات وتنمية الاتصالات ومع </w:t>
            </w:r>
            <w:r w:rsidR="00396904">
              <w:rPr>
                <w:rFonts w:hint="cs"/>
                <w:rtl/>
                <w:lang w:val="en-US" w:bidi="ar-SY"/>
              </w:rPr>
              <w:t>المنظمات الأخرى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22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4.4), </w:t>
            </w:r>
            <w:hyperlink r:id="rId23" w:history="1">
              <w:r w:rsidR="00FB6428" w:rsidRPr="00FB6428">
                <w:rPr>
                  <w:color w:val="0000FF"/>
                  <w:u w:val="single"/>
                </w:rPr>
                <w:t>21</w:t>
              </w:r>
            </w:hyperlink>
            <w:r w:rsidR="00FB6428" w:rsidRPr="00FB6428">
              <w:t xml:space="preserve">, </w:t>
            </w:r>
            <w:hyperlink r:id="rId24" w:history="1">
              <w:r w:rsidR="00FB6428" w:rsidRPr="00FB6428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t>3</w:t>
            </w:r>
            <w:r>
              <w:rPr>
                <w:lang w:val="en-US"/>
              </w:rPr>
              <w:t>.4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>أساليب العمل الإلكترونية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25" w:history="1">
              <w:r w:rsidR="00FB6428" w:rsidRPr="00FB6428">
                <w:rPr>
                  <w:color w:val="0000FF"/>
                  <w:u w:val="single"/>
                </w:rPr>
                <w:t>5</w:t>
              </w:r>
            </w:hyperlink>
            <w:r w:rsidR="00FB6428" w:rsidRPr="00FB6428">
              <w:t xml:space="preserve">, </w:t>
            </w:r>
            <w:hyperlink r:id="rId26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 10), </w:t>
            </w:r>
            <w:hyperlink r:id="rId27" w:history="1">
              <w:r w:rsidR="00FB6428" w:rsidRPr="00FB6428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5</w:t>
            </w: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استعراض أنظمة المعلومات في مكتب الاتصالات الراديوية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28" w:history="1">
              <w:r w:rsidR="00FB6428" w:rsidRPr="00FB6428">
                <w:rPr>
                  <w:color w:val="0000FF"/>
                  <w:u w:val="single"/>
                </w:rPr>
                <w:t>14(Rev.1)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6</w:t>
            </w: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rPr>
                <w:rFonts w:hint="cs"/>
                <w:rtl/>
              </w:rPr>
              <w:t xml:space="preserve">الأعمال التحضيرية لجمعية الاتصالات الراديوية لعام </w:t>
            </w:r>
            <w:r>
              <w:rPr>
                <w:lang w:val="en-US"/>
              </w:rPr>
              <w:t>(RA-12) 2012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29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5)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t>1.6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مراجعة القرار </w:t>
            </w:r>
            <w:r>
              <w:rPr>
                <w:lang w:val="en-US" w:bidi="ar-SY"/>
              </w:rPr>
              <w:t>ITU-R 1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30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 8), </w:t>
            </w:r>
            <w:hyperlink r:id="rId31" w:history="1">
              <w:r w:rsidR="00FB6428" w:rsidRPr="00FB6428">
                <w:rPr>
                  <w:color w:val="0000FF"/>
                  <w:u w:val="single"/>
                </w:rPr>
                <w:t>20</w:t>
              </w:r>
            </w:hyperlink>
            <w:r w:rsidR="00FB6428" w:rsidRPr="00FB6428">
              <w:t xml:space="preserve">, </w:t>
            </w:r>
            <w:hyperlink r:id="rId32" w:history="1">
              <w:r w:rsidR="00FB6428" w:rsidRPr="00FB6428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2D45E1">
            <w:pPr>
              <w:keepNext/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2D45E1" w:rsidRDefault="00396904" w:rsidP="002D45E1">
            <w:pPr>
              <w:keepNext/>
              <w:spacing w:before="60" w:after="60" w:line="300" w:lineRule="exact"/>
              <w:rPr>
                <w:spacing w:val="-6"/>
                <w:rtl/>
                <w:lang w:val="en-US" w:bidi="ar-SY"/>
              </w:rPr>
            </w:pPr>
            <w:r w:rsidRPr="002D45E1">
              <w:rPr>
                <w:spacing w:val="-6"/>
              </w:rPr>
              <w:t>2</w:t>
            </w:r>
            <w:r w:rsidRPr="002D45E1">
              <w:rPr>
                <w:spacing w:val="-6"/>
                <w:lang w:val="en-US"/>
              </w:rPr>
              <w:t>.6</w:t>
            </w:r>
            <w:r w:rsidRPr="002D45E1">
              <w:rPr>
                <w:spacing w:val="-6"/>
                <w:rtl/>
                <w:lang w:val="en-US" w:bidi="ar-SY"/>
              </w:rPr>
              <w:tab/>
            </w:r>
            <w:r w:rsidRPr="002D45E1">
              <w:rPr>
                <w:rFonts w:hint="cs"/>
                <w:spacing w:val="-6"/>
                <w:rtl/>
                <w:lang w:val="en-US" w:bidi="ar-SY"/>
              </w:rPr>
              <w:t xml:space="preserve">المطابقة وقابلية التشغيل البيني للتجهيزات الراديوية - القرار </w:t>
            </w:r>
            <w:r w:rsidRPr="002D45E1">
              <w:rPr>
                <w:spacing w:val="-6"/>
                <w:lang w:val="en-US" w:bidi="ar-SY"/>
              </w:rPr>
              <w:t>177</w:t>
            </w:r>
            <w:r w:rsidRPr="002D45E1">
              <w:rPr>
                <w:rFonts w:hint="cs"/>
                <w:spacing w:val="-6"/>
                <w:rtl/>
                <w:lang w:val="en-US" w:bidi="ar-SY"/>
              </w:rPr>
              <w:t xml:space="preserve"> (</w:t>
            </w:r>
            <w:proofErr w:type="spellStart"/>
            <w:r w:rsidRPr="002D45E1">
              <w:rPr>
                <w:rFonts w:hint="cs"/>
                <w:spacing w:val="-6"/>
                <w:rtl/>
                <w:lang w:val="en-US" w:bidi="ar-SY"/>
              </w:rPr>
              <w:t>غوادالاخارا</w:t>
            </w:r>
            <w:proofErr w:type="spellEnd"/>
            <w:r w:rsidRPr="002D45E1">
              <w:rPr>
                <w:rFonts w:hint="cs"/>
                <w:spacing w:val="-6"/>
                <w:rtl/>
                <w:lang w:val="en-US" w:bidi="ar-SY"/>
              </w:rPr>
              <w:t xml:space="preserve">، </w:t>
            </w:r>
            <w:r w:rsidRPr="002D45E1">
              <w:rPr>
                <w:spacing w:val="-6"/>
                <w:lang w:val="en-US" w:bidi="ar-SY"/>
              </w:rPr>
              <w:t>2010</w:t>
            </w:r>
            <w:r w:rsidRPr="002D45E1">
              <w:rPr>
                <w:rFonts w:hint="cs"/>
                <w:spacing w:val="-6"/>
                <w:rtl/>
                <w:lang w:val="en-US" w:bidi="ar-SY"/>
              </w:rPr>
              <w:t>)</w:t>
            </w:r>
          </w:p>
        </w:tc>
        <w:tc>
          <w:tcPr>
            <w:tcW w:w="936" w:type="pct"/>
          </w:tcPr>
          <w:p w:rsidR="00FB6428" w:rsidRPr="00FB6428" w:rsidRDefault="006F27AD" w:rsidP="002D45E1">
            <w:pPr>
              <w:keepNext/>
              <w:bidi w:val="0"/>
              <w:spacing w:before="60" w:after="60" w:line="300" w:lineRule="exact"/>
              <w:jc w:val="center"/>
            </w:pPr>
            <w:hyperlink r:id="rId33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3.10),</w:t>
            </w:r>
            <w:r w:rsidR="002D45E1">
              <w:rPr>
                <w:rFonts w:hint="cs"/>
                <w:rtl/>
              </w:rPr>
              <w:br/>
            </w:r>
            <w:bookmarkStart w:id="4" w:name="_GoBack"/>
            <w:bookmarkEnd w:id="4"/>
            <w:r>
              <w:fldChar w:fldCharType="begin"/>
            </w:r>
            <w:r>
              <w:instrText xml:space="preserve"> HYPERLINK "http://www.itu.int/md/R11-RAG2011-C-0004/en" </w:instrText>
            </w:r>
            <w:r>
              <w:fldChar w:fldCharType="separate"/>
            </w:r>
            <w:r w:rsidR="00FB6428" w:rsidRPr="00FB6428">
              <w:rPr>
                <w:color w:val="0000FF"/>
                <w:u w:val="single"/>
              </w:rPr>
              <w:t>4</w:t>
            </w:r>
            <w:r>
              <w:rPr>
                <w:color w:val="0000FF"/>
                <w:u w:val="single"/>
              </w:rPr>
              <w:fldChar w:fldCharType="end"/>
            </w:r>
            <w:r w:rsidR="00FB6428" w:rsidRPr="00FB6428">
              <w:t xml:space="preserve">, </w:t>
            </w:r>
            <w:hyperlink r:id="rId34" w:history="1">
              <w:r w:rsidR="00FB6428" w:rsidRPr="00FB6428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360946" w:rsidRDefault="00FB6428" w:rsidP="00BE034A">
            <w:pPr>
              <w:spacing w:before="60" w:after="60" w:line="300" w:lineRule="exact"/>
              <w:jc w:val="left"/>
              <w:rPr>
                <w:lang w:val="en-US"/>
              </w:rPr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t>3.6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عدد نواب الرئيس - القرار </w:t>
            </w:r>
            <w:r>
              <w:rPr>
                <w:lang w:val="en-US" w:bidi="ar-SY"/>
              </w:rPr>
              <w:t>166</w:t>
            </w:r>
            <w:r>
              <w:rPr>
                <w:rFonts w:hint="cs"/>
                <w:rtl/>
                <w:lang w:val="en-US" w:bidi="ar-SY"/>
              </w:rPr>
              <w:t xml:space="preserve"> (</w:t>
            </w:r>
            <w:proofErr w:type="spellStart"/>
            <w:r>
              <w:rPr>
                <w:rFonts w:hint="cs"/>
                <w:rtl/>
                <w:lang w:val="en-US" w:bidi="ar-SY"/>
              </w:rPr>
              <w:t>غوادالاخارا</w:t>
            </w:r>
            <w:proofErr w:type="spellEnd"/>
            <w:r>
              <w:rPr>
                <w:rFonts w:hint="cs"/>
                <w:rtl/>
                <w:lang w:val="en-US" w:bidi="ar-SY"/>
              </w:rPr>
              <w:t xml:space="preserve">، </w:t>
            </w:r>
            <w:r>
              <w:rPr>
                <w:lang w:val="en-US" w:bidi="ar-SY"/>
              </w:rPr>
              <w:t>2010</w:t>
            </w:r>
            <w:r>
              <w:rPr>
                <w:rFonts w:hint="cs"/>
                <w:rtl/>
                <w:lang w:val="en-US" w:bidi="ar-SY"/>
              </w:rPr>
              <w:t>)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35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(§3.9), </w:t>
            </w:r>
            <w:hyperlink r:id="rId36" w:history="1">
              <w:r w:rsidR="00FB6428" w:rsidRPr="00FB6428">
                <w:rPr>
                  <w:color w:val="0000FF"/>
                  <w:u w:val="single"/>
                </w:rPr>
                <w:t>9</w:t>
              </w:r>
            </w:hyperlink>
            <w:r w:rsidR="00FB6428" w:rsidRPr="00FB6428">
              <w:t xml:space="preserve">, </w:t>
            </w:r>
            <w:hyperlink r:id="rId37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 5), </w:t>
            </w:r>
            <w:hyperlink r:id="rId38" w:history="1">
              <w:r w:rsidR="00FB6428" w:rsidRPr="00FB6428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t>4.6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أفرقة مقررين مشتركة بين القطاعات - القرار </w:t>
            </w:r>
            <w:r>
              <w:rPr>
                <w:lang w:val="en-US" w:bidi="ar-SY"/>
              </w:rPr>
              <w:t>ITU-R 6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39" w:history="1">
              <w:r w:rsidR="00FB6428" w:rsidRPr="00FB6428">
                <w:rPr>
                  <w:color w:val="0000FF"/>
                  <w:u w:val="single"/>
                </w:rPr>
                <w:t>2</w:t>
              </w:r>
            </w:hyperlink>
            <w:r w:rsidR="00FB6428" w:rsidRPr="00FB6428">
              <w:t xml:space="preserve"> + Add.1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5.6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تغير المناخ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0" w:history="1">
              <w:r w:rsidR="00FB6428" w:rsidRPr="00FB6428">
                <w:rPr>
                  <w:color w:val="0000FF"/>
                  <w:u w:val="single"/>
                </w:rPr>
                <w:t>12</w:t>
              </w:r>
            </w:hyperlink>
            <w:r w:rsidR="00FB6428" w:rsidRPr="00FB6428">
              <w:t xml:space="preserve">, </w:t>
            </w:r>
            <w:hyperlink r:id="rId41" w:history="1">
              <w:r w:rsidR="00FB6428" w:rsidRPr="00FB6428">
                <w:rPr>
                  <w:color w:val="0000FF"/>
                  <w:u w:val="single"/>
                </w:rPr>
                <w:t>13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</w:pPr>
            <w:r>
              <w:t>6.6</w:t>
            </w:r>
            <w:r>
              <w:rPr>
                <w:rFonts w:hint="cs"/>
                <w:rtl/>
              </w:rPr>
              <w:tab/>
              <w:t>القمة العالمية لمجتمع المعلومات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2" w:history="1">
              <w:r w:rsidR="00FB6428" w:rsidRPr="00FB6428">
                <w:rPr>
                  <w:color w:val="0000FF"/>
                  <w:u w:val="single"/>
                </w:rPr>
                <w:t>11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br w:type="page"/>
              <w:t>7</w:t>
            </w: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lang w:val="en-US" w:bidi="ar-SY"/>
              </w:rPr>
            </w:pPr>
            <w:r>
              <w:rPr>
                <w:rFonts w:hint="cs"/>
                <w:rtl/>
              </w:rPr>
              <w:t xml:space="preserve">الأعمال التحضيرية للمؤتمر العالمي للاتصالات الراديوية لعام </w:t>
            </w: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lang w:val="en-US" w:bidi="ar-SY"/>
              </w:rPr>
              <w:t>(WRC-12)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lang w:val="en-US" w:bidi="ar-SY"/>
              </w:rPr>
            </w:pPr>
            <w:r>
              <w:t>1.7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عملية الاجتماع التحضيري للمؤتمر </w:t>
            </w:r>
            <w:r>
              <w:rPr>
                <w:lang w:val="en-US" w:bidi="ar-SY"/>
              </w:rPr>
              <w:t>(CPM)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3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6.1)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2.7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أنشطة مكتب الاتصالات الراديوية والأنشطة الإقليمية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4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6.2)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</w:pPr>
            <w:r>
              <w:t>3.7</w:t>
            </w:r>
            <w:r w:rsidR="00FB6428" w:rsidRPr="00FB6428">
              <w:tab/>
            </w:r>
            <w:r>
              <w:rPr>
                <w:rFonts w:hint="cs"/>
                <w:rtl/>
              </w:rPr>
              <w:t xml:space="preserve">القرار </w:t>
            </w:r>
            <w:r w:rsidR="00FB6428" w:rsidRPr="00FB6428">
              <w:t>(Rev.WRC-07)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5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6.3)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4.7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مسائل أخرى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6" w:history="1">
              <w:r w:rsidR="00FB6428" w:rsidRPr="00FB6428">
                <w:rPr>
                  <w:color w:val="0000FF"/>
                  <w:u w:val="single"/>
                </w:rPr>
                <w:t>23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8</w:t>
            </w: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الخطط الاستراتيجية والمالية والتشغيلية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EG"/>
              </w:rPr>
            </w:pPr>
            <w:r>
              <w:t>1.8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تقرير عن الأداء في عام </w:t>
            </w:r>
            <w:r>
              <w:rPr>
                <w:lang w:val="en-US" w:bidi="ar-SY"/>
              </w:rPr>
              <w:t>2010</w:t>
            </w:r>
            <w:r>
              <w:rPr>
                <w:rFonts w:hint="cs"/>
                <w:rtl/>
                <w:lang w:val="en-US" w:bidi="ar-SY"/>
              </w:rPr>
              <w:t xml:space="preserve"> (بما في ذلك ما يتعلق بالرقم </w:t>
            </w:r>
            <w:r>
              <w:rPr>
                <w:lang w:val="en-US" w:bidi="ar-SY"/>
              </w:rPr>
              <w:t>160CA</w:t>
            </w:r>
            <w:r>
              <w:rPr>
                <w:rFonts w:hint="cs"/>
                <w:rtl/>
                <w:lang w:val="en-US" w:bidi="ar-SY"/>
              </w:rPr>
              <w:t xml:space="preserve"> من الاتفاقية</w:t>
            </w:r>
            <w:r w:rsidR="00BE034A">
              <w:rPr>
                <w:rFonts w:hint="cs"/>
                <w:rtl/>
                <w:lang w:val="en-US" w:bidi="ar-EG"/>
              </w:rPr>
              <w:t>)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7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7)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396904" w:rsidRDefault="00396904" w:rsidP="00BE034A">
            <w:pPr>
              <w:spacing w:before="60" w:after="60" w:line="300" w:lineRule="exact"/>
              <w:rPr>
                <w:rtl/>
                <w:lang w:val="en-US" w:bidi="ar-SY"/>
              </w:rPr>
            </w:pPr>
            <w:r>
              <w:t>2.8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 xml:space="preserve">مشروع الخطة التشغيلية للفترة </w:t>
            </w:r>
            <w:r>
              <w:rPr>
                <w:lang w:val="en-US" w:bidi="ar-SY"/>
              </w:rPr>
              <w:t>2015-2012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48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7), </w:t>
            </w:r>
            <w:hyperlink r:id="rId49" w:history="1">
              <w:r w:rsidR="00FB6428" w:rsidRPr="00FB6428">
                <w:rPr>
                  <w:color w:val="0000FF"/>
                  <w:u w:val="single"/>
                </w:rPr>
                <w:t>15</w:t>
              </w:r>
            </w:hyperlink>
            <w:r w:rsidR="00FB6428" w:rsidRPr="00FB6428">
              <w:t xml:space="preserve"> (§ 4)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  <w:rPr>
                <w:rtl/>
                <w:lang w:bidi="ar-SY"/>
              </w:rPr>
            </w:pPr>
            <w:r>
              <w:t>3.8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الخطة الاستراتيجية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50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(§3.1), </w:t>
            </w:r>
            <w:hyperlink r:id="rId51" w:history="1">
              <w:r w:rsidR="00FB6428" w:rsidRPr="00FB6428">
                <w:rPr>
                  <w:color w:val="0000FF"/>
                  <w:u w:val="single"/>
                </w:rPr>
                <w:t>7</w:t>
              </w:r>
            </w:hyperlink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  <w:rPr>
                <w:highlight w:val="yellow"/>
              </w:rPr>
            </w:pPr>
            <w:r w:rsidRPr="00FB6428">
              <w:t>9</w:t>
            </w: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الحلقات الدراسية وورش العمل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  <w:rPr>
                <w:highlight w:val="yellow"/>
              </w:rPr>
            </w:pPr>
            <w:hyperlink r:id="rId52" w:history="1">
              <w:r w:rsidR="00FB6428" w:rsidRPr="00FB6428">
                <w:rPr>
                  <w:color w:val="0000FF"/>
                  <w:u w:val="single"/>
                </w:rPr>
                <w:t>1R1</w:t>
              </w:r>
            </w:hyperlink>
            <w:r w:rsidR="00FB6428" w:rsidRPr="00FB6428">
              <w:t xml:space="preserve"> (§ 8)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10</w:t>
            </w:r>
          </w:p>
        </w:tc>
        <w:tc>
          <w:tcPr>
            <w:tcW w:w="3729" w:type="pct"/>
          </w:tcPr>
          <w:p w:rsidR="00FB6428" w:rsidRPr="00FB6428" w:rsidRDefault="00396904" w:rsidP="00BE034A">
            <w:pPr>
              <w:spacing w:before="60" w:after="60" w:line="300" w:lineRule="exact"/>
              <w:rPr>
                <w:lang w:bidi="ar-SY"/>
              </w:rPr>
            </w:pPr>
            <w:r>
              <w:rPr>
                <w:rFonts w:hint="cs"/>
                <w:rtl/>
              </w:rPr>
              <w:t>النظر في خلاصة الاستنتاجات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11</w:t>
            </w:r>
          </w:p>
        </w:tc>
        <w:tc>
          <w:tcPr>
            <w:tcW w:w="3729" w:type="pct"/>
          </w:tcPr>
          <w:p w:rsidR="00FB6428" w:rsidRPr="00FB6428" w:rsidRDefault="005443B0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موعد انعقاد الاجتماع المقبل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  <w:r w:rsidRPr="00FB6428">
              <w:t>12</w:t>
            </w:r>
          </w:p>
        </w:tc>
        <w:tc>
          <w:tcPr>
            <w:tcW w:w="3729" w:type="pct"/>
          </w:tcPr>
          <w:p w:rsidR="00FB6428" w:rsidRPr="00FB6428" w:rsidRDefault="005443B0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ما يستجد من أعمال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bidi w:val="0"/>
              <w:spacing w:before="60" w:after="60" w:line="300" w:lineRule="exact"/>
              <w:jc w:val="center"/>
            </w:pP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FB6428" w:rsidRDefault="005443B0" w:rsidP="00BE034A">
            <w:pPr>
              <w:spacing w:before="60" w:after="60" w:line="300" w:lineRule="exac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إحصاءات بشأن مشاركة أعضاء القطاع</w:t>
            </w:r>
          </w:p>
        </w:tc>
        <w:tc>
          <w:tcPr>
            <w:tcW w:w="936" w:type="pct"/>
          </w:tcPr>
          <w:p w:rsidR="00FB6428" w:rsidRPr="00FB6428" w:rsidRDefault="006F27AD" w:rsidP="00BE034A">
            <w:pPr>
              <w:bidi w:val="0"/>
              <w:spacing w:before="60" w:after="60" w:line="300" w:lineRule="exact"/>
              <w:jc w:val="center"/>
            </w:pPr>
            <w:hyperlink r:id="rId53" w:history="1">
              <w:r w:rsidR="00FB6428" w:rsidRPr="00FB6428">
                <w:rPr>
                  <w:color w:val="0000FF"/>
                  <w:u w:val="single"/>
                </w:rPr>
                <w:t>1</w:t>
              </w:r>
            </w:hyperlink>
            <w:r w:rsidR="00FB6428" w:rsidRPr="00FB6428">
              <w:t xml:space="preserve"> (Add.2(R1))</w:t>
            </w:r>
          </w:p>
        </w:tc>
      </w:tr>
      <w:tr w:rsidR="00FB6428" w:rsidRPr="00FB6428" w:rsidTr="005443B0">
        <w:tc>
          <w:tcPr>
            <w:tcW w:w="335" w:type="pct"/>
          </w:tcPr>
          <w:p w:rsidR="00FB6428" w:rsidRPr="00FB6428" w:rsidRDefault="00FB6428" w:rsidP="00BE034A">
            <w:pPr>
              <w:spacing w:before="60" w:after="60" w:line="300" w:lineRule="exact"/>
              <w:jc w:val="left"/>
            </w:pPr>
          </w:p>
        </w:tc>
        <w:tc>
          <w:tcPr>
            <w:tcW w:w="3729" w:type="pct"/>
          </w:tcPr>
          <w:p w:rsidR="00FB6428" w:rsidRPr="005443B0" w:rsidRDefault="005443B0" w:rsidP="00BE034A">
            <w:pPr>
              <w:tabs>
                <w:tab w:val="clear" w:pos="794"/>
                <w:tab w:val="left" w:pos="721"/>
              </w:tabs>
              <w:spacing w:before="60" w:after="60" w:line="300" w:lineRule="exact"/>
              <w:ind w:left="13"/>
              <w:rPr>
                <w:lang w:val="en-US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المعهد الدولي لتوحيد القانون الخاص </w:t>
            </w:r>
            <w:r>
              <w:rPr>
                <w:lang w:val="en-US"/>
              </w:rPr>
              <w:t>(UNIDROIT)</w:t>
            </w:r>
          </w:p>
        </w:tc>
        <w:tc>
          <w:tcPr>
            <w:tcW w:w="936" w:type="pct"/>
          </w:tcPr>
          <w:p w:rsidR="00FB6428" w:rsidRPr="00FB6428" w:rsidRDefault="00FB6428" w:rsidP="00BE034A">
            <w:pPr>
              <w:spacing w:before="60" w:after="60" w:line="300" w:lineRule="exact"/>
              <w:jc w:val="center"/>
            </w:pPr>
          </w:p>
        </w:tc>
      </w:tr>
    </w:tbl>
    <w:p w:rsidR="00FA58C0" w:rsidRDefault="00FA58C0" w:rsidP="005443B0">
      <w:pPr>
        <w:spacing w:before="1440"/>
        <w:jc w:val="center"/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443B0" w:rsidTr="005443B0">
        <w:tc>
          <w:tcPr>
            <w:tcW w:w="4927" w:type="dxa"/>
          </w:tcPr>
          <w:p w:rsidR="005443B0" w:rsidRDefault="005443B0" w:rsidP="00FB6428">
            <w:pPr>
              <w:spacing w:before="480"/>
              <w:jc w:val="center"/>
              <w:rPr>
                <w:rtl/>
                <w:lang w:val="en-US" w:bidi="ar-EG"/>
              </w:rPr>
            </w:pPr>
          </w:p>
        </w:tc>
        <w:tc>
          <w:tcPr>
            <w:tcW w:w="4928" w:type="dxa"/>
          </w:tcPr>
          <w:p w:rsidR="005443B0" w:rsidRDefault="005443B0" w:rsidP="005443B0">
            <w:pPr>
              <w:spacing w:before="480"/>
              <w:jc w:val="center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ج.</w:t>
            </w:r>
            <w:r w:rsidR="00BE034A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 xml:space="preserve">ب. </w:t>
            </w:r>
            <w:proofErr w:type="spellStart"/>
            <w:r>
              <w:rPr>
                <w:rFonts w:hint="cs"/>
                <w:rtl/>
                <w:lang w:val="en-US" w:bidi="ar-EG"/>
              </w:rPr>
              <w:t>ياو</w:t>
            </w:r>
            <w:proofErr w:type="spellEnd"/>
            <w:r>
              <w:rPr>
                <w:rFonts w:hint="cs"/>
                <w:rtl/>
                <w:lang w:val="en-US"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val="en-US" w:bidi="ar-EG"/>
              </w:rPr>
              <w:t>كواكو</w:t>
            </w:r>
            <w:proofErr w:type="spellEnd"/>
            <w:r>
              <w:rPr>
                <w:rFonts w:hint="cs"/>
                <w:rtl/>
                <w:lang w:val="en-US" w:bidi="ar-EG"/>
              </w:rPr>
              <w:br/>
              <w:t>رئيس الفريق الاستشاري للاتصالات الراديوية</w:t>
            </w:r>
          </w:p>
        </w:tc>
      </w:tr>
    </w:tbl>
    <w:p w:rsidR="005443B0" w:rsidRDefault="005443B0" w:rsidP="00FB6428">
      <w:pPr>
        <w:spacing w:before="480"/>
        <w:jc w:val="center"/>
        <w:rPr>
          <w:rtl/>
          <w:lang w:val="en-US" w:bidi="ar-EG"/>
        </w:rPr>
      </w:pPr>
    </w:p>
    <w:sectPr w:rsidR="005443B0" w:rsidSect="00513AA6">
      <w:headerReference w:type="default" r:id="rId54"/>
      <w:footerReference w:type="default" r:id="rId55"/>
      <w:footerReference w:type="first" r:id="rId56"/>
      <w:pgSz w:w="11907" w:h="16834" w:code="9"/>
      <w:pgMar w:top="1304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04" w:rsidRDefault="00396904">
      <w:r>
        <w:separator/>
      </w:r>
    </w:p>
  </w:endnote>
  <w:endnote w:type="continuationSeparator" w:id="0">
    <w:p w:rsidR="00396904" w:rsidRDefault="0039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4" w:rsidRDefault="005443B0" w:rsidP="005443B0">
    <w:pPr>
      <w:pStyle w:val="Footer"/>
      <w:spacing w:before="240" w:line="180" w:lineRule="auto"/>
      <w:rPr>
        <w:rtl/>
      </w:rPr>
    </w:pPr>
    <w:r>
      <w:fldChar w:fldCharType="begin"/>
    </w:r>
    <w:r w:rsidRPr="005443B0">
      <w:rPr>
        <w:lang w:val="en-US"/>
      </w:rPr>
      <w:instrText xml:space="preserve"> FILENAME \p \* MERGEFORMAT </w:instrText>
    </w:r>
    <w:r>
      <w:fldChar w:fldCharType="separate"/>
    </w:r>
    <w:r w:rsidR="006F27AD">
      <w:rPr>
        <w:lang w:val="en-US"/>
      </w:rPr>
      <w:t>P:\ARA\ITU-R\AG\RAG11\RAG-1\ADM\001REV1A.docx</w:t>
    </w:r>
    <w:r>
      <w:fldChar w:fldCharType="end"/>
    </w:r>
    <w:r w:rsidRPr="005443B0">
      <w:rPr>
        <w:lang w:val="en-US"/>
      </w:rPr>
      <w:t xml:space="preserve">  (</w:t>
    </w:r>
    <w:r>
      <w:rPr>
        <w:caps/>
        <w:lang w:val="en-US"/>
      </w:rPr>
      <w:t>309362</w:t>
    </w:r>
    <w:r w:rsidRPr="005443B0">
      <w:rPr>
        <w:lang w:val="en-US"/>
      </w:rPr>
      <w:t>)</w:t>
    </w:r>
    <w:r w:rsidRPr="005443B0">
      <w:rPr>
        <w:lang w:val="en-US"/>
      </w:rPr>
      <w:tab/>
    </w:r>
    <w:r w:rsidRPr="006034B1">
      <w:fldChar w:fldCharType="begin"/>
    </w:r>
    <w:r w:rsidRPr="006034B1">
      <w:instrText xml:space="preserve"> savedate \@ dd.MM.yy </w:instrText>
    </w:r>
    <w:r w:rsidRPr="006034B1">
      <w:fldChar w:fldCharType="separate"/>
    </w:r>
    <w:r w:rsidR="006F27AD">
      <w:t>08.06.11</w:t>
    </w:r>
    <w:r w:rsidRPr="006034B1">
      <w:fldChar w:fldCharType="end"/>
    </w:r>
    <w:r w:rsidRPr="005443B0">
      <w:rPr>
        <w:lang w:val="en-US"/>
      </w:rPr>
      <w:tab/>
    </w:r>
    <w:r w:rsidRPr="006034B1">
      <w:fldChar w:fldCharType="begin"/>
    </w:r>
    <w:r w:rsidRPr="006034B1">
      <w:instrText xml:space="preserve"> printdate \@ dd.MM.yy </w:instrText>
    </w:r>
    <w:r w:rsidRPr="006034B1">
      <w:fldChar w:fldCharType="separate"/>
    </w:r>
    <w:r w:rsidR="006F27AD">
      <w:t>08.06.11</w:t>
    </w:r>
    <w:r w:rsidRPr="006034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4" w:rsidRPr="005443B0" w:rsidRDefault="005443B0" w:rsidP="005443B0">
    <w:pPr>
      <w:pStyle w:val="Footer"/>
      <w:spacing w:before="240" w:line="180" w:lineRule="auto"/>
      <w:rPr>
        <w:rtl/>
        <w:lang w:bidi="ar-SY"/>
      </w:rPr>
    </w:pPr>
    <w:r>
      <w:fldChar w:fldCharType="begin"/>
    </w:r>
    <w:r w:rsidRPr="005443B0">
      <w:rPr>
        <w:lang w:val="en-US"/>
      </w:rPr>
      <w:instrText xml:space="preserve"> FILENAME \p \* MERGEFORMAT </w:instrText>
    </w:r>
    <w:r>
      <w:fldChar w:fldCharType="separate"/>
    </w:r>
    <w:r w:rsidR="006F27AD">
      <w:rPr>
        <w:lang w:val="en-US"/>
      </w:rPr>
      <w:t>P:\ARA\ITU-R\AG\RAG11\RAG-1\ADM\001REV1A.docx</w:t>
    </w:r>
    <w:r>
      <w:fldChar w:fldCharType="end"/>
    </w:r>
    <w:r w:rsidRPr="005443B0">
      <w:rPr>
        <w:lang w:val="en-US"/>
      </w:rPr>
      <w:t xml:space="preserve">  (</w:t>
    </w:r>
    <w:r>
      <w:rPr>
        <w:caps/>
        <w:lang w:val="en-US"/>
      </w:rPr>
      <w:t>309362</w:t>
    </w:r>
    <w:r w:rsidRPr="005443B0">
      <w:rPr>
        <w:lang w:val="en-US"/>
      </w:rPr>
      <w:t>)</w:t>
    </w:r>
    <w:r w:rsidRPr="005443B0">
      <w:rPr>
        <w:lang w:val="en-US"/>
      </w:rPr>
      <w:tab/>
    </w:r>
    <w:r w:rsidRPr="006034B1">
      <w:fldChar w:fldCharType="begin"/>
    </w:r>
    <w:r w:rsidRPr="006034B1">
      <w:instrText xml:space="preserve"> savedate \@ dd.MM.yy </w:instrText>
    </w:r>
    <w:r w:rsidRPr="006034B1">
      <w:fldChar w:fldCharType="separate"/>
    </w:r>
    <w:r w:rsidR="006F27AD">
      <w:t>08.06.11</w:t>
    </w:r>
    <w:r w:rsidRPr="006034B1">
      <w:fldChar w:fldCharType="end"/>
    </w:r>
    <w:r w:rsidRPr="005443B0">
      <w:rPr>
        <w:lang w:val="en-US"/>
      </w:rPr>
      <w:tab/>
    </w:r>
    <w:r w:rsidRPr="006034B1">
      <w:fldChar w:fldCharType="begin"/>
    </w:r>
    <w:r w:rsidRPr="006034B1">
      <w:instrText xml:space="preserve"> printdate \@ dd.MM.yy </w:instrText>
    </w:r>
    <w:r w:rsidRPr="006034B1">
      <w:fldChar w:fldCharType="separate"/>
    </w:r>
    <w:r w:rsidR="006F27AD">
      <w:t>08.06.11</w:t>
    </w:r>
    <w:r w:rsidRPr="006034B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04" w:rsidRDefault="00396904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396904" w:rsidRDefault="0039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4" w:rsidRDefault="00396904" w:rsidP="005443B0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F27A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</w:t>
    </w:r>
    <w:r w:rsidR="005443B0">
      <w:rPr>
        <w:sz w:val="20"/>
        <w:szCs w:val="20"/>
      </w:rPr>
      <w:t>11</w:t>
    </w:r>
    <w:r>
      <w:rPr>
        <w:sz w:val="20"/>
        <w:szCs w:val="20"/>
      </w:rPr>
      <w:t>-1/ADM/1</w:t>
    </w:r>
    <w:r w:rsidR="00BE034A">
      <w:rPr>
        <w:sz w:val="20"/>
        <w:szCs w:val="20"/>
        <w:lang w:val="en-US"/>
      </w:rPr>
      <w:t>(Rev.1)</w:t>
    </w:r>
    <w:r w:rsidR="005443B0">
      <w:rPr>
        <w:sz w:val="20"/>
        <w:szCs w:val="20"/>
      </w:rPr>
      <w:t>-</w:t>
    </w:r>
    <w:r>
      <w:rPr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07F4"/>
    <w:multiLevelType w:val="hybridMultilevel"/>
    <w:tmpl w:val="DBAC0C68"/>
    <w:lvl w:ilvl="0" w:tplc="2C5E6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D"/>
    <w:rsid w:val="00006C36"/>
    <w:rsid w:val="0003122B"/>
    <w:rsid w:val="00036D68"/>
    <w:rsid w:val="0004226B"/>
    <w:rsid w:val="0005411B"/>
    <w:rsid w:val="000548EB"/>
    <w:rsid w:val="000967AF"/>
    <w:rsid w:val="000A7FCC"/>
    <w:rsid w:val="000C1953"/>
    <w:rsid w:val="000C3F3F"/>
    <w:rsid w:val="000D2EE4"/>
    <w:rsid w:val="000D44D6"/>
    <w:rsid w:val="000D4652"/>
    <w:rsid w:val="000D7DF0"/>
    <w:rsid w:val="000E42AD"/>
    <w:rsid w:val="000E534D"/>
    <w:rsid w:val="000E7741"/>
    <w:rsid w:val="000F0773"/>
    <w:rsid w:val="000F207A"/>
    <w:rsid w:val="00123177"/>
    <w:rsid w:val="00136982"/>
    <w:rsid w:val="0014225A"/>
    <w:rsid w:val="00144FC3"/>
    <w:rsid w:val="001470D8"/>
    <w:rsid w:val="00151209"/>
    <w:rsid w:val="00160F74"/>
    <w:rsid w:val="00166F40"/>
    <w:rsid w:val="00192657"/>
    <w:rsid w:val="00193AFA"/>
    <w:rsid w:val="001C1238"/>
    <w:rsid w:val="001C5151"/>
    <w:rsid w:val="00203CAD"/>
    <w:rsid w:val="00215631"/>
    <w:rsid w:val="00215A92"/>
    <w:rsid w:val="00217A2A"/>
    <w:rsid w:val="0022166A"/>
    <w:rsid w:val="00240DF1"/>
    <w:rsid w:val="00257B32"/>
    <w:rsid w:val="002617BA"/>
    <w:rsid w:val="0026181F"/>
    <w:rsid w:val="0028021F"/>
    <w:rsid w:val="0028402C"/>
    <w:rsid w:val="00284804"/>
    <w:rsid w:val="002A2F87"/>
    <w:rsid w:val="002B3D75"/>
    <w:rsid w:val="002C0BC5"/>
    <w:rsid w:val="002D1ED6"/>
    <w:rsid w:val="002D45E1"/>
    <w:rsid w:val="002E14AA"/>
    <w:rsid w:val="002F4F83"/>
    <w:rsid w:val="003006FA"/>
    <w:rsid w:val="00312259"/>
    <w:rsid w:val="00330B10"/>
    <w:rsid w:val="00344742"/>
    <w:rsid w:val="003545EB"/>
    <w:rsid w:val="00360946"/>
    <w:rsid w:val="00396904"/>
    <w:rsid w:val="003A12F0"/>
    <w:rsid w:val="003B0AD3"/>
    <w:rsid w:val="003C23EB"/>
    <w:rsid w:val="003E1BDD"/>
    <w:rsid w:val="003E48A8"/>
    <w:rsid w:val="003F7F24"/>
    <w:rsid w:val="00407658"/>
    <w:rsid w:val="004248B6"/>
    <w:rsid w:val="00426CC5"/>
    <w:rsid w:val="0044539B"/>
    <w:rsid w:val="00455358"/>
    <w:rsid w:val="00461B16"/>
    <w:rsid w:val="00462954"/>
    <w:rsid w:val="00464164"/>
    <w:rsid w:val="00465296"/>
    <w:rsid w:val="004871E2"/>
    <w:rsid w:val="004911A0"/>
    <w:rsid w:val="0049727A"/>
    <w:rsid w:val="004A10D1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5504"/>
    <w:rsid w:val="00516676"/>
    <w:rsid w:val="00516ADA"/>
    <w:rsid w:val="00521B16"/>
    <w:rsid w:val="00524FFF"/>
    <w:rsid w:val="00530E80"/>
    <w:rsid w:val="005443B0"/>
    <w:rsid w:val="005553C6"/>
    <w:rsid w:val="00557D9F"/>
    <w:rsid w:val="005905B1"/>
    <w:rsid w:val="00590CDC"/>
    <w:rsid w:val="005A1F68"/>
    <w:rsid w:val="005C13E3"/>
    <w:rsid w:val="005E4006"/>
    <w:rsid w:val="005E7A1F"/>
    <w:rsid w:val="005F3D27"/>
    <w:rsid w:val="005F5FAC"/>
    <w:rsid w:val="005F63B8"/>
    <w:rsid w:val="00602576"/>
    <w:rsid w:val="006051B1"/>
    <w:rsid w:val="006110A7"/>
    <w:rsid w:val="0062163C"/>
    <w:rsid w:val="00626708"/>
    <w:rsid w:val="00627E66"/>
    <w:rsid w:val="006334A4"/>
    <w:rsid w:val="0064051A"/>
    <w:rsid w:val="006426DD"/>
    <w:rsid w:val="006445F4"/>
    <w:rsid w:val="00652BD9"/>
    <w:rsid w:val="00673776"/>
    <w:rsid w:val="006750F1"/>
    <w:rsid w:val="006870C3"/>
    <w:rsid w:val="00697384"/>
    <w:rsid w:val="00697DED"/>
    <w:rsid w:val="006C35AC"/>
    <w:rsid w:val="006C6DEC"/>
    <w:rsid w:val="006D2275"/>
    <w:rsid w:val="006D7AC1"/>
    <w:rsid w:val="006E593E"/>
    <w:rsid w:val="006E743A"/>
    <w:rsid w:val="006F27AD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409BB"/>
    <w:rsid w:val="00745039"/>
    <w:rsid w:val="0074649F"/>
    <w:rsid w:val="00756BFC"/>
    <w:rsid w:val="00766F2C"/>
    <w:rsid w:val="007716FA"/>
    <w:rsid w:val="00776484"/>
    <w:rsid w:val="00792AF4"/>
    <w:rsid w:val="007B5180"/>
    <w:rsid w:val="007D0AFD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5112"/>
    <w:rsid w:val="008776CC"/>
    <w:rsid w:val="008A7520"/>
    <w:rsid w:val="008B412C"/>
    <w:rsid w:val="008C13FB"/>
    <w:rsid w:val="008C344D"/>
    <w:rsid w:val="008C4ED7"/>
    <w:rsid w:val="008D4A20"/>
    <w:rsid w:val="008E5A90"/>
    <w:rsid w:val="00913E79"/>
    <w:rsid w:val="009143E6"/>
    <w:rsid w:val="00914F04"/>
    <w:rsid w:val="009157E0"/>
    <w:rsid w:val="009311F9"/>
    <w:rsid w:val="0093291E"/>
    <w:rsid w:val="00935CDF"/>
    <w:rsid w:val="009519B5"/>
    <w:rsid w:val="00952AB7"/>
    <w:rsid w:val="0096590B"/>
    <w:rsid w:val="0097456F"/>
    <w:rsid w:val="00996C66"/>
    <w:rsid w:val="009A795D"/>
    <w:rsid w:val="009B6280"/>
    <w:rsid w:val="009C0B76"/>
    <w:rsid w:val="009D7D1A"/>
    <w:rsid w:val="009E2D03"/>
    <w:rsid w:val="00A003D7"/>
    <w:rsid w:val="00A026E0"/>
    <w:rsid w:val="00A02A37"/>
    <w:rsid w:val="00A31F74"/>
    <w:rsid w:val="00A3551B"/>
    <w:rsid w:val="00A41780"/>
    <w:rsid w:val="00A4556D"/>
    <w:rsid w:val="00A53EF0"/>
    <w:rsid w:val="00A612D8"/>
    <w:rsid w:val="00A6273D"/>
    <w:rsid w:val="00A71E2B"/>
    <w:rsid w:val="00A74F69"/>
    <w:rsid w:val="00A76FEC"/>
    <w:rsid w:val="00AB7A76"/>
    <w:rsid w:val="00B0387A"/>
    <w:rsid w:val="00B216B5"/>
    <w:rsid w:val="00B249BD"/>
    <w:rsid w:val="00B25C72"/>
    <w:rsid w:val="00B277FA"/>
    <w:rsid w:val="00B31E56"/>
    <w:rsid w:val="00B34E5A"/>
    <w:rsid w:val="00B34FC9"/>
    <w:rsid w:val="00B46A23"/>
    <w:rsid w:val="00B548CC"/>
    <w:rsid w:val="00B85318"/>
    <w:rsid w:val="00BA08CE"/>
    <w:rsid w:val="00BB6DEF"/>
    <w:rsid w:val="00BD7AD1"/>
    <w:rsid w:val="00BE034A"/>
    <w:rsid w:val="00BE0730"/>
    <w:rsid w:val="00BE14EB"/>
    <w:rsid w:val="00BE6575"/>
    <w:rsid w:val="00C001C7"/>
    <w:rsid w:val="00C04986"/>
    <w:rsid w:val="00C06374"/>
    <w:rsid w:val="00C06E15"/>
    <w:rsid w:val="00C17D15"/>
    <w:rsid w:val="00C269A6"/>
    <w:rsid w:val="00C41AC0"/>
    <w:rsid w:val="00C514D0"/>
    <w:rsid w:val="00C51BD9"/>
    <w:rsid w:val="00C536B4"/>
    <w:rsid w:val="00C55BC0"/>
    <w:rsid w:val="00C74352"/>
    <w:rsid w:val="00C82819"/>
    <w:rsid w:val="00CA32F6"/>
    <w:rsid w:val="00CD52AF"/>
    <w:rsid w:val="00CE4BA1"/>
    <w:rsid w:val="00CF3EAC"/>
    <w:rsid w:val="00D0003C"/>
    <w:rsid w:val="00D14A25"/>
    <w:rsid w:val="00D158B1"/>
    <w:rsid w:val="00D20B36"/>
    <w:rsid w:val="00D30362"/>
    <w:rsid w:val="00D312B4"/>
    <w:rsid w:val="00D41105"/>
    <w:rsid w:val="00D547C5"/>
    <w:rsid w:val="00D56CE7"/>
    <w:rsid w:val="00D61AA4"/>
    <w:rsid w:val="00D73CBA"/>
    <w:rsid w:val="00D774A2"/>
    <w:rsid w:val="00D82A50"/>
    <w:rsid w:val="00D845E7"/>
    <w:rsid w:val="00D90E34"/>
    <w:rsid w:val="00D935D0"/>
    <w:rsid w:val="00D95E2D"/>
    <w:rsid w:val="00DA1C08"/>
    <w:rsid w:val="00DA7534"/>
    <w:rsid w:val="00DC0E66"/>
    <w:rsid w:val="00DF665E"/>
    <w:rsid w:val="00E10647"/>
    <w:rsid w:val="00E303F3"/>
    <w:rsid w:val="00E33A0F"/>
    <w:rsid w:val="00E34DF7"/>
    <w:rsid w:val="00E37FEB"/>
    <w:rsid w:val="00E421A6"/>
    <w:rsid w:val="00E619BF"/>
    <w:rsid w:val="00E85BD0"/>
    <w:rsid w:val="00E85E40"/>
    <w:rsid w:val="00E94CC1"/>
    <w:rsid w:val="00EB7626"/>
    <w:rsid w:val="00ED0106"/>
    <w:rsid w:val="00ED1C2A"/>
    <w:rsid w:val="00ED4839"/>
    <w:rsid w:val="00EF52EA"/>
    <w:rsid w:val="00F03BF7"/>
    <w:rsid w:val="00F044D6"/>
    <w:rsid w:val="00F32BE9"/>
    <w:rsid w:val="00F52252"/>
    <w:rsid w:val="00F738C7"/>
    <w:rsid w:val="00F8529D"/>
    <w:rsid w:val="00F8600E"/>
    <w:rsid w:val="00F86E7D"/>
    <w:rsid w:val="00F90AEB"/>
    <w:rsid w:val="00F97952"/>
    <w:rsid w:val="00FA04EB"/>
    <w:rsid w:val="00FA58C0"/>
    <w:rsid w:val="00FA5BD3"/>
    <w:rsid w:val="00FB6428"/>
    <w:rsid w:val="00FC58E2"/>
    <w:rsid w:val="00FD255A"/>
    <w:rsid w:val="00FD2611"/>
    <w:rsid w:val="00FE297B"/>
    <w:rsid w:val="00FF0A56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link w:val="FooterChar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character" w:customStyle="1" w:styleId="FooterChar">
    <w:name w:val="Footer Char"/>
    <w:link w:val="Footer"/>
    <w:rsid w:val="005443B0"/>
    <w:rPr>
      <w:rFonts w:ascii="Times New Roman" w:hAnsi="Times New Roman"/>
      <w:noProof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link w:val="FooterChar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character" w:customStyle="1" w:styleId="FooterChar">
    <w:name w:val="Footer Char"/>
    <w:link w:val="Footer"/>
    <w:rsid w:val="005443B0"/>
    <w:rPr>
      <w:rFonts w:ascii="Times New Roman" w:hAnsi="Times New Roman"/>
      <w:noProof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01/en" TargetMode="External"/><Relationship Id="rId18" Type="http://schemas.openxmlformats.org/officeDocument/2006/relationships/hyperlink" Target="http://www.itu.int/md/R11-RAG2011-C-0006/en" TargetMode="External"/><Relationship Id="rId26" Type="http://schemas.openxmlformats.org/officeDocument/2006/relationships/hyperlink" Target="http://www.itu.int/md/R11-RAG2011-C-0015/en" TargetMode="External"/><Relationship Id="rId39" Type="http://schemas.openxmlformats.org/officeDocument/2006/relationships/hyperlink" Target="http://www.itu.int/md/R11-RAG2011-C-0002/en" TargetMode="External"/><Relationship Id="rId21" Type="http://schemas.openxmlformats.org/officeDocument/2006/relationships/hyperlink" Target="http://www.itu.int/md/R11-RAG2011-C-0019/en" TargetMode="External"/><Relationship Id="rId34" Type="http://schemas.openxmlformats.org/officeDocument/2006/relationships/hyperlink" Target="http://www.itu.int/md/R11-RAG2011-C-0010/en" TargetMode="External"/><Relationship Id="rId42" Type="http://schemas.openxmlformats.org/officeDocument/2006/relationships/hyperlink" Target="http://www.itu.int/md/R11-RAG2011-C-0011/en" TargetMode="External"/><Relationship Id="rId47" Type="http://schemas.openxmlformats.org/officeDocument/2006/relationships/hyperlink" Target="http://www.itu.int/md/R11-RAG2011-C-0001/en" TargetMode="External"/><Relationship Id="rId50" Type="http://schemas.openxmlformats.org/officeDocument/2006/relationships/hyperlink" Target="http://www.itu.int/md/R11-RAG2011-C-0001/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1-RAG2011-C-0015/en" TargetMode="External"/><Relationship Id="rId17" Type="http://schemas.openxmlformats.org/officeDocument/2006/relationships/hyperlink" Target="http://www.itu.int/md/R11-RAG2011-C-0003/en" TargetMode="External"/><Relationship Id="rId25" Type="http://schemas.openxmlformats.org/officeDocument/2006/relationships/hyperlink" Target="http://www.itu.int/md/R11-RAG2011-C-0005/en" TargetMode="External"/><Relationship Id="rId33" Type="http://schemas.openxmlformats.org/officeDocument/2006/relationships/hyperlink" Target="http://www.itu.int/md/R11-RAG2011-C-0001/en" TargetMode="External"/><Relationship Id="rId38" Type="http://schemas.openxmlformats.org/officeDocument/2006/relationships/hyperlink" Target="http://www.itu.int/md/R11-RAG2011-C-0016/en" TargetMode="External"/><Relationship Id="rId46" Type="http://schemas.openxmlformats.org/officeDocument/2006/relationships/hyperlink" Target="http://www.itu.int/md/R11-RAG2011-C-0023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1-RAG2011-C-0001/en" TargetMode="External"/><Relationship Id="rId20" Type="http://schemas.openxmlformats.org/officeDocument/2006/relationships/hyperlink" Target="http://www.itu.int/md/R11-RAG2011-C-0017/en" TargetMode="External"/><Relationship Id="rId29" Type="http://schemas.openxmlformats.org/officeDocument/2006/relationships/hyperlink" Target="http://www.itu.int/md/R11-RAG2011-C-0001/en" TargetMode="External"/><Relationship Id="rId41" Type="http://schemas.openxmlformats.org/officeDocument/2006/relationships/hyperlink" Target="http://www.itu.int/md/R11-RAG2011-C-0013/en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1-RAG2011-C-0001/en" TargetMode="External"/><Relationship Id="rId24" Type="http://schemas.openxmlformats.org/officeDocument/2006/relationships/hyperlink" Target="http://www.itu.int/md/R11-RAG2011-C-0022/en" TargetMode="External"/><Relationship Id="rId32" Type="http://schemas.openxmlformats.org/officeDocument/2006/relationships/hyperlink" Target="http://www.itu.int/md/R11-RAG2011-C-0024/en" TargetMode="External"/><Relationship Id="rId37" Type="http://schemas.openxmlformats.org/officeDocument/2006/relationships/hyperlink" Target="http://www.itu.int/md/R11-RAG2011-C-0015/en" TargetMode="External"/><Relationship Id="rId40" Type="http://schemas.openxmlformats.org/officeDocument/2006/relationships/hyperlink" Target="http://www.itu.int/md/R11-RAG2011-C-0012/en" TargetMode="External"/><Relationship Id="rId45" Type="http://schemas.openxmlformats.org/officeDocument/2006/relationships/hyperlink" Target="http://www.itu.int/md/R11-RAG2011-C-0001/en" TargetMode="External"/><Relationship Id="rId53" Type="http://schemas.openxmlformats.org/officeDocument/2006/relationships/hyperlink" Target="http://www.itu.int/md/R11-RAG2011-C-0001/e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1-RAG2011-C-0015/en" TargetMode="External"/><Relationship Id="rId23" Type="http://schemas.openxmlformats.org/officeDocument/2006/relationships/hyperlink" Target="http://www.itu.int/md/R11-RAG2011-C-0021/en" TargetMode="External"/><Relationship Id="rId28" Type="http://schemas.openxmlformats.org/officeDocument/2006/relationships/hyperlink" Target="http://www.itu.int/md/R11-RAG2011-C-0014/en" TargetMode="External"/><Relationship Id="rId36" Type="http://schemas.openxmlformats.org/officeDocument/2006/relationships/hyperlink" Target="http://www.itu.int/md/R11-RAG2011-C-0009/en" TargetMode="External"/><Relationship Id="rId49" Type="http://schemas.openxmlformats.org/officeDocument/2006/relationships/hyperlink" Target="http://www.itu.int/md/R11-RAG2011-C-0015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R11-RAG2011-C-0015/en" TargetMode="External"/><Relationship Id="rId19" Type="http://schemas.openxmlformats.org/officeDocument/2006/relationships/hyperlink" Target="http://www.itu.int/md/R11-RAG2011-C-0015/en" TargetMode="External"/><Relationship Id="rId31" Type="http://schemas.openxmlformats.org/officeDocument/2006/relationships/hyperlink" Target="http://www.itu.int/md/R11-RAG2011-C-0020/en" TargetMode="External"/><Relationship Id="rId44" Type="http://schemas.openxmlformats.org/officeDocument/2006/relationships/hyperlink" Target="http://www.itu.int/md/R11-RAG2011-C-0001/en" TargetMode="External"/><Relationship Id="rId52" Type="http://schemas.openxmlformats.org/officeDocument/2006/relationships/hyperlink" Target="http://www.itu.int/md/R11-RAG2011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1-RAG2011-C-0001/en" TargetMode="External"/><Relationship Id="rId14" Type="http://schemas.openxmlformats.org/officeDocument/2006/relationships/hyperlink" Target="http://www.itu.int/md/R11-RAG2011-C-0008/en" TargetMode="External"/><Relationship Id="rId22" Type="http://schemas.openxmlformats.org/officeDocument/2006/relationships/hyperlink" Target="http://www.itu.int/md/R11-RAG2011-C-0001/en" TargetMode="External"/><Relationship Id="rId27" Type="http://schemas.openxmlformats.org/officeDocument/2006/relationships/hyperlink" Target="http://www.itu.int/md/R11-RAG2011-C-0018/en" TargetMode="External"/><Relationship Id="rId30" Type="http://schemas.openxmlformats.org/officeDocument/2006/relationships/hyperlink" Target="http://www.itu.int/md/R11-RAG2011-C-0015/en" TargetMode="External"/><Relationship Id="rId35" Type="http://schemas.openxmlformats.org/officeDocument/2006/relationships/hyperlink" Target="http://www.itu.int/md/R11-RAG2011-C-0001/en" TargetMode="External"/><Relationship Id="rId43" Type="http://schemas.openxmlformats.org/officeDocument/2006/relationships/hyperlink" Target="http://www.itu.int/md/R11-RAG2011-C-0001/en" TargetMode="External"/><Relationship Id="rId48" Type="http://schemas.openxmlformats.org/officeDocument/2006/relationships/hyperlink" Target="http://www.itu.int/md/R11-RAG2011-C-0001/en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tu.int/md/R11-RAG2011-C-0007/en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PA_RAG07.dot</Template>
  <TotalTime>15</TotalTime>
  <Pages>2</Pages>
  <Words>370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Riz, Imad </cp:lastModifiedBy>
  <cp:revision>10</cp:revision>
  <cp:lastPrinted>2011-06-08T14:00:00Z</cp:lastPrinted>
  <dcterms:created xsi:type="dcterms:W3CDTF">2011-06-08T13:36:00Z</dcterms:created>
  <dcterms:modified xsi:type="dcterms:W3CDTF">2011-06-08T14:00:00Z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