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3F4671" w:rsidTr="00306452">
        <w:trPr>
          <w:jc w:val="center"/>
        </w:trPr>
        <w:tc>
          <w:tcPr>
            <w:tcW w:w="9889" w:type="dxa"/>
            <w:gridSpan w:val="3"/>
            <w:shd w:val="clear" w:color="auto" w:fill="auto"/>
          </w:tcPr>
          <w:p w:rsidR="00E53DCE" w:rsidRPr="003F4671" w:rsidRDefault="00A96D3A" w:rsidP="006160CB">
            <w:pPr>
              <w:spacing w:before="0"/>
              <w:jc w:val="left"/>
              <w:rPr>
                <w:rFonts w:cstheme="minorHAnsi"/>
                <w:b/>
                <w:bCs/>
                <w:color w:val="808080"/>
                <w:sz w:val="28"/>
                <w:szCs w:val="28"/>
                <w:lang w:val="es-ES_tradnl"/>
              </w:rPr>
            </w:pPr>
            <w:r w:rsidRPr="003F4671">
              <w:rPr>
                <w:rFonts w:cstheme="minorHAnsi"/>
                <w:b/>
                <w:bCs/>
                <w:color w:val="808080"/>
                <w:sz w:val="28"/>
                <w:szCs w:val="28"/>
                <w:lang w:val="es-ES_tradnl"/>
              </w:rPr>
              <w:t>Oficina de Radiocomunicaciones (BR)</w:t>
            </w:r>
          </w:p>
          <w:p w:rsidR="00E53DCE" w:rsidRPr="003F4671" w:rsidRDefault="00E53DCE" w:rsidP="006160CB">
            <w:pPr>
              <w:spacing w:before="0"/>
              <w:jc w:val="left"/>
              <w:rPr>
                <w:rFonts w:cstheme="minorHAnsi"/>
                <w:b/>
                <w:bCs/>
                <w:color w:val="808080"/>
                <w:sz w:val="28"/>
                <w:szCs w:val="28"/>
                <w:lang w:val="es-ES_tradnl"/>
              </w:rPr>
            </w:pPr>
          </w:p>
          <w:p w:rsidR="00E53DCE" w:rsidRPr="003F4671" w:rsidRDefault="00E53DCE" w:rsidP="006160CB">
            <w:pPr>
              <w:spacing w:before="0"/>
              <w:jc w:val="left"/>
              <w:rPr>
                <w:rFonts w:cs="Times New Roman Bold"/>
                <w:b/>
                <w:bCs/>
                <w:color w:val="808080"/>
                <w:sz w:val="28"/>
                <w:szCs w:val="28"/>
                <w:lang w:val="es-ES_tradnl"/>
              </w:rPr>
            </w:pPr>
          </w:p>
        </w:tc>
      </w:tr>
      <w:tr w:rsidR="00E53DCE" w:rsidRPr="003F4671" w:rsidTr="00306452">
        <w:trPr>
          <w:jc w:val="center"/>
        </w:trPr>
        <w:tc>
          <w:tcPr>
            <w:tcW w:w="7054" w:type="dxa"/>
            <w:gridSpan w:val="2"/>
            <w:shd w:val="clear" w:color="auto" w:fill="auto"/>
          </w:tcPr>
          <w:p w:rsidR="00E53DCE" w:rsidRPr="003F4671" w:rsidRDefault="00F40EBB" w:rsidP="006160CB">
            <w:pPr>
              <w:spacing w:before="0"/>
              <w:jc w:val="left"/>
              <w:rPr>
                <w:szCs w:val="24"/>
                <w:lang w:val="es-ES_tradnl"/>
              </w:rPr>
            </w:pPr>
            <w:r>
              <w:rPr>
                <w:szCs w:val="24"/>
                <w:lang w:val="es-ES_tradnl"/>
              </w:rPr>
              <w:t>Carta Circular</w:t>
            </w:r>
          </w:p>
          <w:p w:rsidR="00E53DCE" w:rsidRPr="003F4671" w:rsidRDefault="001D6F90" w:rsidP="006160CB">
            <w:pPr>
              <w:spacing w:before="0"/>
              <w:jc w:val="left"/>
              <w:rPr>
                <w:b/>
                <w:bCs/>
                <w:szCs w:val="24"/>
                <w:lang w:val="es-ES_tradnl"/>
              </w:rPr>
            </w:pPr>
            <w:r w:rsidRPr="003F4671">
              <w:rPr>
                <w:b/>
                <w:bCs/>
                <w:szCs w:val="24"/>
                <w:lang w:val="es-ES_tradnl"/>
              </w:rPr>
              <w:t>CR/407</w:t>
            </w:r>
          </w:p>
        </w:tc>
        <w:tc>
          <w:tcPr>
            <w:tcW w:w="2835" w:type="dxa"/>
            <w:shd w:val="clear" w:color="auto" w:fill="auto"/>
          </w:tcPr>
          <w:p w:rsidR="00E53DCE" w:rsidRPr="003F4671" w:rsidRDefault="001D6F90" w:rsidP="006160CB">
            <w:pPr>
              <w:spacing w:before="0"/>
              <w:jc w:val="right"/>
              <w:rPr>
                <w:szCs w:val="24"/>
                <w:lang w:val="es-ES_tradnl"/>
              </w:rPr>
            </w:pPr>
            <w:r w:rsidRPr="003F4671">
              <w:rPr>
                <w:szCs w:val="24"/>
                <w:lang w:val="es-ES_tradnl"/>
              </w:rPr>
              <w:t>5 de julio de 2016</w:t>
            </w:r>
          </w:p>
        </w:tc>
      </w:tr>
      <w:tr w:rsidR="00E53DCE" w:rsidRPr="003F4671" w:rsidTr="00306452">
        <w:trPr>
          <w:jc w:val="center"/>
        </w:trPr>
        <w:tc>
          <w:tcPr>
            <w:tcW w:w="9889" w:type="dxa"/>
            <w:gridSpan w:val="3"/>
            <w:shd w:val="clear" w:color="auto" w:fill="auto"/>
          </w:tcPr>
          <w:p w:rsidR="00E53DCE" w:rsidRPr="003F4671" w:rsidRDefault="00E53DCE" w:rsidP="006160CB">
            <w:pPr>
              <w:spacing w:before="0"/>
              <w:jc w:val="left"/>
              <w:rPr>
                <w:rFonts w:cs="Arial"/>
                <w:szCs w:val="24"/>
                <w:lang w:val="es-ES_tradnl"/>
              </w:rPr>
            </w:pPr>
          </w:p>
        </w:tc>
      </w:tr>
      <w:tr w:rsidR="00E53DCE" w:rsidRPr="003F4671" w:rsidTr="00306452">
        <w:trPr>
          <w:jc w:val="center"/>
        </w:trPr>
        <w:tc>
          <w:tcPr>
            <w:tcW w:w="9889" w:type="dxa"/>
            <w:gridSpan w:val="3"/>
            <w:shd w:val="clear" w:color="auto" w:fill="auto"/>
          </w:tcPr>
          <w:p w:rsidR="00E53DCE" w:rsidRPr="003F4671" w:rsidRDefault="00E53DCE" w:rsidP="006160CB">
            <w:pPr>
              <w:spacing w:before="0"/>
              <w:jc w:val="left"/>
              <w:rPr>
                <w:szCs w:val="24"/>
                <w:lang w:val="es-ES_tradnl"/>
              </w:rPr>
            </w:pPr>
          </w:p>
        </w:tc>
      </w:tr>
      <w:tr w:rsidR="00E53DCE" w:rsidRPr="00733C95" w:rsidTr="00306452">
        <w:trPr>
          <w:jc w:val="center"/>
        </w:trPr>
        <w:tc>
          <w:tcPr>
            <w:tcW w:w="9889" w:type="dxa"/>
            <w:gridSpan w:val="3"/>
            <w:shd w:val="clear" w:color="auto" w:fill="auto"/>
          </w:tcPr>
          <w:p w:rsidR="00E53DCE" w:rsidRPr="003F4671" w:rsidRDefault="00FE4822" w:rsidP="005628C2">
            <w:pPr>
              <w:spacing w:before="0"/>
              <w:jc w:val="left"/>
              <w:rPr>
                <w:b/>
                <w:bCs/>
                <w:szCs w:val="24"/>
                <w:lang w:val="es-ES_tradnl"/>
              </w:rPr>
            </w:pPr>
            <w:r w:rsidRPr="003F4671">
              <w:rPr>
                <w:b/>
                <w:szCs w:val="24"/>
                <w:lang w:val="es-ES_tradnl"/>
              </w:rPr>
              <w:t>A las Administraciones de los Estados Miembros de la UIT</w:t>
            </w:r>
          </w:p>
        </w:tc>
      </w:tr>
      <w:tr w:rsidR="00E53DCE" w:rsidRPr="00733C95" w:rsidTr="00306452">
        <w:trPr>
          <w:jc w:val="center"/>
        </w:trPr>
        <w:tc>
          <w:tcPr>
            <w:tcW w:w="9889" w:type="dxa"/>
            <w:gridSpan w:val="3"/>
            <w:shd w:val="clear" w:color="auto" w:fill="auto"/>
          </w:tcPr>
          <w:p w:rsidR="00E53DCE" w:rsidRPr="003F4671" w:rsidRDefault="00E53DCE" w:rsidP="006160CB">
            <w:pPr>
              <w:spacing w:before="0"/>
              <w:jc w:val="left"/>
              <w:rPr>
                <w:szCs w:val="24"/>
                <w:lang w:val="es-ES_tradnl"/>
              </w:rPr>
            </w:pPr>
          </w:p>
        </w:tc>
      </w:tr>
      <w:tr w:rsidR="00E53DCE" w:rsidRPr="00733C95" w:rsidTr="00306452">
        <w:trPr>
          <w:jc w:val="center"/>
        </w:trPr>
        <w:tc>
          <w:tcPr>
            <w:tcW w:w="9889" w:type="dxa"/>
            <w:gridSpan w:val="3"/>
            <w:shd w:val="clear" w:color="auto" w:fill="auto"/>
          </w:tcPr>
          <w:p w:rsidR="00E53DCE" w:rsidRPr="003F4671" w:rsidRDefault="00E53DCE" w:rsidP="006160CB">
            <w:pPr>
              <w:spacing w:before="0"/>
              <w:jc w:val="left"/>
              <w:rPr>
                <w:szCs w:val="24"/>
                <w:lang w:val="es-ES_tradnl"/>
              </w:rPr>
            </w:pPr>
          </w:p>
        </w:tc>
      </w:tr>
      <w:tr w:rsidR="00E53DCE" w:rsidRPr="00733C95" w:rsidTr="00306452">
        <w:trPr>
          <w:jc w:val="center"/>
        </w:trPr>
        <w:tc>
          <w:tcPr>
            <w:tcW w:w="1526" w:type="dxa"/>
            <w:shd w:val="clear" w:color="auto" w:fill="auto"/>
          </w:tcPr>
          <w:p w:rsidR="00E53DCE" w:rsidRPr="003F4671" w:rsidRDefault="00311970" w:rsidP="006160CB">
            <w:pPr>
              <w:tabs>
                <w:tab w:val="clear" w:pos="1588"/>
                <w:tab w:val="left" w:pos="1560"/>
              </w:tabs>
              <w:spacing w:before="0"/>
              <w:jc w:val="left"/>
              <w:rPr>
                <w:szCs w:val="24"/>
                <w:lang w:val="es-ES_tradnl"/>
              </w:rPr>
            </w:pPr>
            <w:r w:rsidRPr="003F4671">
              <w:rPr>
                <w:szCs w:val="24"/>
                <w:lang w:val="es-ES_tradnl"/>
              </w:rPr>
              <w:t>Asunto:</w:t>
            </w:r>
          </w:p>
        </w:tc>
        <w:tc>
          <w:tcPr>
            <w:tcW w:w="8363" w:type="dxa"/>
            <w:gridSpan w:val="2"/>
            <w:vMerge w:val="restart"/>
            <w:shd w:val="clear" w:color="auto" w:fill="auto"/>
          </w:tcPr>
          <w:p w:rsidR="00E53DCE" w:rsidRPr="003F4671" w:rsidRDefault="001D6F90" w:rsidP="006160CB">
            <w:pPr>
              <w:tabs>
                <w:tab w:val="clear" w:pos="1588"/>
                <w:tab w:val="left" w:pos="1560"/>
              </w:tabs>
              <w:spacing w:before="0"/>
              <w:rPr>
                <w:b/>
                <w:bCs/>
                <w:szCs w:val="24"/>
                <w:lang w:val="es-ES_tradnl"/>
              </w:rPr>
            </w:pPr>
            <w:r w:rsidRPr="003F4671">
              <w:rPr>
                <w:b/>
                <w:bCs/>
                <w:szCs w:val="24"/>
                <w:lang w:val="es-ES_tradnl"/>
              </w:rPr>
              <w:t>Aplicación de las decisiones de la Conferencia Mundial de Radiocomunicaciones (Ginebra, 2015) (CMR-15) relacionadas con las estaciones terrenas a bordo de aeronaves no tripuladas (Resolución 155 (CMR-15))</w:t>
            </w:r>
          </w:p>
        </w:tc>
      </w:tr>
      <w:tr w:rsidR="00E53DCE" w:rsidRPr="00733C95" w:rsidTr="00306452">
        <w:trPr>
          <w:jc w:val="center"/>
        </w:trPr>
        <w:tc>
          <w:tcPr>
            <w:tcW w:w="1526" w:type="dxa"/>
            <w:shd w:val="clear" w:color="auto" w:fill="auto"/>
          </w:tcPr>
          <w:p w:rsidR="00E53DCE" w:rsidRPr="003F4671"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F4671" w:rsidRDefault="00E53DCE" w:rsidP="006160CB">
            <w:pPr>
              <w:tabs>
                <w:tab w:val="clear" w:pos="1588"/>
                <w:tab w:val="left" w:pos="1560"/>
              </w:tabs>
              <w:spacing w:before="0"/>
              <w:rPr>
                <w:b/>
                <w:bCs/>
                <w:szCs w:val="24"/>
                <w:lang w:val="es-ES_tradnl"/>
              </w:rPr>
            </w:pPr>
          </w:p>
        </w:tc>
      </w:tr>
      <w:tr w:rsidR="00E53DCE" w:rsidRPr="00733C95" w:rsidTr="00306452">
        <w:trPr>
          <w:jc w:val="center"/>
        </w:trPr>
        <w:tc>
          <w:tcPr>
            <w:tcW w:w="1526" w:type="dxa"/>
            <w:shd w:val="clear" w:color="auto" w:fill="auto"/>
          </w:tcPr>
          <w:p w:rsidR="00E53DCE" w:rsidRPr="003F4671"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3F4671" w:rsidRDefault="00E53DCE" w:rsidP="006160CB">
            <w:pPr>
              <w:tabs>
                <w:tab w:val="clear" w:pos="1588"/>
                <w:tab w:val="left" w:pos="1560"/>
              </w:tabs>
              <w:spacing w:before="0"/>
              <w:rPr>
                <w:b/>
                <w:bCs/>
                <w:szCs w:val="24"/>
                <w:lang w:val="es-ES_tradnl"/>
              </w:rPr>
            </w:pPr>
          </w:p>
        </w:tc>
      </w:tr>
      <w:tr w:rsidR="00E53DCE" w:rsidRPr="00733C95" w:rsidTr="00306452">
        <w:trPr>
          <w:jc w:val="center"/>
        </w:trPr>
        <w:tc>
          <w:tcPr>
            <w:tcW w:w="9889" w:type="dxa"/>
            <w:gridSpan w:val="3"/>
            <w:shd w:val="clear" w:color="auto" w:fill="auto"/>
          </w:tcPr>
          <w:p w:rsidR="00E53DCE" w:rsidRPr="003F4671" w:rsidRDefault="00E53DCE" w:rsidP="00E53DCE">
            <w:pPr>
              <w:tabs>
                <w:tab w:val="clear" w:pos="1588"/>
                <w:tab w:val="left" w:pos="1560"/>
              </w:tabs>
              <w:spacing w:before="0"/>
              <w:jc w:val="left"/>
              <w:rPr>
                <w:szCs w:val="24"/>
                <w:lang w:val="es-ES_tradnl"/>
              </w:rPr>
            </w:pPr>
          </w:p>
        </w:tc>
      </w:tr>
    </w:tbl>
    <w:p w:rsidR="001D6F90" w:rsidRPr="003F4671" w:rsidRDefault="001D6F90" w:rsidP="00B12408">
      <w:pPr>
        <w:pStyle w:val="Normalaftertitle"/>
        <w:rPr>
          <w:lang w:val="es-ES_tradnl"/>
        </w:rPr>
      </w:pPr>
      <w:r w:rsidRPr="003F4671">
        <w:rPr>
          <w:lang w:val="es-ES_tradnl"/>
        </w:rPr>
        <w:t xml:space="preserve">La Conferencia Mundial de Radiocomunicaciones (Ginebra, 2015) (CMR-15) adoptó una revisión parcial del Reglamento de Radiocomunicaciones, incluida la </w:t>
      </w:r>
      <w:r w:rsidRPr="003F4671">
        <w:rPr>
          <w:b/>
          <w:bCs/>
          <w:lang w:val="es-ES_tradnl"/>
        </w:rPr>
        <w:t>Resolución 155</w:t>
      </w:r>
      <w:r w:rsidRPr="003F4671">
        <w:rPr>
          <w:lang w:val="es-ES_tradnl"/>
        </w:rPr>
        <w:t xml:space="preserve"> (CMR-15), Disposiciones reglamentarias relativas a las estaciones terrenas a bordo de aeronaves no tripuladas que funcionan con redes de satélites geoestacionarios del servicio fijo por satélite en determinadas bandas de frecuencias no sujetas a un Plan de los Apéndices 30, 30A y 30B para el control y las comunicaciones sin carga útil de sistemas de aeronaves no tripuladas en espacios aéreos no segregados</w:t>
      </w:r>
      <w:r w:rsidRPr="003F4671">
        <w:rPr>
          <w:rStyle w:val="FootnoteReference"/>
          <w:lang w:val="es-ES_tradnl" w:eastAsia="zh-CN"/>
        </w:rPr>
        <w:footnoteReference w:customMarkFollows="1" w:id="1"/>
        <w:t>*</w:t>
      </w:r>
      <w:r w:rsidRPr="003F4671">
        <w:rPr>
          <w:lang w:val="es-ES_tradnl"/>
        </w:rPr>
        <w:t>.</w:t>
      </w:r>
    </w:p>
    <w:p w:rsidR="001D6F90" w:rsidRPr="003F4671" w:rsidRDefault="001D6F90" w:rsidP="00B12408">
      <w:pPr>
        <w:rPr>
          <w:lang w:val="es-ES_tradnl"/>
        </w:rPr>
      </w:pPr>
      <w:r w:rsidRPr="003F4671">
        <w:rPr>
          <w:lang w:val="es-ES_tradnl"/>
        </w:rPr>
        <w:t xml:space="preserve">El objetivo de esta Carta Circular es dar a las </w:t>
      </w:r>
      <w:r w:rsidR="00905712" w:rsidRPr="003F4671">
        <w:rPr>
          <w:lang w:val="es-ES_tradnl"/>
        </w:rPr>
        <w:t xml:space="preserve">administraciones </w:t>
      </w:r>
      <w:r w:rsidRPr="003F4671">
        <w:rPr>
          <w:lang w:val="es-ES_tradnl"/>
        </w:rPr>
        <w:t xml:space="preserve">información y orientaciones sobre los distintos aspectos de la </w:t>
      </w:r>
      <w:r w:rsidRPr="003F4671">
        <w:rPr>
          <w:b/>
          <w:bCs/>
          <w:lang w:val="es-ES_tradnl"/>
        </w:rPr>
        <w:t>Resolución 155 (CMR-15)</w:t>
      </w:r>
      <w:r w:rsidRPr="003F4671">
        <w:rPr>
          <w:lang w:val="es-ES_tradnl"/>
        </w:rPr>
        <w:t xml:space="preserve">, de conformidad con su </w:t>
      </w:r>
      <w:r w:rsidRPr="003F4671">
        <w:rPr>
          <w:i/>
          <w:iCs/>
          <w:lang w:val="es-ES_tradnl"/>
        </w:rPr>
        <w:t xml:space="preserve">encarga al Director de la Oficina de Radiocomunicaciones </w:t>
      </w:r>
      <w:r w:rsidRPr="006C5AEA">
        <w:rPr>
          <w:lang w:val="es-ES_tradnl"/>
        </w:rPr>
        <w:t>1</w:t>
      </w:r>
      <w:r w:rsidRPr="003F4671">
        <w:rPr>
          <w:i/>
          <w:iCs/>
          <w:lang w:val="es-ES_tradnl"/>
        </w:rPr>
        <w:t xml:space="preserve">, </w:t>
      </w:r>
      <w:r w:rsidRPr="003F4671">
        <w:rPr>
          <w:lang w:val="es-ES_tradnl"/>
        </w:rPr>
        <w:t xml:space="preserve">a saber, </w:t>
      </w:r>
      <w:r w:rsidR="00791EEA" w:rsidRPr="003F4671">
        <w:rPr>
          <w:lang w:val="es-ES_tradnl"/>
        </w:rPr>
        <w:t>«</w:t>
      </w:r>
      <w:r w:rsidRPr="003F4671">
        <w:rPr>
          <w:lang w:val="es-ES_tradnl"/>
        </w:rPr>
        <w:t>que examine la parte pertinente de la presente Resolución en la que se estipulan las medidas que deben tomar las administraciones con respecto a la aplicación de la presente Resolución con miras a enviarla a las administraciones y publicarla en el sitio web de la UIT</w:t>
      </w:r>
      <w:r w:rsidR="00791EEA" w:rsidRPr="003F4671">
        <w:rPr>
          <w:lang w:val="es-ES_tradnl"/>
        </w:rPr>
        <w:t>»</w:t>
      </w:r>
      <w:r w:rsidRPr="003F4671">
        <w:rPr>
          <w:lang w:val="es-ES_tradnl"/>
        </w:rPr>
        <w:t>.</w:t>
      </w:r>
    </w:p>
    <w:p w:rsidR="001D6F90" w:rsidRPr="003F4671" w:rsidRDefault="001D6F90" w:rsidP="00B12408">
      <w:pPr>
        <w:pStyle w:val="Headingb"/>
        <w:tabs>
          <w:tab w:val="clear" w:pos="794"/>
        </w:tabs>
        <w:ind w:left="0" w:firstLine="0"/>
        <w:rPr>
          <w:lang w:val="es-ES_tradnl"/>
        </w:rPr>
      </w:pPr>
      <w:r w:rsidRPr="003F4671">
        <w:rPr>
          <w:lang w:val="es-ES_tradnl"/>
        </w:rPr>
        <w:t>Nueva clase de estación para las estaciones terrenas que facilitan enlaces para el control y las comunicaciones sin carga útil de sistemas de aeronaves no tripuladas (CNPC SANT)</w:t>
      </w:r>
    </w:p>
    <w:p w:rsidR="00733C95" w:rsidRDefault="001D6F90" w:rsidP="00733C95">
      <w:pPr>
        <w:spacing w:after="120"/>
        <w:rPr>
          <w:lang w:val="es-ES_tradnl"/>
        </w:rPr>
      </w:pPr>
      <w:r w:rsidRPr="003F4671">
        <w:rPr>
          <w:lang w:val="es-ES_tradnl"/>
        </w:rPr>
        <w:t xml:space="preserve">En respuesta al </w:t>
      </w:r>
      <w:r w:rsidRPr="003F4671">
        <w:rPr>
          <w:i/>
          <w:iCs/>
          <w:lang w:val="es-ES_tradnl"/>
        </w:rPr>
        <w:t>encarga al Director de la Oficina de Radiocomunicaciones</w:t>
      </w:r>
      <w:r w:rsidRPr="003F4671">
        <w:rPr>
          <w:lang w:val="es-ES_tradnl"/>
        </w:rPr>
        <w:t xml:space="preserve"> 3 – </w:t>
      </w:r>
      <w:r w:rsidR="00791EEA" w:rsidRPr="003F4671">
        <w:rPr>
          <w:lang w:val="es-ES_tradnl"/>
        </w:rPr>
        <w:t>«</w:t>
      </w:r>
      <w:r w:rsidRPr="003F4671">
        <w:rPr>
          <w:lang w:val="es-ES_tradnl"/>
        </w:rPr>
        <w:t xml:space="preserve">que defina una nueva clase de estación para poder tramitar las notificaciones de redes de satélite sometidas por las administraciones para las estaciones terrenas que proporcionan enlaces de CNPC ANT, después de que la Resolución se haya aplicado, de conformidad con la presente Resolución y publique la información mencionada en el </w:t>
      </w:r>
      <w:r w:rsidRPr="003F4671">
        <w:rPr>
          <w:i/>
          <w:iCs/>
          <w:lang w:val="es-ES_tradnl"/>
        </w:rPr>
        <w:t>resuelve</w:t>
      </w:r>
      <w:r w:rsidRPr="003F4671">
        <w:rPr>
          <w:lang w:val="es-ES_tradnl"/>
        </w:rPr>
        <w:t xml:space="preserve"> 4</w:t>
      </w:r>
      <w:r w:rsidR="00791EEA" w:rsidRPr="003F4671">
        <w:rPr>
          <w:lang w:val="es-ES_tradnl"/>
        </w:rPr>
        <w:t>»</w:t>
      </w:r>
      <w:r w:rsidRPr="003F4671">
        <w:rPr>
          <w:lang w:val="es-ES_tradnl"/>
        </w:rPr>
        <w:t xml:space="preserve"> – de la </w:t>
      </w:r>
      <w:r w:rsidRPr="003F4671">
        <w:rPr>
          <w:b/>
          <w:bCs/>
          <w:lang w:val="es-ES_tradnl"/>
        </w:rPr>
        <w:t>Resolución 155 (CMR</w:t>
      </w:r>
      <w:r w:rsidRPr="003F4671">
        <w:rPr>
          <w:b/>
          <w:bCs/>
          <w:lang w:val="es-ES_tradnl"/>
        </w:rPr>
        <w:noBreakHyphen/>
        <w:t>15)</w:t>
      </w:r>
      <w:r w:rsidRPr="003F4671">
        <w:rPr>
          <w:lang w:val="es-ES_tradnl"/>
        </w:rPr>
        <w:t>,</w:t>
      </w:r>
      <w:r w:rsidRPr="003F4671">
        <w:rPr>
          <w:b/>
          <w:bCs/>
          <w:lang w:val="es-ES_tradnl"/>
        </w:rPr>
        <w:t xml:space="preserve"> </w:t>
      </w:r>
      <w:r w:rsidRPr="003F4671">
        <w:rPr>
          <w:lang w:val="es-ES_tradnl"/>
        </w:rPr>
        <w:t xml:space="preserve">la Oficina ha identificado una nueva clase de estación para el Cuadro 3 del Prefacio de la BR IFIC (Servicios Espaciales) a fin de distinguir los enlaces CNPC entre estaciones espaciales y estaciones terrenas a bordo de ANT de otros enlaces de estaciones terrenas que comunican con redes de satélites </w:t>
      </w:r>
    </w:p>
    <w:p w:rsidR="00733C95" w:rsidRDefault="00733C95">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rsidR="001D6F90" w:rsidRPr="003F4671" w:rsidRDefault="001D6F90" w:rsidP="00733C95">
      <w:pPr>
        <w:spacing w:after="120"/>
        <w:rPr>
          <w:lang w:val="es-ES_tradnl"/>
        </w:rPr>
      </w:pPr>
      <w:bookmarkStart w:id="0" w:name="_GoBack"/>
      <w:bookmarkEnd w:id="0"/>
      <w:proofErr w:type="gramStart"/>
      <w:r w:rsidRPr="003F4671">
        <w:rPr>
          <w:lang w:val="es-ES_tradnl"/>
        </w:rPr>
        <w:lastRenderedPageBreak/>
        <w:t>geoestacionarios</w:t>
      </w:r>
      <w:proofErr w:type="gramEnd"/>
      <w:r w:rsidRPr="003F4671">
        <w:rPr>
          <w:lang w:val="es-ES_tradnl"/>
        </w:rPr>
        <w:t xml:space="preserve"> del SFS, como se expone a continuación:</w:t>
      </w:r>
    </w:p>
    <w:p w:rsidR="001D6F90" w:rsidRPr="003F4671" w:rsidRDefault="001D6F90" w:rsidP="00733C95">
      <w:pPr>
        <w:spacing w:before="0"/>
        <w:rPr>
          <w:lang w:val="es-ES_tradnl"/>
        </w:rPr>
      </w:pPr>
      <w:r w:rsidRPr="003F4671">
        <w:rPr>
          <w:b/>
          <w:lang w:val="es-ES_tradnl"/>
        </w:rPr>
        <w:t>UG</w:t>
      </w:r>
      <w:r w:rsidRPr="003F4671">
        <w:rPr>
          <w:lang w:val="es-ES_tradnl"/>
        </w:rPr>
        <w:t xml:space="preserve"> – Estación terrena a bordo de una aeronave no tripulada que comunica con una estación espacial de una red de satélites geoestacionarios del servicio fijo por satélite para el control y las comunicaciones sin carga útil de sistemas de aeronaves no tripuladas en el espacio aéreo no segregado en las bandas de frecuencias enumeradas en el </w:t>
      </w:r>
      <w:r w:rsidRPr="003F4671">
        <w:rPr>
          <w:i/>
          <w:iCs/>
          <w:lang w:val="es-ES_tradnl"/>
        </w:rPr>
        <w:t>resuelve</w:t>
      </w:r>
      <w:r w:rsidRPr="003F4671">
        <w:rPr>
          <w:lang w:val="es-ES_tradnl"/>
        </w:rPr>
        <w:t xml:space="preserve"> 1 de la </w:t>
      </w:r>
      <w:r w:rsidRPr="003F4671">
        <w:rPr>
          <w:b/>
          <w:bCs/>
          <w:lang w:val="es-ES_tradnl"/>
        </w:rPr>
        <w:t>Resolución 155 (CMR</w:t>
      </w:r>
      <w:r w:rsidR="00791EEA" w:rsidRPr="003F4671">
        <w:rPr>
          <w:b/>
          <w:bCs/>
          <w:lang w:val="es-ES_tradnl"/>
        </w:rPr>
        <w:noBreakHyphen/>
      </w:r>
      <w:r w:rsidRPr="003F4671">
        <w:rPr>
          <w:b/>
          <w:bCs/>
          <w:lang w:val="es-ES_tradnl"/>
        </w:rPr>
        <w:t>15)</w:t>
      </w:r>
      <w:r w:rsidRPr="003F4671">
        <w:rPr>
          <w:rStyle w:val="FootnoteReference"/>
          <w:lang w:val="es-ES_tradnl" w:eastAsia="zh-CN"/>
        </w:rPr>
        <w:footnoteReference w:customMarkFollows="1" w:id="2"/>
        <w:t>*</w:t>
      </w:r>
      <w:r w:rsidRPr="003F4671">
        <w:rPr>
          <w:lang w:val="es-ES_tradnl"/>
        </w:rPr>
        <w:t>.</w:t>
      </w:r>
    </w:p>
    <w:p w:rsidR="001D6F90" w:rsidRPr="003F4671" w:rsidRDefault="001D6F90" w:rsidP="00B12408">
      <w:pPr>
        <w:rPr>
          <w:lang w:val="es-ES_tradnl"/>
        </w:rPr>
      </w:pPr>
      <w:r w:rsidRPr="003F4671">
        <w:rPr>
          <w:lang w:val="es-ES_tradnl"/>
        </w:rPr>
        <w:t xml:space="preserve">Se invita a las administraciones a utilizar el símbolo de la nueva clase de estación, UG, a la hora de presentar a la Oficina una notificación para una red de satélites del SFS que proporciona enlaces CNPC ANT, o para una estación terrena a bordo de una ANT que comunica con estaciones espaciales del SFS OSG en las bandas de frecuencias y las condiciones especificadas en los </w:t>
      </w:r>
      <w:r w:rsidRPr="003F4671">
        <w:rPr>
          <w:i/>
          <w:iCs/>
          <w:lang w:val="es-ES_tradnl"/>
        </w:rPr>
        <w:t>resuelve </w:t>
      </w:r>
      <w:r w:rsidRPr="003F4671">
        <w:rPr>
          <w:lang w:val="es-ES_tradnl"/>
        </w:rPr>
        <w:t>1-12 y 14</w:t>
      </w:r>
      <w:r w:rsidR="00791EEA" w:rsidRPr="003F4671">
        <w:rPr>
          <w:lang w:val="es-ES_tradnl"/>
        </w:rPr>
        <w:noBreakHyphen/>
      </w:r>
      <w:r w:rsidRPr="003F4671">
        <w:rPr>
          <w:lang w:val="es-ES_tradnl"/>
        </w:rPr>
        <w:t xml:space="preserve">19 de la </w:t>
      </w:r>
      <w:r w:rsidRPr="003F4671">
        <w:rPr>
          <w:b/>
          <w:bCs/>
          <w:lang w:val="es-ES_tradnl"/>
        </w:rPr>
        <w:t>Resolución 155 (CMR-15)</w:t>
      </w:r>
      <w:r w:rsidRPr="003F4671">
        <w:rPr>
          <w:lang w:val="es-ES_tradnl"/>
        </w:rPr>
        <w:t>.</w:t>
      </w:r>
    </w:p>
    <w:p w:rsidR="001D6F90" w:rsidRPr="003F4671" w:rsidRDefault="001D6F90" w:rsidP="00B12408">
      <w:pPr>
        <w:rPr>
          <w:lang w:val="es-ES_tradnl"/>
        </w:rPr>
      </w:pPr>
      <w:r w:rsidRPr="003F4671">
        <w:rPr>
          <w:lang w:val="es-ES_tradnl"/>
        </w:rPr>
        <w:t xml:space="preserve">La versión actualizada del </w:t>
      </w:r>
      <w:r w:rsidRPr="003F4671">
        <w:rPr>
          <w:b/>
          <w:bCs/>
          <w:lang w:val="es-ES_tradnl"/>
        </w:rPr>
        <w:t>Cuadro 3</w:t>
      </w:r>
      <w:r w:rsidRPr="003F4671">
        <w:rPr>
          <w:lang w:val="es-ES_tradnl"/>
        </w:rPr>
        <w:t xml:space="preserve"> del Prefacio estará disponible para su consulta en línea en la dirección </w:t>
      </w:r>
      <w:hyperlink r:id="rId8" w:history="1">
        <w:r w:rsidRPr="003F4671">
          <w:rPr>
            <w:rStyle w:val="Hyperlink"/>
            <w:rFonts w:asciiTheme="minorHAnsi" w:hAnsiTheme="minorHAnsi"/>
            <w:szCs w:val="24"/>
            <w:lang w:val="es-ES_tradnl"/>
          </w:rPr>
          <w:t>http://www.itu.int/ITU-R/space/preface/index.html</w:t>
        </w:r>
      </w:hyperlink>
      <w:r w:rsidRPr="003F4671">
        <w:rPr>
          <w:lang w:val="es-ES_tradnl"/>
        </w:rPr>
        <w:t xml:space="preserve"> y también en la BR </w:t>
      </w:r>
      <w:r w:rsidRPr="003F4671">
        <w:rPr>
          <w:rStyle w:val="Strong"/>
          <w:rFonts w:asciiTheme="minorHAnsi" w:hAnsiTheme="minorHAnsi"/>
          <w:b w:val="0"/>
          <w:bCs w:val="0"/>
          <w:szCs w:val="24"/>
          <w:lang w:val="es-ES_tradnl"/>
        </w:rPr>
        <w:t xml:space="preserve">IFIC </w:t>
      </w:r>
      <w:r w:rsidRPr="003F4671">
        <w:rPr>
          <w:lang w:val="es-ES_tradnl"/>
        </w:rPr>
        <w:t>(Servicios Espaciales)</w:t>
      </w:r>
      <w:r w:rsidRPr="003F4671">
        <w:rPr>
          <w:rStyle w:val="Strong"/>
          <w:rFonts w:asciiTheme="minorHAnsi" w:hAnsiTheme="minorHAnsi"/>
          <w:b w:val="0"/>
          <w:bCs w:val="0"/>
          <w:szCs w:val="24"/>
          <w:lang w:val="es-ES_tradnl"/>
        </w:rPr>
        <w:t xml:space="preserve"> </w:t>
      </w:r>
      <w:r w:rsidR="00F01884" w:rsidRPr="00F01884">
        <w:rPr>
          <w:rStyle w:val="Strong"/>
          <w:rFonts w:asciiTheme="minorHAnsi" w:hAnsiTheme="minorHAnsi"/>
          <w:b w:val="0"/>
          <w:bCs w:val="0"/>
          <w:szCs w:val="24"/>
          <w:lang w:val="es-ES_tradnl"/>
        </w:rPr>
        <w:t>2824</w:t>
      </w:r>
      <w:r w:rsidRPr="00F01884">
        <w:rPr>
          <w:rStyle w:val="Strong"/>
          <w:rFonts w:asciiTheme="minorHAnsi" w:hAnsiTheme="minorHAnsi"/>
          <w:b w:val="0"/>
          <w:bCs w:val="0"/>
          <w:szCs w:val="24"/>
          <w:lang w:val="es-ES_tradnl"/>
        </w:rPr>
        <w:t>/</w:t>
      </w:r>
      <w:r w:rsidR="00F01884" w:rsidRPr="00F01884">
        <w:rPr>
          <w:rStyle w:val="Strong"/>
          <w:rFonts w:asciiTheme="minorHAnsi" w:hAnsiTheme="minorHAnsi"/>
          <w:b w:val="0"/>
          <w:bCs w:val="0"/>
          <w:szCs w:val="24"/>
          <w:lang w:val="es-ES_tradnl"/>
        </w:rPr>
        <w:t>19</w:t>
      </w:r>
      <w:r w:rsidR="00F01884">
        <w:rPr>
          <w:rStyle w:val="Strong"/>
          <w:rFonts w:asciiTheme="minorHAnsi" w:hAnsiTheme="minorHAnsi"/>
          <w:b w:val="0"/>
          <w:bCs w:val="0"/>
          <w:szCs w:val="24"/>
          <w:lang w:val="es-ES_tradnl"/>
        </w:rPr>
        <w:t>.07</w:t>
      </w:r>
      <w:r w:rsidRPr="003F4671">
        <w:rPr>
          <w:rStyle w:val="Strong"/>
          <w:rFonts w:asciiTheme="minorHAnsi" w:hAnsiTheme="minorHAnsi"/>
          <w:b w:val="0"/>
          <w:bCs w:val="0"/>
          <w:szCs w:val="24"/>
          <w:lang w:val="es-ES_tradnl"/>
        </w:rPr>
        <w:t>.2016</w:t>
      </w:r>
      <w:r w:rsidRPr="003F4671">
        <w:rPr>
          <w:b/>
          <w:bCs/>
          <w:lang w:val="es-ES_tradnl"/>
        </w:rPr>
        <w:t xml:space="preserve"> </w:t>
      </w:r>
      <w:r w:rsidRPr="003F4671">
        <w:rPr>
          <w:lang w:val="es-ES_tradnl"/>
        </w:rPr>
        <w:t xml:space="preserve">y posteriores. </w:t>
      </w:r>
    </w:p>
    <w:p w:rsidR="001D6F90" w:rsidRPr="003F4671" w:rsidRDefault="001D6F90" w:rsidP="00B12408">
      <w:pPr>
        <w:rPr>
          <w:lang w:val="es-ES_tradnl"/>
        </w:rPr>
      </w:pPr>
      <w:r w:rsidRPr="003F4671">
        <w:rPr>
          <w:lang w:val="es-ES_tradnl"/>
        </w:rPr>
        <w:t>El paquete informático actualizado de la BR para la notificación, validación y consulta por medios electrónicos de las redes de satélites (</w:t>
      </w:r>
      <w:proofErr w:type="spellStart"/>
      <w:r w:rsidRPr="003F4671">
        <w:rPr>
          <w:lang w:val="es-ES_tradnl"/>
        </w:rPr>
        <w:t>SpaceCap</w:t>
      </w:r>
      <w:proofErr w:type="spellEnd"/>
      <w:r w:rsidRPr="003F4671">
        <w:rPr>
          <w:lang w:val="es-ES_tradnl"/>
        </w:rPr>
        <w:t xml:space="preserve">, </w:t>
      </w:r>
      <w:proofErr w:type="spellStart"/>
      <w:r w:rsidRPr="003F4671">
        <w:rPr>
          <w:lang w:val="es-ES_tradnl"/>
        </w:rPr>
        <w:t>SpaceVal</w:t>
      </w:r>
      <w:proofErr w:type="spellEnd"/>
      <w:r w:rsidRPr="003F4671">
        <w:rPr>
          <w:lang w:val="es-ES_tradnl"/>
        </w:rPr>
        <w:t xml:space="preserve"> y </w:t>
      </w:r>
      <w:proofErr w:type="spellStart"/>
      <w:r w:rsidRPr="003F4671">
        <w:rPr>
          <w:lang w:val="es-ES_tradnl"/>
        </w:rPr>
        <w:t>SpaceQry</w:t>
      </w:r>
      <w:proofErr w:type="spellEnd"/>
      <w:r w:rsidRPr="003F4671">
        <w:rPr>
          <w:lang w:val="es-ES_tradnl"/>
        </w:rPr>
        <w:t xml:space="preserve">) con el nuevo símbolo </w:t>
      </w:r>
      <w:r w:rsidRPr="003F4671">
        <w:rPr>
          <w:b/>
          <w:bCs/>
          <w:lang w:val="es-ES_tradnl"/>
        </w:rPr>
        <w:t>UG</w:t>
      </w:r>
      <w:r w:rsidRPr="003F4671">
        <w:rPr>
          <w:lang w:val="es-ES_tradnl"/>
        </w:rPr>
        <w:t xml:space="preserve"> podrá descargarse en la dirección </w:t>
      </w:r>
      <w:hyperlink r:id="rId9" w:history="1">
        <w:r w:rsidRPr="003F4671">
          <w:rPr>
            <w:rStyle w:val="Hyperlink"/>
            <w:rFonts w:asciiTheme="minorHAnsi" w:hAnsiTheme="minorHAnsi"/>
            <w:color w:val="auto"/>
            <w:szCs w:val="24"/>
            <w:lang w:val="es-ES_tradnl"/>
          </w:rPr>
          <w:t>http://www.itu.int/ITU-R/go/space-software/en</w:t>
        </w:r>
      </w:hyperlink>
      <w:r w:rsidRPr="003F4671">
        <w:rPr>
          <w:lang w:val="es-ES_tradnl"/>
        </w:rPr>
        <w:t xml:space="preserve"> y también en la BR </w:t>
      </w:r>
      <w:r w:rsidRPr="003F4671">
        <w:rPr>
          <w:rStyle w:val="Strong"/>
          <w:rFonts w:asciiTheme="minorHAnsi" w:hAnsiTheme="minorHAnsi"/>
          <w:b w:val="0"/>
          <w:bCs w:val="0"/>
          <w:szCs w:val="24"/>
          <w:lang w:val="es-ES_tradnl"/>
        </w:rPr>
        <w:t xml:space="preserve">IFIC </w:t>
      </w:r>
      <w:r w:rsidRPr="003F4671">
        <w:rPr>
          <w:lang w:val="es-ES_tradnl"/>
        </w:rPr>
        <w:t>(Servicios Espaciales)</w:t>
      </w:r>
      <w:r w:rsidRPr="003F4671">
        <w:rPr>
          <w:rStyle w:val="Strong"/>
          <w:rFonts w:asciiTheme="minorHAnsi" w:hAnsiTheme="minorHAnsi"/>
          <w:b w:val="0"/>
          <w:bCs w:val="0"/>
          <w:szCs w:val="24"/>
          <w:lang w:val="es-ES_tradnl"/>
        </w:rPr>
        <w:t xml:space="preserve"> </w:t>
      </w:r>
      <w:r w:rsidR="00F01884">
        <w:rPr>
          <w:rStyle w:val="Strong"/>
          <w:rFonts w:asciiTheme="minorHAnsi" w:hAnsiTheme="minorHAnsi"/>
          <w:b w:val="0"/>
          <w:bCs w:val="0"/>
          <w:szCs w:val="24"/>
          <w:lang w:val="es-ES_tradnl"/>
        </w:rPr>
        <w:t>2827/30.08.2016</w:t>
      </w:r>
      <w:r w:rsidRPr="003F4671">
        <w:rPr>
          <w:b/>
          <w:bCs/>
          <w:lang w:val="es-ES_tradnl"/>
        </w:rPr>
        <w:t xml:space="preserve"> </w:t>
      </w:r>
      <w:r w:rsidRPr="003F4671">
        <w:rPr>
          <w:lang w:val="es-ES_tradnl"/>
        </w:rPr>
        <w:t>y en las posteriores.</w:t>
      </w:r>
    </w:p>
    <w:p w:rsidR="001D6F90" w:rsidRPr="003F4671" w:rsidRDefault="001D6F90" w:rsidP="00B12408">
      <w:pPr>
        <w:pStyle w:val="Headingb"/>
        <w:tabs>
          <w:tab w:val="clear" w:pos="794"/>
        </w:tabs>
        <w:ind w:left="0" w:firstLine="0"/>
        <w:rPr>
          <w:rFonts w:asciiTheme="minorHAnsi" w:hAnsiTheme="minorHAnsi"/>
          <w:szCs w:val="24"/>
          <w:lang w:val="es-ES_tradnl"/>
        </w:rPr>
      </w:pPr>
      <w:r w:rsidRPr="003F4671">
        <w:rPr>
          <w:rFonts w:asciiTheme="minorHAnsi" w:hAnsiTheme="minorHAnsi"/>
          <w:bCs/>
          <w:szCs w:val="24"/>
          <w:lang w:val="es-ES_tradnl"/>
        </w:rPr>
        <w:t>Presentación por las administraciones de información sobre las notificaciones de redes de satélites con estaciones terrenas que proporcionan enlaces CNPC SANT</w:t>
      </w:r>
    </w:p>
    <w:p w:rsidR="001D6F90" w:rsidRPr="003F4671" w:rsidRDefault="001D6F90" w:rsidP="00B12408">
      <w:pPr>
        <w:rPr>
          <w:lang w:val="es-ES_tradnl"/>
        </w:rPr>
      </w:pPr>
      <w:r w:rsidRPr="003F4671">
        <w:rPr>
          <w:lang w:val="es-ES_tradnl"/>
        </w:rPr>
        <w:t xml:space="preserve">A fin de ayudar en los estudios del UIT-R y de conformidad con el </w:t>
      </w:r>
      <w:r w:rsidRPr="003F4671">
        <w:rPr>
          <w:i/>
          <w:iCs/>
          <w:lang w:val="es-ES_tradnl"/>
        </w:rPr>
        <w:t>resuelve alentar a las administraciones</w:t>
      </w:r>
      <w:r w:rsidRPr="003F4671">
        <w:rPr>
          <w:lang w:val="es-ES_tradnl"/>
        </w:rPr>
        <w:t xml:space="preserve"> 1 – </w:t>
      </w:r>
      <w:r w:rsidR="00791EEA" w:rsidRPr="003F4671">
        <w:rPr>
          <w:lang w:val="es-ES_tradnl"/>
        </w:rPr>
        <w:t>«</w:t>
      </w:r>
      <w:r w:rsidRPr="003F4671">
        <w:rPr>
          <w:lang w:val="es-ES_tradnl"/>
        </w:rPr>
        <w:t xml:space="preserve">a proporcionar la información pertinente cuando esté disponible a fin de facilitar la aplicación del </w:t>
      </w:r>
      <w:r w:rsidRPr="003F4671">
        <w:rPr>
          <w:i/>
          <w:iCs/>
          <w:lang w:val="es-ES_tradnl"/>
        </w:rPr>
        <w:t>resuelve</w:t>
      </w:r>
      <w:r w:rsidRPr="003F4671">
        <w:rPr>
          <w:lang w:val="es-ES_tradnl"/>
        </w:rPr>
        <w:t xml:space="preserve"> 6</w:t>
      </w:r>
      <w:r w:rsidR="00791EEA" w:rsidRPr="003F4671">
        <w:rPr>
          <w:lang w:val="es-ES_tradnl"/>
        </w:rPr>
        <w:t>»</w:t>
      </w:r>
      <w:r w:rsidRPr="003F4671">
        <w:rPr>
          <w:lang w:val="es-ES_tradnl"/>
        </w:rPr>
        <w:t xml:space="preserve"> – de la </w:t>
      </w:r>
      <w:r w:rsidRPr="003F4671">
        <w:rPr>
          <w:b/>
          <w:lang w:val="es-ES_tradnl"/>
        </w:rPr>
        <w:t>Resolución 155 (CMR-15)</w:t>
      </w:r>
      <w:r w:rsidRPr="003F4671">
        <w:rPr>
          <w:lang w:val="es-ES_tradnl"/>
        </w:rPr>
        <w:t xml:space="preserve">, la Oficina se complace en ofrecer a las administraciones una plataforma web para la publicación, únicamente con fines informativos, de las notificaciones </w:t>
      </w:r>
      <w:r w:rsidR="00791EEA" w:rsidRPr="003F4671">
        <w:rPr>
          <w:lang w:val="es-ES_tradnl"/>
        </w:rPr>
        <w:t>«</w:t>
      </w:r>
      <w:r w:rsidRPr="003F4671">
        <w:rPr>
          <w:lang w:val="es-ES_tradnl"/>
        </w:rPr>
        <w:t>originales</w:t>
      </w:r>
      <w:r w:rsidR="00791EEA" w:rsidRPr="003F4671">
        <w:rPr>
          <w:lang w:val="es-ES_tradnl"/>
        </w:rPr>
        <w:t>»</w:t>
      </w:r>
      <w:r w:rsidRPr="003F4671">
        <w:rPr>
          <w:lang w:val="es-ES_tradnl"/>
        </w:rPr>
        <w:t xml:space="preserve"> recibidas en virtud de los Artículos </w:t>
      </w:r>
      <w:r w:rsidRPr="003F4671">
        <w:rPr>
          <w:b/>
          <w:lang w:val="es-ES_tradnl"/>
        </w:rPr>
        <w:t>9</w:t>
      </w:r>
      <w:r w:rsidRPr="003F4671">
        <w:rPr>
          <w:lang w:val="es-ES_tradnl"/>
        </w:rPr>
        <w:t xml:space="preserve"> u </w:t>
      </w:r>
      <w:r w:rsidRPr="003F4671">
        <w:rPr>
          <w:b/>
          <w:lang w:val="es-ES_tradnl"/>
        </w:rPr>
        <w:t>11</w:t>
      </w:r>
      <w:r w:rsidRPr="003F4671">
        <w:rPr>
          <w:lang w:val="es-ES_tradnl"/>
        </w:rPr>
        <w:t xml:space="preserve"> del Reglamento de Radiocomunicaciones para redes del SFS que proporcionan enlaces CNPC SANT o para estaciones terrenas a bordo de ANT que comunican con estaciones espaciales del SFS OSG en la dirección:</w:t>
      </w:r>
    </w:p>
    <w:p w:rsidR="001D6F90" w:rsidRPr="003F4671" w:rsidRDefault="00733C95" w:rsidP="00CF6D09">
      <w:pPr>
        <w:ind w:left="142"/>
        <w:jc w:val="center"/>
        <w:rPr>
          <w:color w:val="1F497D"/>
          <w:szCs w:val="24"/>
          <w:lang w:val="es-ES_tradnl"/>
        </w:rPr>
      </w:pPr>
      <w:hyperlink r:id="rId10" w:history="1">
        <w:r w:rsidR="00F01884" w:rsidRPr="00F01884">
          <w:rPr>
            <w:rStyle w:val="Hyperlink"/>
            <w:lang w:val="es-ES_tradnl" w:eastAsia="zh-CN"/>
          </w:rPr>
          <w:t>https://www.itu.int/net4/ITU-R/space/UAS-submissions</w:t>
        </w:r>
      </w:hyperlink>
    </w:p>
    <w:p w:rsidR="001D6F90" w:rsidRPr="003F4671" w:rsidRDefault="001D6F90" w:rsidP="00B12408">
      <w:pPr>
        <w:rPr>
          <w:lang w:val="es-ES_tradnl"/>
        </w:rPr>
      </w:pPr>
      <w:r w:rsidRPr="003F4671">
        <w:rPr>
          <w:lang w:val="es-ES_tradnl"/>
        </w:rPr>
        <w:t>La plataforma contendrá todas las decisiones de la CMR, así como las Recomendaciones e Informes UIT-R, pertinentes, información sobre la presentación de notificaciones a través de la dirección de correo electrónico de la BR (</w:t>
      </w:r>
      <w:hyperlink r:id="rId11" w:history="1">
        <w:r w:rsidRPr="003F4671">
          <w:rPr>
            <w:rStyle w:val="Hyperlink"/>
            <w:rFonts w:asciiTheme="minorHAnsi" w:hAnsiTheme="minorHAnsi"/>
            <w:bCs/>
            <w:szCs w:val="24"/>
            <w:lang w:val="es-ES_tradnl"/>
          </w:rPr>
          <w:t>brmail@itu.int</w:t>
        </w:r>
      </w:hyperlink>
      <w:r w:rsidRPr="003F4671">
        <w:rPr>
          <w:lang w:val="es-ES_tradnl"/>
        </w:rPr>
        <w:t>) y su formato (Anexo 2 al Apéndice 4 en formato electrónico compatible con el software de cumplimentación de formularios de notificación electrónica de la BR (</w:t>
      </w:r>
      <w:proofErr w:type="spellStart"/>
      <w:r w:rsidRPr="003F4671">
        <w:rPr>
          <w:lang w:val="es-ES_tradnl"/>
        </w:rPr>
        <w:t>SpaceCap</w:t>
      </w:r>
      <w:proofErr w:type="spellEnd"/>
      <w:r w:rsidRPr="003F4671">
        <w:rPr>
          <w:lang w:val="es-ES_tradnl"/>
        </w:rPr>
        <w:t xml:space="preserve">)), además de la lista de notificaciones </w:t>
      </w:r>
      <w:r w:rsidR="00791EEA" w:rsidRPr="003F4671">
        <w:rPr>
          <w:lang w:val="es-ES_tradnl"/>
        </w:rPr>
        <w:t>«</w:t>
      </w:r>
      <w:r w:rsidRPr="003F4671">
        <w:rPr>
          <w:lang w:val="es-ES_tradnl"/>
        </w:rPr>
        <w:t>originales</w:t>
      </w:r>
      <w:r w:rsidR="00791EEA" w:rsidRPr="003F4671">
        <w:rPr>
          <w:lang w:val="es-ES_tradnl"/>
        </w:rPr>
        <w:t>»</w:t>
      </w:r>
      <w:r w:rsidRPr="003F4671">
        <w:rPr>
          <w:lang w:val="es-ES_tradnl"/>
        </w:rPr>
        <w:t>. Esas notificaciones se publican únicamente con fines informativos y pueden contener información sobre las estaciones espaciales a bordo</w:t>
      </w:r>
      <w:r w:rsidR="006C5AEA">
        <w:rPr>
          <w:lang w:val="es-ES_tradnl"/>
        </w:rPr>
        <w:t xml:space="preserve"> de un satélite geoestacionario</w:t>
      </w:r>
      <w:r w:rsidRPr="003F4671">
        <w:rPr>
          <w:lang w:val="es-ES_tradnl"/>
        </w:rPr>
        <w:t xml:space="preserve">, incluidas las estaciones terrenas </w:t>
      </w:r>
      <w:r w:rsidR="00791EEA" w:rsidRPr="003F4671">
        <w:rPr>
          <w:lang w:val="es-ES_tradnl"/>
        </w:rPr>
        <w:t>«</w:t>
      </w:r>
      <w:r w:rsidRPr="003F4671">
        <w:rPr>
          <w:lang w:val="es-ES_tradnl"/>
        </w:rPr>
        <w:t>UG</w:t>
      </w:r>
      <w:r w:rsidR="00791EEA" w:rsidRPr="003F4671">
        <w:rPr>
          <w:lang w:val="es-ES_tradnl"/>
        </w:rPr>
        <w:t>»</w:t>
      </w:r>
      <w:r w:rsidRPr="003F4671">
        <w:rPr>
          <w:lang w:val="es-ES_tradnl"/>
        </w:rPr>
        <w:t xml:space="preserve"> asociadas, o información sobre estaciones terrenas </w:t>
      </w:r>
      <w:r w:rsidR="00791EEA" w:rsidRPr="003F4671">
        <w:rPr>
          <w:lang w:val="es-ES_tradnl"/>
        </w:rPr>
        <w:t>«</w:t>
      </w:r>
      <w:r w:rsidRPr="003F4671">
        <w:rPr>
          <w:lang w:val="es-ES_tradnl"/>
        </w:rPr>
        <w:t>UG</w:t>
      </w:r>
      <w:r w:rsidR="00791EEA" w:rsidRPr="003F4671">
        <w:rPr>
          <w:lang w:val="es-ES_tradnl"/>
        </w:rPr>
        <w:t>»</w:t>
      </w:r>
      <w:r w:rsidRPr="003F4671">
        <w:rPr>
          <w:lang w:val="es-ES_tradnl"/>
        </w:rPr>
        <w:t xml:space="preserve"> típicas, incluida la identidad de la estación espacial asociada con enlaces CNPC SANT. </w:t>
      </w:r>
    </w:p>
    <w:p w:rsidR="001D6F90" w:rsidRPr="003F4671" w:rsidRDefault="001D6F90" w:rsidP="00B12408">
      <w:pPr>
        <w:rPr>
          <w:lang w:val="es-ES_tradnl"/>
        </w:rPr>
      </w:pPr>
      <w:r w:rsidRPr="003F4671">
        <w:rPr>
          <w:lang w:val="es-ES_tradnl"/>
        </w:rPr>
        <w:t xml:space="preserve">De conformidad con </w:t>
      </w:r>
      <w:proofErr w:type="spellStart"/>
      <w:r w:rsidRPr="003F4671">
        <w:rPr>
          <w:lang w:val="es-ES_tradnl"/>
        </w:rPr>
        <w:t>el</w:t>
      </w:r>
      <w:proofErr w:type="spellEnd"/>
      <w:r w:rsidRPr="003F4671">
        <w:rPr>
          <w:lang w:val="es-ES_tradnl"/>
        </w:rPr>
        <w:t xml:space="preserve"> </w:t>
      </w:r>
      <w:r w:rsidRPr="003F4671">
        <w:rPr>
          <w:i/>
          <w:iCs/>
          <w:lang w:val="es-ES_tradnl"/>
        </w:rPr>
        <w:t xml:space="preserve">encarga al Director de la Oficina de Radiocomunicaciones </w:t>
      </w:r>
      <w:r w:rsidRPr="003F4671">
        <w:rPr>
          <w:lang w:val="es-ES_tradnl"/>
        </w:rPr>
        <w:t xml:space="preserve">4 de la </w:t>
      </w:r>
      <w:r w:rsidRPr="003F4671">
        <w:rPr>
          <w:b/>
          <w:bCs/>
          <w:lang w:val="es-ES_tradnl"/>
        </w:rPr>
        <w:t>Resolución</w:t>
      </w:r>
      <w:r w:rsidR="00791EEA" w:rsidRPr="003F4671">
        <w:rPr>
          <w:b/>
          <w:bCs/>
          <w:lang w:val="es-ES_tradnl"/>
        </w:rPr>
        <w:t> </w:t>
      </w:r>
      <w:r w:rsidRPr="006C5AEA">
        <w:rPr>
          <w:b/>
          <w:bCs/>
          <w:lang w:val="es-ES_tradnl"/>
        </w:rPr>
        <w:t>155 (CMR-15)</w:t>
      </w:r>
      <w:r w:rsidRPr="003F4671">
        <w:rPr>
          <w:lang w:val="es-ES_tradnl"/>
        </w:rPr>
        <w:t xml:space="preserve">, la Oficina no debe tramitar notificaciones de redes de satélites sometidas por administraciones con una nueva clase de estación para estaciones terrenas que proporcionan enlaces CNPC ANT antes de que se hayan aplicado los </w:t>
      </w:r>
      <w:r w:rsidRPr="003F4671">
        <w:rPr>
          <w:i/>
          <w:iCs/>
          <w:lang w:val="es-ES_tradnl"/>
        </w:rPr>
        <w:t>resuelve</w:t>
      </w:r>
      <w:r w:rsidRPr="003F4671">
        <w:rPr>
          <w:lang w:val="es-ES_tradnl"/>
        </w:rPr>
        <w:t xml:space="preserve"> 1-12 y 14-19 de esa Resolución.</w:t>
      </w:r>
    </w:p>
    <w:p w:rsidR="001D6F90" w:rsidRPr="003F4671" w:rsidRDefault="001D6F90" w:rsidP="00B12408">
      <w:pPr>
        <w:pStyle w:val="Headingb"/>
        <w:tabs>
          <w:tab w:val="clear" w:pos="794"/>
        </w:tabs>
        <w:ind w:left="0" w:firstLine="0"/>
        <w:rPr>
          <w:rFonts w:asciiTheme="minorHAnsi" w:hAnsiTheme="minorHAnsi"/>
          <w:b w:val="0"/>
          <w:bCs/>
          <w:szCs w:val="24"/>
          <w:lang w:val="es-ES_tradnl"/>
        </w:rPr>
      </w:pPr>
      <w:r w:rsidRPr="003F4671">
        <w:rPr>
          <w:rFonts w:asciiTheme="minorHAnsi" w:hAnsiTheme="minorHAnsi"/>
          <w:bCs/>
          <w:szCs w:val="24"/>
          <w:lang w:val="es-ES_tradnl"/>
        </w:rPr>
        <w:lastRenderedPageBreak/>
        <w:t>Estudios en relación con la aplicación de la Resolución 155 (CMR-15)</w:t>
      </w:r>
    </w:p>
    <w:p w:rsidR="001D6F90" w:rsidRPr="003F4671" w:rsidRDefault="001D6F90" w:rsidP="00B12408">
      <w:pPr>
        <w:rPr>
          <w:lang w:val="es-ES_tradnl"/>
        </w:rPr>
      </w:pPr>
      <w:r w:rsidRPr="003F4671">
        <w:rPr>
          <w:b/>
          <w:bCs/>
          <w:lang w:val="es-ES_tradnl"/>
        </w:rPr>
        <w:t>La Resolución 155 (CMR-15)</w:t>
      </w:r>
      <w:r w:rsidRPr="003F4671">
        <w:rPr>
          <w:lang w:val="es-ES_tradnl"/>
        </w:rPr>
        <w:t xml:space="preserve"> invita tanto como alienta, pues </w:t>
      </w:r>
      <w:r w:rsidRPr="003F4671">
        <w:rPr>
          <w:i/>
          <w:iCs/>
          <w:lang w:val="es-ES_tradnl"/>
        </w:rPr>
        <w:t>invita al Sector de Radiocomunicaciones de la UIT</w:t>
      </w:r>
      <w:r w:rsidRPr="003F4671">
        <w:rPr>
          <w:lang w:val="es-ES_tradnl"/>
        </w:rPr>
        <w:t xml:space="preserve"> </w:t>
      </w:r>
      <w:r w:rsidR="00791EEA" w:rsidRPr="003F4671">
        <w:rPr>
          <w:lang w:val="es-ES_tradnl"/>
        </w:rPr>
        <w:t>«</w:t>
      </w:r>
      <w:r w:rsidRPr="003F4671">
        <w:rPr>
          <w:lang w:val="es-ES_tradnl"/>
        </w:rPr>
        <w:t>a llevar a cabo urgentemente los estudios pertinentes sobre aspectos técnicos, operativos y reglamentarios en relación con la aplicación de la presente Resolución</w:t>
      </w:r>
      <w:r w:rsidR="00791EEA" w:rsidRPr="003F4671">
        <w:rPr>
          <w:lang w:val="es-ES_tradnl"/>
        </w:rPr>
        <w:t>»</w:t>
      </w:r>
      <w:r w:rsidRPr="003F4671">
        <w:rPr>
          <w:lang w:val="es-ES_tradnl"/>
        </w:rPr>
        <w:t xml:space="preserve">, y </w:t>
      </w:r>
      <w:r w:rsidRPr="003F4671">
        <w:rPr>
          <w:i/>
          <w:iCs/>
          <w:lang w:val="es-ES_tradnl"/>
        </w:rPr>
        <w:t>resuelve alentar a las administraciones</w:t>
      </w:r>
      <w:r w:rsidRPr="003F4671">
        <w:rPr>
          <w:lang w:val="es-ES_tradnl"/>
        </w:rPr>
        <w:t xml:space="preserve"> 2 </w:t>
      </w:r>
      <w:r w:rsidR="00791EEA" w:rsidRPr="003F4671">
        <w:rPr>
          <w:lang w:val="es-ES_tradnl"/>
        </w:rPr>
        <w:t>«</w:t>
      </w:r>
      <w:r w:rsidRPr="003F4671">
        <w:rPr>
          <w:lang w:val="es-ES_tradnl"/>
        </w:rPr>
        <w:t xml:space="preserve">a participar activamente en los estudios mencionados en el </w:t>
      </w:r>
      <w:r w:rsidRPr="003F4671">
        <w:rPr>
          <w:i/>
          <w:iCs/>
          <w:lang w:val="es-ES_tradnl"/>
        </w:rPr>
        <w:t>invita al Sector de Radiocomunicaciones de la UIT</w:t>
      </w:r>
      <w:r w:rsidRPr="003F4671">
        <w:rPr>
          <w:lang w:val="es-ES_tradnl"/>
        </w:rPr>
        <w:t xml:space="preserve"> presentando sus contribuciones al UIT-R</w:t>
      </w:r>
      <w:r w:rsidR="00791EEA" w:rsidRPr="003F4671">
        <w:rPr>
          <w:lang w:val="es-ES_tradnl"/>
        </w:rPr>
        <w:t>»</w:t>
      </w:r>
      <w:r w:rsidRPr="003F4671">
        <w:rPr>
          <w:lang w:val="es-ES_tradnl"/>
        </w:rPr>
        <w:t xml:space="preserve">. El </w:t>
      </w:r>
      <w:r w:rsidRPr="003F4671">
        <w:rPr>
          <w:i/>
          <w:iCs/>
          <w:lang w:val="es-ES_tradnl"/>
        </w:rPr>
        <w:t>resuelve</w:t>
      </w:r>
      <w:r w:rsidRPr="003F4671">
        <w:rPr>
          <w:lang w:val="es-ES_tradnl"/>
        </w:rPr>
        <w:t xml:space="preserve"> 16 también prevé </w:t>
      </w:r>
      <w:r w:rsidR="00791EEA" w:rsidRPr="003F4671">
        <w:rPr>
          <w:lang w:val="es-ES_tradnl"/>
        </w:rPr>
        <w:t>«</w:t>
      </w:r>
      <w:r w:rsidRPr="003F4671">
        <w:rPr>
          <w:lang w:val="es-ES_tradnl"/>
        </w:rPr>
        <w:t>que la próxima Conferencia examine y, en su caso, revise los límites estrictos de densidad de flujo de potencia indicados en el Anexo 2</w:t>
      </w:r>
      <w:r w:rsidR="00791EEA" w:rsidRPr="003F4671">
        <w:rPr>
          <w:lang w:val="es-ES_tradnl"/>
        </w:rPr>
        <w:t>»</w:t>
      </w:r>
      <w:r w:rsidRPr="003F4671">
        <w:rPr>
          <w:lang w:val="es-ES_tradnl"/>
        </w:rPr>
        <w:t>.</w:t>
      </w:r>
    </w:p>
    <w:p w:rsidR="001D6F90" w:rsidRPr="003F4671" w:rsidRDefault="001D6F90" w:rsidP="00B12408">
      <w:pPr>
        <w:rPr>
          <w:lang w:val="es-ES_tradnl"/>
        </w:rPr>
      </w:pPr>
      <w:r w:rsidRPr="003F4671">
        <w:rPr>
          <w:lang w:val="es-ES_tradnl"/>
        </w:rPr>
        <w:t>En este sentido, la Oficina confía en que las administraciones y los Miembros del Sector UIT-R mostrarán su mejor voluntad en cuanto a su activ</w:t>
      </w:r>
      <w:r w:rsidR="006C5AEA">
        <w:rPr>
          <w:lang w:val="es-ES_tradnl"/>
        </w:rPr>
        <w:t>a</w:t>
      </w:r>
      <w:r w:rsidRPr="003F4671">
        <w:rPr>
          <w:lang w:val="es-ES_tradnl"/>
        </w:rPr>
        <w:t xml:space="preserve"> participación en las próximas reuniones de las Comisiones de Estudio del UIT-R pertinentes, y en la presentación de contribuciones a las mismas, de manera que el Director de la Oficina de Radiocomunicaciones pueda presentar a la próxima CMR un informe de situación sobre los progresos logrados en la aplicación de la </w:t>
      </w:r>
      <w:r w:rsidRPr="003F4671">
        <w:rPr>
          <w:b/>
          <w:bCs/>
          <w:lang w:val="es-ES_tradnl"/>
        </w:rPr>
        <w:t>Resolución 155 (CMR</w:t>
      </w:r>
      <w:r w:rsidR="00791EEA" w:rsidRPr="003F4671">
        <w:rPr>
          <w:b/>
          <w:bCs/>
          <w:lang w:val="es-ES_tradnl"/>
        </w:rPr>
        <w:noBreakHyphen/>
      </w:r>
      <w:r w:rsidRPr="003F4671">
        <w:rPr>
          <w:b/>
          <w:bCs/>
          <w:lang w:val="es-ES_tradnl"/>
        </w:rPr>
        <w:t>15)</w:t>
      </w:r>
      <w:r w:rsidRPr="003F4671">
        <w:rPr>
          <w:lang w:val="es-ES_tradnl"/>
        </w:rPr>
        <w:t xml:space="preserve">, de conformidad con su </w:t>
      </w:r>
      <w:r w:rsidRPr="003F4671">
        <w:rPr>
          <w:i/>
          <w:iCs/>
          <w:lang w:val="es-ES_tradnl"/>
        </w:rPr>
        <w:t>encarga al Director de la Oficina de Radiocomunicaciones</w:t>
      </w:r>
      <w:r w:rsidRPr="003F4671">
        <w:rPr>
          <w:lang w:val="es-ES_tradnl"/>
        </w:rPr>
        <w:t xml:space="preserve"> 2.</w:t>
      </w:r>
    </w:p>
    <w:p w:rsidR="001D6F90" w:rsidRPr="003F4671" w:rsidRDefault="001D6F90" w:rsidP="00B12408">
      <w:pPr>
        <w:rPr>
          <w:lang w:val="es-ES_tradnl"/>
        </w:rPr>
      </w:pPr>
      <w:r w:rsidRPr="003F4671">
        <w:rPr>
          <w:lang w:val="es-ES_tradnl"/>
        </w:rPr>
        <w:t xml:space="preserve">La Oficina se mantiene a la disposición de su </w:t>
      </w:r>
      <w:r w:rsidR="00905712">
        <w:rPr>
          <w:lang w:val="es-ES_tradnl"/>
        </w:rPr>
        <w:t>A</w:t>
      </w:r>
      <w:r w:rsidR="00905712" w:rsidRPr="003F4671">
        <w:rPr>
          <w:lang w:val="es-ES_tradnl"/>
        </w:rPr>
        <w:t xml:space="preserve">dministración </w:t>
      </w:r>
      <w:r w:rsidRPr="003F4671">
        <w:rPr>
          <w:lang w:val="es-ES_tradnl"/>
        </w:rPr>
        <w:t xml:space="preserve">en la dirección </w:t>
      </w:r>
      <w:hyperlink r:id="rId12" w:history="1">
        <w:r w:rsidRPr="003F4671">
          <w:rPr>
            <w:rStyle w:val="Hyperlink"/>
            <w:rFonts w:asciiTheme="minorHAnsi" w:hAnsiTheme="minorHAnsi"/>
            <w:szCs w:val="24"/>
            <w:lang w:val="es-ES_tradnl"/>
          </w:rPr>
          <w:t>brmail@itu.int</w:t>
        </w:r>
      </w:hyperlink>
      <w:r w:rsidRPr="003F4671">
        <w:rPr>
          <w:lang w:val="es-ES_tradnl"/>
        </w:rPr>
        <w:t xml:space="preserve"> para facilitarle cualquier aclaración que pueda necesitar respecto de los asuntos tratados en la presente Carta Circular.</w:t>
      </w:r>
    </w:p>
    <w:p w:rsidR="00031E64" w:rsidRPr="003F4671" w:rsidRDefault="00E53DCE" w:rsidP="00830C5E">
      <w:pPr>
        <w:spacing w:before="1440" w:line="240" w:lineRule="auto"/>
        <w:jc w:val="left"/>
        <w:rPr>
          <w:szCs w:val="24"/>
          <w:lang w:val="es-ES_tradnl"/>
        </w:rPr>
      </w:pPr>
      <w:r w:rsidRPr="003F4671">
        <w:rPr>
          <w:szCs w:val="24"/>
          <w:lang w:val="es-ES_tradnl"/>
        </w:rPr>
        <w:t>François Rancy</w:t>
      </w:r>
      <w:r w:rsidRPr="003F4671">
        <w:rPr>
          <w:szCs w:val="24"/>
          <w:lang w:val="es-ES_tradnl"/>
        </w:rPr>
        <w:br/>
      </w:r>
      <w:r w:rsidR="00A96D3A" w:rsidRPr="003F4671">
        <w:rPr>
          <w:szCs w:val="24"/>
          <w:lang w:val="es-ES_tradnl"/>
        </w:rPr>
        <w:t xml:space="preserve">Director </w:t>
      </w:r>
    </w:p>
    <w:p w:rsidR="00830C5E" w:rsidRPr="006C5AEA" w:rsidRDefault="00830C5E" w:rsidP="008B1CB0">
      <w:pPr>
        <w:pStyle w:val="toc0"/>
        <w:tabs>
          <w:tab w:val="left" w:pos="794"/>
          <w:tab w:val="left" w:pos="1191"/>
          <w:tab w:val="left" w:pos="1588"/>
          <w:tab w:val="left" w:pos="1985"/>
        </w:tabs>
        <w:spacing w:before="6600" w:after="60"/>
        <w:jc w:val="both"/>
        <w:rPr>
          <w:bCs/>
          <w:sz w:val="18"/>
          <w:szCs w:val="18"/>
          <w:u w:val="single"/>
          <w:lang w:val="es-ES_tradnl"/>
        </w:rPr>
      </w:pPr>
      <w:r w:rsidRPr="006C5AEA">
        <w:rPr>
          <w:bCs/>
          <w:sz w:val="18"/>
          <w:szCs w:val="18"/>
          <w:u w:val="single"/>
          <w:lang w:val="es-ES_tradnl"/>
        </w:rPr>
        <w:t>Distribución:</w:t>
      </w:r>
    </w:p>
    <w:p w:rsidR="00830C5E" w:rsidRPr="003F4671" w:rsidRDefault="00830C5E" w:rsidP="001D6F90">
      <w:pPr>
        <w:pStyle w:val="enumlev1"/>
        <w:tabs>
          <w:tab w:val="clear" w:pos="794"/>
          <w:tab w:val="left" w:pos="284"/>
        </w:tabs>
        <w:spacing w:before="0" w:line="240" w:lineRule="auto"/>
        <w:rPr>
          <w:sz w:val="18"/>
          <w:szCs w:val="18"/>
          <w:lang w:val="es-ES_tradnl"/>
        </w:rPr>
      </w:pPr>
      <w:r w:rsidRPr="003F4671">
        <w:rPr>
          <w:sz w:val="18"/>
          <w:szCs w:val="18"/>
          <w:lang w:val="es-ES_tradnl"/>
        </w:rPr>
        <w:t>–</w:t>
      </w:r>
      <w:r w:rsidRPr="003F4671">
        <w:rPr>
          <w:sz w:val="18"/>
          <w:szCs w:val="18"/>
          <w:lang w:val="es-ES_tradnl"/>
        </w:rPr>
        <w:tab/>
      </w:r>
      <w:r w:rsidR="001D6F90" w:rsidRPr="003F4671">
        <w:rPr>
          <w:sz w:val="18"/>
          <w:szCs w:val="18"/>
          <w:lang w:val="es-ES_tradnl"/>
        </w:rPr>
        <w:t>Administraciones de los Estados Miembros de la UIT</w:t>
      </w:r>
    </w:p>
    <w:p w:rsidR="00830C5E" w:rsidRPr="003F4671" w:rsidRDefault="00830C5E" w:rsidP="001D6F90">
      <w:pPr>
        <w:pStyle w:val="enumlev1"/>
        <w:tabs>
          <w:tab w:val="clear" w:pos="794"/>
          <w:tab w:val="left" w:pos="284"/>
        </w:tabs>
        <w:spacing w:before="0" w:line="240" w:lineRule="auto"/>
        <w:rPr>
          <w:sz w:val="18"/>
          <w:szCs w:val="18"/>
          <w:lang w:val="es-ES_tradnl"/>
        </w:rPr>
      </w:pPr>
      <w:r w:rsidRPr="003F4671">
        <w:rPr>
          <w:sz w:val="18"/>
          <w:szCs w:val="18"/>
          <w:lang w:val="es-ES_tradnl"/>
        </w:rPr>
        <w:t>–</w:t>
      </w:r>
      <w:r w:rsidRPr="003F4671">
        <w:rPr>
          <w:sz w:val="18"/>
          <w:szCs w:val="18"/>
          <w:lang w:val="es-ES_tradnl"/>
        </w:rPr>
        <w:tab/>
      </w:r>
      <w:r w:rsidR="001D6F90" w:rsidRPr="003F4671">
        <w:rPr>
          <w:sz w:val="18"/>
          <w:szCs w:val="18"/>
          <w:lang w:val="es-ES_tradnl"/>
        </w:rPr>
        <w:t>Miembros de la Junta del Reglamento de Radiocomunicaciones</w:t>
      </w:r>
    </w:p>
    <w:sectPr w:rsidR="00830C5E" w:rsidRPr="003F4671"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C07" w:rsidRDefault="00472C07">
      <w:r>
        <w:separator/>
      </w:r>
    </w:p>
  </w:endnote>
  <w:endnote w:type="continuationSeparator" w:id="0">
    <w:p w:rsidR="00472C07" w:rsidRDefault="0047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912DAB" w:rsidRDefault="00912DAB" w:rsidP="000D3F3B">
    <w:pPr>
      <w:pStyle w:val="FirstFooter"/>
      <w:spacing w:line="240" w:lineRule="auto"/>
      <w:ind w:left="-397" w:right="-397"/>
      <w:jc w:val="center"/>
      <w:rPr>
        <w:sz w:val="18"/>
        <w:szCs w:val="18"/>
        <w:lang w:val="es-ES_tradnl"/>
      </w:rPr>
    </w:pPr>
    <w:r w:rsidRPr="00311970">
      <w:rPr>
        <w:color w:val="3E8EDE"/>
        <w:sz w:val="18"/>
        <w:szCs w:val="18"/>
        <w:lang w:val="es-ES"/>
      </w:rPr>
      <w:t>Unión Internacional</w:t>
    </w:r>
    <w:r w:rsidRPr="00345938">
      <w:rPr>
        <w:sz w:val="18"/>
        <w:szCs w:val="18"/>
        <w:lang w:val="es-ES_tradnl"/>
      </w:rPr>
      <w:t xml:space="preserve"> </w:t>
    </w:r>
    <w:r w:rsidRPr="00311970">
      <w:rPr>
        <w:color w:val="3E8EDE"/>
        <w:sz w:val="18"/>
        <w:szCs w:val="18"/>
        <w:lang w:val="es-ES"/>
      </w:rPr>
      <w:t xml:space="preserve">de Telecomunicaciones • Place des </w:t>
    </w:r>
    <w:proofErr w:type="spellStart"/>
    <w:r w:rsidRPr="00311970">
      <w:rPr>
        <w:color w:val="3E8EDE"/>
        <w:sz w:val="18"/>
        <w:szCs w:val="18"/>
        <w:lang w:val="es-ES"/>
      </w:rPr>
      <w:t>Nations</w:t>
    </w:r>
    <w:proofErr w:type="spellEnd"/>
    <w:r w:rsidRPr="00311970">
      <w:rPr>
        <w:color w:val="3E8EDE"/>
        <w:sz w:val="18"/>
        <w:szCs w:val="18"/>
        <w:lang w:val="es-ES"/>
      </w:rPr>
      <w:t xml:space="preserve"> • CH</w:t>
    </w:r>
    <w:r w:rsidRPr="00311970">
      <w:rPr>
        <w:color w:val="3E8EDE"/>
        <w:sz w:val="18"/>
        <w:szCs w:val="18"/>
        <w:lang w:val="es-ES"/>
      </w:rPr>
      <w:noBreakHyphen/>
      <w:t>1211 Ginebra 20 • Suiza</w:t>
    </w:r>
    <w:r w:rsidRPr="00311970">
      <w:rPr>
        <w:color w:val="3E8EDE"/>
        <w:sz w:val="18"/>
        <w:szCs w:val="18"/>
        <w:lang w:val="es-ES"/>
      </w:rPr>
      <w:br/>
      <w:t xml:space="preserve">Tel: +41 22 730 5111 • Fax: +41 22 733 7256 • </w:t>
    </w:r>
    <w:r w:rsidR="000D3F3B" w:rsidRPr="00311970">
      <w:rPr>
        <w:color w:val="3E8EDE"/>
        <w:sz w:val="18"/>
        <w:szCs w:val="18"/>
        <w:lang w:val="es-ES"/>
      </w:rPr>
      <w:br/>
    </w:r>
    <w:r w:rsidRPr="00311970">
      <w:rPr>
        <w:color w:val="3E8EDE"/>
        <w:sz w:val="18"/>
        <w:szCs w:val="18"/>
        <w:lang w:val="es-ES"/>
      </w:rPr>
      <w:t>Correo-e:</w:t>
    </w:r>
    <w:r w:rsidRPr="00345938">
      <w:rPr>
        <w:sz w:val="18"/>
        <w:szCs w:val="18"/>
        <w:lang w:val="es-ES_tradnl"/>
      </w:rPr>
      <w:t xml:space="preserve"> </w:t>
    </w:r>
    <w:hyperlink r:id="rId1" w:history="1">
      <w:r w:rsidR="000D3F3B" w:rsidRPr="00311970">
        <w:rPr>
          <w:rStyle w:val="Hyperlink"/>
          <w:color w:val="3E8EDE"/>
          <w:sz w:val="18"/>
          <w:szCs w:val="18"/>
          <w:lang w:val="es-ES"/>
        </w:rPr>
        <w:t>itumail@itu.int</w:t>
      </w:r>
    </w:hyperlink>
    <w:r w:rsidR="000D3F3B" w:rsidRPr="00311970">
      <w:rPr>
        <w:color w:val="3E8EDE"/>
        <w:sz w:val="18"/>
        <w:szCs w:val="18"/>
        <w:lang w:val="es-ES"/>
      </w:rPr>
      <w:t xml:space="preserve"> • </w:t>
    </w:r>
    <w:hyperlink r:id="rId2" w:history="1">
      <w:r w:rsidR="000D3F3B" w:rsidRPr="00311970">
        <w:rPr>
          <w:rStyle w:val="Hyperlink"/>
          <w:color w:val="3E8EDE"/>
          <w:sz w:val="18"/>
          <w:szCs w:val="18"/>
          <w:lang w:val="es-ES"/>
        </w:rPr>
        <w:t>www.itu.int</w:t>
      </w:r>
    </w:hyperlink>
    <w:r w:rsidR="000D3F3B" w:rsidRPr="00311970">
      <w:rPr>
        <w:color w:val="3E8EDE"/>
        <w:sz w:val="18"/>
        <w:szCs w:val="18"/>
        <w:lang w:val="es-ES"/>
      </w:rPr>
      <w:t xml:space="preserve"> • </w:t>
    </w:r>
    <w:hyperlink r:id="rId3" w:history="1">
      <w:r w:rsidR="000D3F3B" w:rsidRPr="00311970">
        <w:rPr>
          <w:rStyle w:val="Hyperlink"/>
          <w:color w:val="3E8EDE"/>
          <w:sz w:val="18"/>
          <w:szCs w:val="18"/>
          <w:lang w:val="es-ES"/>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C07" w:rsidRDefault="00472C07">
      <w:r>
        <w:t>____________________</w:t>
      </w:r>
    </w:p>
  </w:footnote>
  <w:footnote w:type="continuationSeparator" w:id="0">
    <w:p w:rsidR="00472C07" w:rsidRDefault="00472C07">
      <w:r>
        <w:continuationSeparator/>
      </w:r>
    </w:p>
  </w:footnote>
  <w:footnote w:id="1">
    <w:p w:rsidR="001D6F90" w:rsidRPr="005D04AF" w:rsidRDefault="001D6F90" w:rsidP="001D6F90">
      <w:pPr>
        <w:pStyle w:val="FootnoteText"/>
        <w:rPr>
          <w:lang w:val="es-ES_tradnl" w:eastAsia="zh-CN"/>
        </w:rPr>
      </w:pPr>
      <w:r w:rsidRPr="005D04AF">
        <w:rPr>
          <w:rStyle w:val="FootnoteReference"/>
          <w:lang w:val="es-ES_tradnl"/>
        </w:rPr>
        <w:t>*</w:t>
      </w:r>
      <w:r w:rsidRPr="005D04AF">
        <w:rPr>
          <w:lang w:val="es-ES_tradnl"/>
        </w:rPr>
        <w:t xml:space="preserve"> </w:t>
      </w:r>
      <w:r w:rsidRPr="005D04AF">
        <w:rPr>
          <w:lang w:val="es-ES_tradnl"/>
        </w:rPr>
        <w:tab/>
        <w:t>También podría utilizarse de acuerdo con las normas y pr</w:t>
      </w:r>
      <w:r>
        <w:rPr>
          <w:lang w:val="es-ES_tradnl"/>
        </w:rPr>
        <w:t>á</w:t>
      </w:r>
      <w:r w:rsidRPr="005D04AF">
        <w:rPr>
          <w:lang w:val="es-ES_tradnl"/>
        </w:rPr>
        <w:t>ctic</w:t>
      </w:r>
      <w:r>
        <w:rPr>
          <w:lang w:val="es-ES_tradnl"/>
        </w:rPr>
        <w:t>a</w:t>
      </w:r>
      <w:r w:rsidRPr="005D04AF">
        <w:rPr>
          <w:lang w:val="es-ES_tradnl"/>
        </w:rPr>
        <w:t>s internacionales apropiadas por la autoridad de aviaci</w:t>
      </w:r>
      <w:r>
        <w:rPr>
          <w:lang w:val="es-ES_tradnl"/>
        </w:rPr>
        <w:t>ón civil responsable</w:t>
      </w:r>
      <w:r w:rsidRPr="005D04AF">
        <w:rPr>
          <w:szCs w:val="24"/>
          <w:lang w:val="es-ES_tradnl"/>
        </w:rPr>
        <w:t>.</w:t>
      </w:r>
    </w:p>
  </w:footnote>
  <w:footnote w:id="2">
    <w:p w:rsidR="001D6F90" w:rsidRPr="0033702A" w:rsidRDefault="001D6F90" w:rsidP="001D6F90">
      <w:pPr>
        <w:pStyle w:val="FootnoteText"/>
        <w:rPr>
          <w:lang w:val="es-ES_tradnl" w:eastAsia="zh-CN"/>
        </w:rPr>
      </w:pPr>
      <w:r w:rsidRPr="0033702A">
        <w:rPr>
          <w:rStyle w:val="FootnoteReference"/>
          <w:lang w:val="es-ES_tradnl"/>
        </w:rPr>
        <w:t>*</w:t>
      </w:r>
      <w:r w:rsidRPr="0033702A">
        <w:rPr>
          <w:lang w:val="es-ES_tradnl"/>
        </w:rPr>
        <w:t xml:space="preserve"> </w:t>
      </w:r>
      <w:r w:rsidRPr="0033702A">
        <w:rPr>
          <w:lang w:val="es-ES_tradnl"/>
        </w:rPr>
        <w:tab/>
      </w:r>
      <w:r w:rsidRPr="005D04AF">
        <w:rPr>
          <w:lang w:val="es-ES_tradnl"/>
        </w:rPr>
        <w:t>También podría utilizarse de acuerdo con las normas y pr</w:t>
      </w:r>
      <w:r>
        <w:rPr>
          <w:lang w:val="es-ES_tradnl"/>
        </w:rPr>
        <w:t>á</w:t>
      </w:r>
      <w:r w:rsidRPr="005D04AF">
        <w:rPr>
          <w:lang w:val="es-ES_tradnl"/>
        </w:rPr>
        <w:t>ctic</w:t>
      </w:r>
      <w:r>
        <w:rPr>
          <w:lang w:val="es-ES_tradnl"/>
        </w:rPr>
        <w:t>a</w:t>
      </w:r>
      <w:r w:rsidRPr="005D04AF">
        <w:rPr>
          <w:lang w:val="es-ES_tradnl"/>
        </w:rPr>
        <w:t>s internacionales apropiadas por la autoridad de aviaci</w:t>
      </w:r>
      <w:r>
        <w:rPr>
          <w:lang w:val="es-ES_tradnl"/>
        </w:rPr>
        <w:t>ón civil responsable</w:t>
      </w:r>
      <w:r w:rsidRPr="0033702A">
        <w:rPr>
          <w:szCs w:val="24"/>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33C95">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3F4671" w:rsidRDefault="00E915AF" w:rsidP="00B12408">
    <w:pPr>
      <w:pStyle w:val="Header"/>
      <w:rPr>
        <w:iCs/>
        <w:sz w:val="16"/>
        <w:szCs w:val="16"/>
      </w:rPr>
    </w:pPr>
    <w:r w:rsidRPr="003F4671">
      <w:rPr>
        <w:iCs/>
        <w:sz w:val="16"/>
        <w:szCs w:val="16"/>
      </w:rPr>
      <w:tab/>
    </w:r>
    <w:r w:rsidRPr="003F4671">
      <w:rPr>
        <w:iCs/>
        <w:sz w:val="16"/>
        <w:szCs w:val="16"/>
      </w:rPr>
      <w:tab/>
    </w:r>
    <w:r w:rsidR="00B12408">
      <w:rPr>
        <w:sz w:val="18"/>
        <w:szCs w:val="16"/>
      </w:rPr>
      <w:t xml:space="preserve">- </w:t>
    </w:r>
    <w:r w:rsidR="00B12408" w:rsidRPr="00D239B4">
      <w:rPr>
        <w:rStyle w:val="PageNumber"/>
        <w:sz w:val="18"/>
        <w:szCs w:val="16"/>
      </w:rPr>
      <w:fldChar w:fldCharType="begin"/>
    </w:r>
    <w:r w:rsidR="00B12408" w:rsidRPr="00D239B4">
      <w:rPr>
        <w:rStyle w:val="PageNumber"/>
        <w:sz w:val="18"/>
        <w:szCs w:val="16"/>
      </w:rPr>
      <w:instrText xml:space="preserve"> PAGE </w:instrText>
    </w:r>
    <w:r w:rsidR="00B12408" w:rsidRPr="00D239B4">
      <w:rPr>
        <w:rStyle w:val="PageNumber"/>
        <w:sz w:val="18"/>
        <w:szCs w:val="16"/>
      </w:rPr>
      <w:fldChar w:fldCharType="separate"/>
    </w:r>
    <w:r w:rsidR="00733C95">
      <w:rPr>
        <w:rStyle w:val="PageNumber"/>
        <w:noProof/>
        <w:sz w:val="18"/>
        <w:szCs w:val="16"/>
      </w:rPr>
      <w:t>3</w:t>
    </w:r>
    <w:r w:rsidR="00B12408" w:rsidRPr="00D239B4">
      <w:rPr>
        <w:rStyle w:val="PageNumber"/>
        <w:sz w:val="18"/>
        <w:szCs w:val="16"/>
      </w:rPr>
      <w:fldChar w:fldCharType="end"/>
    </w:r>
    <w:r w:rsidR="00B12408">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D3F3B" w:rsidTr="000D3F3B">
      <w:tc>
        <w:tcPr>
          <w:tcW w:w="5031" w:type="dxa"/>
        </w:tcPr>
        <w:p w:rsidR="000D3F3B" w:rsidRDefault="000D3F3B" w:rsidP="000D3F3B">
          <w:pPr>
            <w:pStyle w:val="Header"/>
            <w:tabs>
              <w:tab w:val="clear" w:pos="794"/>
              <w:tab w:val="clear" w:pos="4820"/>
            </w:tabs>
            <w:spacing w:before="120" w:line="360" w:lineRule="auto"/>
          </w:pPr>
          <w:r>
            <w:rPr>
              <w:b/>
              <w:bCs/>
              <w:noProof/>
              <w:lang w:val="fr-CH"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0D3F3B" w:rsidRDefault="000D3F3B" w:rsidP="000D3F3B">
          <w:pPr>
            <w:pStyle w:val="Header"/>
            <w:tabs>
              <w:tab w:val="clear" w:pos="794"/>
              <w:tab w:val="clear" w:pos="4820"/>
            </w:tabs>
            <w:spacing w:line="360" w:lineRule="auto"/>
            <w:jc w:val="right"/>
          </w:pPr>
          <w:r w:rsidRPr="00975D6F">
            <w:rPr>
              <w:rFonts w:cs="Arial"/>
              <w:noProof/>
              <w:lang w:val="fr-CH"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72C07"/>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6F90"/>
    <w:rsid w:val="001D7070"/>
    <w:rsid w:val="001F2170"/>
    <w:rsid w:val="001F3948"/>
    <w:rsid w:val="001F5A49"/>
    <w:rsid w:val="00201097"/>
    <w:rsid w:val="00201B6E"/>
    <w:rsid w:val="002302B3"/>
    <w:rsid w:val="00230C66"/>
    <w:rsid w:val="00235A29"/>
    <w:rsid w:val="00241526"/>
    <w:rsid w:val="002443A2"/>
    <w:rsid w:val="00255C49"/>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460D"/>
    <w:rsid w:val="003E504F"/>
    <w:rsid w:val="003E78D6"/>
    <w:rsid w:val="003F4671"/>
    <w:rsid w:val="00400573"/>
    <w:rsid w:val="004007A3"/>
    <w:rsid w:val="00406D71"/>
    <w:rsid w:val="004326DB"/>
    <w:rsid w:val="0043682E"/>
    <w:rsid w:val="00447ECB"/>
    <w:rsid w:val="004623F7"/>
    <w:rsid w:val="00472C0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2A34"/>
    <w:rsid w:val="00505309"/>
    <w:rsid w:val="0050789B"/>
    <w:rsid w:val="005224A1"/>
    <w:rsid w:val="00534372"/>
    <w:rsid w:val="00543DF8"/>
    <w:rsid w:val="00546101"/>
    <w:rsid w:val="00553DD7"/>
    <w:rsid w:val="005628C2"/>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16267"/>
    <w:rsid w:val="0064371D"/>
    <w:rsid w:val="00650543"/>
    <w:rsid w:val="00650B2A"/>
    <w:rsid w:val="00651777"/>
    <w:rsid w:val="006550F8"/>
    <w:rsid w:val="006829F3"/>
    <w:rsid w:val="006A518B"/>
    <w:rsid w:val="006B0590"/>
    <w:rsid w:val="006B49DA"/>
    <w:rsid w:val="006C53F8"/>
    <w:rsid w:val="006C5AEA"/>
    <w:rsid w:val="006C7CDE"/>
    <w:rsid w:val="007234B1"/>
    <w:rsid w:val="00723D08"/>
    <w:rsid w:val="00725FDA"/>
    <w:rsid w:val="00727816"/>
    <w:rsid w:val="00730B9A"/>
    <w:rsid w:val="00733C95"/>
    <w:rsid w:val="00750CFA"/>
    <w:rsid w:val="007553DA"/>
    <w:rsid w:val="00775DB8"/>
    <w:rsid w:val="00782354"/>
    <w:rsid w:val="00791EEA"/>
    <w:rsid w:val="007921A7"/>
    <w:rsid w:val="007B3DB1"/>
    <w:rsid w:val="007D183E"/>
    <w:rsid w:val="007D43D0"/>
    <w:rsid w:val="007E1833"/>
    <w:rsid w:val="007E3F13"/>
    <w:rsid w:val="007F751A"/>
    <w:rsid w:val="00800012"/>
    <w:rsid w:val="0080261F"/>
    <w:rsid w:val="00805A02"/>
    <w:rsid w:val="00806160"/>
    <w:rsid w:val="008143A4"/>
    <w:rsid w:val="0081513E"/>
    <w:rsid w:val="00830C5E"/>
    <w:rsid w:val="00854131"/>
    <w:rsid w:val="0085652D"/>
    <w:rsid w:val="0087694B"/>
    <w:rsid w:val="00880F4D"/>
    <w:rsid w:val="008B1CB0"/>
    <w:rsid w:val="008B35A3"/>
    <w:rsid w:val="008B37E1"/>
    <w:rsid w:val="008B45F8"/>
    <w:rsid w:val="008C2E74"/>
    <w:rsid w:val="008D5409"/>
    <w:rsid w:val="008E006D"/>
    <w:rsid w:val="008E38B4"/>
    <w:rsid w:val="008F4F21"/>
    <w:rsid w:val="00904D4A"/>
    <w:rsid w:val="00905712"/>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12408"/>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6D09"/>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01884"/>
    <w:rsid w:val="00F40EBB"/>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B636EAE-B18A-47B6-ADD6-B1B4737B3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1D6F90"/>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space/preface/index.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mail@itu.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tu.int/net4/ITU-R/space/UAS-submissions" TargetMode="External"/><Relationship Id="rId4" Type="http://schemas.openxmlformats.org/officeDocument/2006/relationships/settings" Target="settings.xml"/><Relationship Id="rId9" Type="http://schemas.openxmlformats.org/officeDocument/2006/relationships/hyperlink" Target="http://www.itu.int/ITU-R/go/space-software/e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74240-0EA6-4C12-9A03-BBD371C6F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44</TotalTime>
  <Pages>3</Pages>
  <Words>1145</Words>
  <Characters>6708</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7838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Marchetti, Caroline</cp:lastModifiedBy>
  <cp:revision>18</cp:revision>
  <cp:lastPrinted>2016-07-01T12:28:00Z</cp:lastPrinted>
  <dcterms:created xsi:type="dcterms:W3CDTF">2016-06-28T07:56:00Z</dcterms:created>
  <dcterms:modified xsi:type="dcterms:W3CDTF">2016-07-01T12:33:00Z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