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F467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F4671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3F467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3F4671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3F4671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3F4671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F4671" w:rsidRDefault="002B4533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Carta Circul</w:t>
            </w:r>
            <w:r w:rsidR="00ED2B86">
              <w:rPr>
                <w:szCs w:val="24"/>
                <w:lang w:val="es-ES_tradnl"/>
              </w:rPr>
              <w:t>ar</w:t>
            </w:r>
          </w:p>
          <w:p w:rsidR="00E53DCE" w:rsidRPr="003F4671" w:rsidRDefault="001D6F90" w:rsidP="0013652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3F4671">
              <w:rPr>
                <w:b/>
                <w:bCs/>
                <w:szCs w:val="24"/>
                <w:lang w:val="es-ES_tradnl"/>
              </w:rPr>
              <w:t>CR/40</w:t>
            </w:r>
            <w:r w:rsidR="0013652B">
              <w:rPr>
                <w:b/>
                <w:bCs/>
                <w:szCs w:val="24"/>
                <w:lang w:val="es-ES_tradn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53DCE" w:rsidRPr="003F4671" w:rsidRDefault="001D6F90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 w:rsidRPr="003F4671">
              <w:rPr>
                <w:szCs w:val="24"/>
                <w:lang w:val="es-ES_tradnl"/>
              </w:rPr>
              <w:t>5 de julio de 2016</w:t>
            </w:r>
          </w:p>
        </w:tc>
      </w:tr>
      <w:tr w:rsidR="00E53DCE" w:rsidRPr="003F467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F4671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DD1253" w:rsidRPr="003F467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D1253" w:rsidRPr="003F4671" w:rsidRDefault="00DD1253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3F467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F4671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D125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F4671" w:rsidRDefault="00FE4822" w:rsidP="005628C2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3F4671">
              <w:rPr>
                <w:b/>
                <w:szCs w:val="24"/>
                <w:lang w:val="es-ES_tradnl"/>
              </w:rPr>
              <w:t>A las Administraciones de los Estados Miembros de la UIT</w:t>
            </w:r>
          </w:p>
        </w:tc>
      </w:tr>
      <w:tr w:rsidR="00E53DCE" w:rsidRPr="00DD125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F4671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DD1253" w:rsidRPr="00DD125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D1253" w:rsidRPr="003F4671" w:rsidRDefault="00DD1253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D125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F4671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D125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F4671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3F4671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3F4671" w:rsidRDefault="0013652B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  <w:r w:rsidRPr="00545ACF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Aplicación de las decisiones de la Conferencia Mundial de Radiocomunicaciones, Ginebra, 2015 (CMR-15) </w:t>
            </w:r>
            <w:r>
              <w:rPr>
                <w:rFonts w:asciiTheme="minorHAnsi" w:hAnsiTheme="minorHAnsi"/>
                <w:b/>
                <w:bCs/>
                <w:szCs w:val="24"/>
                <w:lang w:val="es-ES_tradnl"/>
              </w:rPr>
              <w:t>y mecanismos de transición asociados en relación con los servicios espaciales</w:t>
            </w:r>
          </w:p>
        </w:tc>
      </w:tr>
      <w:tr w:rsidR="00E53DCE" w:rsidRPr="00DD125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F467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F467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DD125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F4671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F4671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DD1253" w:rsidRPr="00DD125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D1253" w:rsidRPr="003F4671" w:rsidRDefault="00DD1253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D125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F4671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C60CAC" w:rsidRPr="00545ACF" w:rsidRDefault="00C60CAC" w:rsidP="00B77B9A">
      <w:pPr>
        <w:pStyle w:val="Normalaftertitle"/>
        <w:jc w:val="left"/>
        <w:rPr>
          <w:rFonts w:eastAsia="SimSun"/>
          <w:lang w:val="es-ES_tradnl" w:eastAsia="zh-CN"/>
        </w:rPr>
      </w:pPr>
      <w:r w:rsidRPr="00545ACF">
        <w:rPr>
          <w:rFonts w:eastAsia="SimSun"/>
          <w:lang w:val="es-ES_tradnl" w:eastAsia="zh-CN"/>
        </w:rPr>
        <w:t xml:space="preserve">La Conferencia Mundial de Radiocomunicaciones, Ginebra, 2015 </w:t>
      </w:r>
      <w:r w:rsidRPr="00DD1253">
        <w:rPr>
          <w:rFonts w:eastAsia="SimSun"/>
          <w:b/>
          <w:bCs/>
          <w:lang w:val="es-ES_tradnl" w:eastAsia="zh-CN"/>
        </w:rPr>
        <w:t xml:space="preserve">(CMR-15) </w:t>
      </w:r>
      <w:r w:rsidRPr="00545ACF">
        <w:rPr>
          <w:rFonts w:eastAsia="SimSun"/>
          <w:lang w:val="es-ES_tradnl" w:eastAsia="zh-CN"/>
        </w:rPr>
        <w:t>adoptó una revisión parcial del Reglamento de Radiocomunicaciones y decidió que las disposiciones revisadas entrarían en vigor el 1 de enero de 2017, con la excepci</w:t>
      </w:r>
      <w:r>
        <w:rPr>
          <w:rFonts w:eastAsia="SimSun"/>
          <w:lang w:val="es-ES_tradnl" w:eastAsia="zh-CN"/>
        </w:rPr>
        <w:t xml:space="preserve">ón de aquellas disposiciones para las que se indicase específicamente otra fecha. </w:t>
      </w:r>
      <w:r w:rsidRPr="00545ACF">
        <w:rPr>
          <w:rFonts w:eastAsia="SimSun"/>
          <w:lang w:val="es-ES_tradnl" w:eastAsia="zh-CN"/>
        </w:rPr>
        <w:t>El objetivo de esta Carta Circular es poner de manifiesto algunas decisiones de la Conferencia en relación con los servicios espaciales a fin de facilitar su aplicaci</w:t>
      </w:r>
      <w:r>
        <w:rPr>
          <w:rFonts w:eastAsia="SimSun"/>
          <w:lang w:val="es-ES_tradnl" w:eastAsia="zh-CN"/>
        </w:rPr>
        <w:t xml:space="preserve">ón. </w:t>
      </w:r>
      <w:r w:rsidRPr="00545ACF">
        <w:rPr>
          <w:rFonts w:eastAsia="SimSun"/>
          <w:lang w:val="es-ES_tradnl" w:eastAsia="zh-CN"/>
        </w:rPr>
        <w:t xml:space="preserve">Puede consultarse la lista completa de decisiones en las Actas Finales de la Conferencia. </w:t>
      </w:r>
    </w:p>
    <w:p w:rsidR="00C60CAC" w:rsidRPr="00545ACF" w:rsidRDefault="00C60CAC" w:rsidP="00BF6BC1">
      <w:pPr>
        <w:jc w:val="left"/>
        <w:rPr>
          <w:rFonts w:asciiTheme="minorHAnsi" w:eastAsia="SimSun" w:hAnsiTheme="minorHAnsi"/>
          <w:szCs w:val="24"/>
          <w:lang w:val="es-ES_tradnl" w:eastAsia="zh-CN"/>
        </w:rPr>
      </w:pPr>
      <w:r w:rsidRPr="00545ACF">
        <w:rPr>
          <w:rFonts w:asciiTheme="minorHAnsi" w:eastAsia="SimSun" w:hAnsiTheme="minorHAnsi"/>
          <w:szCs w:val="24"/>
          <w:lang w:val="es-ES_tradnl" w:eastAsia="zh-CN"/>
        </w:rPr>
        <w:t>La presente Carta Circular debe leerse junto con las Cartas Circulares CR/389 de 29 de enero de 2016, Decisiones de la CMR-15 incluidas en las Actas de las Reuniones Plenarias; CR/393 de 18 de marzo de 2016, Introducción de un nuevo símbolo de clase de estación UF; CR/394 de 18 de marzo de 2016, Introducción de nuevos símbolos de clase de estación para las estaciones del servicio móvil aeronáutico (SMA) (R) por satélite y los servicios SMA (OR); CR/396 de 31 de marzo de 2016</w:t>
      </w:r>
      <w:r>
        <w:rPr>
          <w:rFonts w:asciiTheme="minorHAnsi" w:eastAsia="SimSun" w:hAnsiTheme="minorHAnsi"/>
          <w:szCs w:val="24"/>
          <w:lang w:val="es-ES_tradnl" w:eastAsia="zh-CN"/>
        </w:rPr>
        <w:t>, Utilización de una estación espacial para poner en servicio asignaciones de frecuencias a redes de satélites geoestacionarios en distintas posiciones orbitales en un breve periodo de tiempo;</w:t>
      </w:r>
      <w:r w:rsidRPr="00545ACF">
        <w:rPr>
          <w:rFonts w:asciiTheme="minorHAnsi" w:eastAsia="SimSun" w:hAnsiTheme="minorHAnsi"/>
          <w:szCs w:val="24"/>
          <w:lang w:val="es-ES_tradnl" w:eastAsia="zh-CN"/>
        </w:rPr>
        <w:t xml:space="preserve"> CR/400 </w:t>
      </w:r>
      <w:r>
        <w:rPr>
          <w:rFonts w:asciiTheme="minorHAnsi" w:eastAsia="SimSun" w:hAnsiTheme="minorHAnsi"/>
          <w:szCs w:val="24"/>
          <w:lang w:val="es-ES_tradnl" w:eastAsia="zh-CN"/>
        </w:rPr>
        <w:t>de</w:t>
      </w:r>
      <w:r w:rsidRPr="00545ACF">
        <w:rPr>
          <w:rFonts w:asciiTheme="minorHAnsi" w:eastAsia="SimSun" w:hAnsiTheme="minorHAnsi"/>
          <w:szCs w:val="24"/>
          <w:lang w:val="es-ES_tradnl" w:eastAsia="zh-CN"/>
        </w:rPr>
        <w:t xml:space="preserve"> 13 </w:t>
      </w:r>
      <w:r>
        <w:rPr>
          <w:rFonts w:asciiTheme="minorHAnsi" w:eastAsia="SimSun" w:hAnsiTheme="minorHAnsi"/>
          <w:szCs w:val="24"/>
          <w:lang w:val="es-ES_tradnl" w:eastAsia="zh-CN"/>
        </w:rPr>
        <w:t>de mayo de</w:t>
      </w:r>
      <w:r w:rsidRPr="00545ACF">
        <w:rPr>
          <w:rFonts w:asciiTheme="minorHAnsi" w:eastAsia="SimSun" w:hAnsiTheme="minorHAnsi"/>
          <w:szCs w:val="24"/>
          <w:lang w:val="es-ES_tradnl" w:eastAsia="zh-CN"/>
        </w:rPr>
        <w:t xml:space="preserve"> 2016</w:t>
      </w:r>
      <w:r>
        <w:rPr>
          <w:rFonts w:asciiTheme="minorHAnsi" w:eastAsia="SimSun" w:hAnsiTheme="minorHAnsi"/>
          <w:szCs w:val="24"/>
          <w:lang w:val="es-ES_tradnl" w:eastAsia="zh-CN"/>
        </w:rPr>
        <w:t>, Implementación de los Apéndices</w:t>
      </w:r>
      <w:r w:rsidRPr="00545ACF">
        <w:rPr>
          <w:rFonts w:asciiTheme="minorHAnsi" w:eastAsia="SimSun" w:hAnsiTheme="minorHAnsi"/>
          <w:szCs w:val="24"/>
          <w:lang w:val="es-ES_tradnl" w:eastAsia="zh-CN"/>
        </w:rPr>
        <w:t xml:space="preserve"> 30 </w:t>
      </w:r>
      <w:r>
        <w:rPr>
          <w:rFonts w:asciiTheme="minorHAnsi" w:eastAsia="SimSun" w:hAnsiTheme="minorHAnsi"/>
          <w:szCs w:val="24"/>
          <w:lang w:val="es-ES_tradnl" w:eastAsia="zh-CN"/>
        </w:rPr>
        <w:t>y</w:t>
      </w:r>
      <w:r w:rsidRPr="00545ACF">
        <w:rPr>
          <w:rFonts w:asciiTheme="minorHAnsi" w:eastAsia="SimSun" w:hAnsiTheme="minorHAnsi"/>
          <w:szCs w:val="24"/>
          <w:lang w:val="es-ES_tradnl" w:eastAsia="zh-CN"/>
        </w:rPr>
        <w:t xml:space="preserve"> 30A </w:t>
      </w:r>
      <w:r>
        <w:rPr>
          <w:rFonts w:asciiTheme="minorHAnsi" w:eastAsia="SimSun" w:hAnsiTheme="minorHAnsi"/>
          <w:szCs w:val="24"/>
          <w:lang w:val="es-ES_tradnl" w:eastAsia="zh-CN"/>
        </w:rPr>
        <w:t xml:space="preserve">revisados </w:t>
      </w:r>
      <w:r w:rsidR="00BD28EB">
        <w:rPr>
          <w:rFonts w:asciiTheme="minorHAnsi" w:eastAsia="SimSun" w:hAnsiTheme="minorHAnsi"/>
          <w:szCs w:val="24"/>
          <w:lang w:val="es-ES_tradnl" w:eastAsia="zh-CN"/>
        </w:rPr>
        <w:t>(Rev.</w:t>
      </w:r>
      <w:r>
        <w:rPr>
          <w:rFonts w:asciiTheme="minorHAnsi" w:eastAsia="SimSun" w:hAnsiTheme="minorHAnsi"/>
          <w:szCs w:val="24"/>
          <w:lang w:val="es-ES_tradnl" w:eastAsia="zh-CN"/>
        </w:rPr>
        <w:t>CMR</w:t>
      </w:r>
      <w:r w:rsidRPr="00545ACF">
        <w:rPr>
          <w:rFonts w:asciiTheme="minorHAnsi" w:eastAsia="SimSun" w:hAnsiTheme="minorHAnsi"/>
          <w:szCs w:val="24"/>
          <w:lang w:val="es-ES_tradnl" w:eastAsia="zh-CN"/>
        </w:rPr>
        <w:t xml:space="preserve">-15) </w:t>
      </w:r>
      <w:r>
        <w:rPr>
          <w:rFonts w:asciiTheme="minorHAnsi" w:eastAsia="SimSun" w:hAnsiTheme="minorHAnsi"/>
          <w:szCs w:val="24"/>
          <w:lang w:val="es-ES_tradnl" w:eastAsia="zh-CN"/>
        </w:rPr>
        <w:t>y de la Resolución</w:t>
      </w:r>
      <w:r w:rsidRPr="00545ACF">
        <w:rPr>
          <w:rFonts w:asciiTheme="minorHAnsi" w:eastAsia="SimSun" w:hAnsiTheme="minorHAnsi"/>
          <w:szCs w:val="24"/>
          <w:lang w:val="es-ES_tradnl" w:eastAsia="zh-CN"/>
        </w:rPr>
        <w:t xml:space="preserve"> 556 (</w:t>
      </w:r>
      <w:r>
        <w:rPr>
          <w:rFonts w:asciiTheme="minorHAnsi" w:eastAsia="SimSun" w:hAnsiTheme="minorHAnsi"/>
          <w:szCs w:val="24"/>
          <w:lang w:val="es-ES_tradnl" w:eastAsia="zh-CN"/>
        </w:rPr>
        <w:t>CMR</w:t>
      </w:r>
      <w:r w:rsidRPr="00545ACF">
        <w:rPr>
          <w:rFonts w:asciiTheme="minorHAnsi" w:eastAsia="SimSun" w:hAnsiTheme="minorHAnsi"/>
          <w:szCs w:val="24"/>
          <w:lang w:val="es-ES_tradnl" w:eastAsia="zh-CN"/>
        </w:rPr>
        <w:t>-15)</w:t>
      </w:r>
      <w:r>
        <w:rPr>
          <w:rFonts w:asciiTheme="minorHAnsi" w:eastAsia="SimSun" w:hAnsiTheme="minorHAnsi"/>
          <w:szCs w:val="24"/>
          <w:lang w:val="es-ES_tradnl" w:eastAsia="zh-CN"/>
        </w:rPr>
        <w:t>;</w:t>
      </w:r>
      <w:r w:rsidRPr="00545ACF">
        <w:rPr>
          <w:rFonts w:asciiTheme="minorHAnsi" w:eastAsia="SimSun" w:hAnsiTheme="minorHAnsi"/>
          <w:szCs w:val="24"/>
          <w:lang w:val="es-ES_tradnl" w:eastAsia="zh-CN"/>
        </w:rPr>
        <w:t xml:space="preserve"> CR/401 </w:t>
      </w:r>
      <w:r>
        <w:rPr>
          <w:rFonts w:asciiTheme="minorHAnsi" w:eastAsia="SimSun" w:hAnsiTheme="minorHAnsi"/>
          <w:szCs w:val="24"/>
          <w:lang w:val="es-ES_tradnl" w:eastAsia="zh-CN"/>
        </w:rPr>
        <w:t xml:space="preserve">de </w:t>
      </w:r>
      <w:r w:rsidRPr="00545ACF">
        <w:rPr>
          <w:rFonts w:asciiTheme="minorHAnsi" w:eastAsia="SimSun" w:hAnsiTheme="minorHAnsi"/>
          <w:szCs w:val="24"/>
          <w:lang w:val="es-ES_tradnl" w:eastAsia="zh-CN"/>
        </w:rPr>
        <w:t xml:space="preserve">19 </w:t>
      </w:r>
      <w:r>
        <w:rPr>
          <w:rFonts w:asciiTheme="minorHAnsi" w:eastAsia="SimSun" w:hAnsiTheme="minorHAnsi"/>
          <w:szCs w:val="24"/>
          <w:lang w:val="es-ES_tradnl" w:eastAsia="zh-CN"/>
        </w:rPr>
        <w:t xml:space="preserve">de mayo de </w:t>
      </w:r>
      <w:r w:rsidRPr="00545ACF">
        <w:rPr>
          <w:rFonts w:asciiTheme="minorHAnsi" w:eastAsia="SimSun" w:hAnsiTheme="minorHAnsi"/>
          <w:szCs w:val="24"/>
          <w:lang w:val="es-ES_tradnl" w:eastAsia="zh-CN"/>
        </w:rPr>
        <w:t>2016</w:t>
      </w:r>
      <w:r>
        <w:rPr>
          <w:rFonts w:asciiTheme="minorHAnsi" w:eastAsia="SimSun" w:hAnsiTheme="minorHAnsi"/>
          <w:szCs w:val="24"/>
          <w:lang w:val="es-ES_tradnl" w:eastAsia="zh-CN"/>
        </w:rPr>
        <w:t>, Medidas transitorias con miras a eliminar las notificaciones para publicación anticipada presentadas por las administraciones de asignaciones de frecuencias a las redes y los sistemas de satélites sujetos a la Sección</w:t>
      </w:r>
      <w:r w:rsidRPr="00545ACF">
        <w:rPr>
          <w:rFonts w:asciiTheme="minorHAnsi" w:eastAsia="SimSun" w:hAnsiTheme="minorHAnsi"/>
          <w:szCs w:val="24"/>
          <w:lang w:val="es-ES_tradnl" w:eastAsia="zh-CN"/>
        </w:rPr>
        <w:t xml:space="preserve"> II </w:t>
      </w:r>
      <w:r>
        <w:rPr>
          <w:rFonts w:asciiTheme="minorHAnsi" w:eastAsia="SimSun" w:hAnsiTheme="minorHAnsi"/>
          <w:szCs w:val="24"/>
          <w:lang w:val="es-ES_tradnl" w:eastAsia="zh-CN"/>
        </w:rPr>
        <w:t>del Artículo</w:t>
      </w:r>
      <w:r w:rsidRPr="00545ACF">
        <w:rPr>
          <w:rFonts w:asciiTheme="minorHAnsi" w:eastAsia="SimSun" w:hAnsiTheme="minorHAnsi"/>
          <w:szCs w:val="24"/>
          <w:lang w:val="es-ES_tradnl" w:eastAsia="zh-CN"/>
        </w:rPr>
        <w:t xml:space="preserve"> 9</w:t>
      </w:r>
      <w:r>
        <w:rPr>
          <w:rFonts w:asciiTheme="minorHAnsi" w:eastAsia="SimSun" w:hAnsiTheme="minorHAnsi"/>
          <w:szCs w:val="24"/>
          <w:lang w:val="es-ES_tradnl" w:eastAsia="zh-CN"/>
        </w:rPr>
        <w:t>; y</w:t>
      </w:r>
      <w:r w:rsidRPr="00545ACF">
        <w:rPr>
          <w:rFonts w:asciiTheme="minorHAnsi" w:eastAsia="SimSun" w:hAnsiTheme="minorHAnsi"/>
          <w:szCs w:val="24"/>
          <w:lang w:val="es-ES_tradnl" w:eastAsia="zh-CN"/>
        </w:rPr>
        <w:t xml:space="preserve"> CR/404 </w:t>
      </w:r>
      <w:r>
        <w:rPr>
          <w:rFonts w:asciiTheme="minorHAnsi" w:eastAsia="SimSun" w:hAnsiTheme="minorHAnsi"/>
          <w:szCs w:val="24"/>
          <w:lang w:val="es-ES_tradnl" w:eastAsia="zh-CN"/>
        </w:rPr>
        <w:t>de</w:t>
      </w:r>
      <w:r w:rsidRPr="00545ACF">
        <w:rPr>
          <w:rFonts w:asciiTheme="minorHAnsi" w:eastAsia="SimSun" w:hAnsiTheme="minorHAnsi"/>
          <w:szCs w:val="24"/>
          <w:lang w:val="es-ES_tradnl" w:eastAsia="zh-CN"/>
        </w:rPr>
        <w:t xml:space="preserve"> 23 </w:t>
      </w:r>
      <w:r>
        <w:rPr>
          <w:rFonts w:asciiTheme="minorHAnsi" w:eastAsia="SimSun" w:hAnsiTheme="minorHAnsi"/>
          <w:szCs w:val="24"/>
          <w:lang w:val="es-ES_tradnl" w:eastAsia="zh-CN"/>
        </w:rPr>
        <w:t>mayo de</w:t>
      </w:r>
      <w:r w:rsidRPr="00545ACF">
        <w:rPr>
          <w:rFonts w:asciiTheme="minorHAnsi" w:eastAsia="SimSun" w:hAnsiTheme="minorHAnsi"/>
          <w:szCs w:val="24"/>
          <w:lang w:val="es-ES_tradnl" w:eastAsia="zh-CN"/>
        </w:rPr>
        <w:t xml:space="preserve"> 2016</w:t>
      </w:r>
      <w:r>
        <w:rPr>
          <w:rFonts w:asciiTheme="minorHAnsi" w:eastAsia="SimSun" w:hAnsiTheme="minorHAnsi"/>
          <w:szCs w:val="24"/>
          <w:lang w:val="es-ES_tradnl" w:eastAsia="zh-CN"/>
        </w:rPr>
        <w:t>, Notificación de estaciones terrenas típicas en el servicio fijo por satélite</w:t>
      </w:r>
      <w:r w:rsidRPr="00545ACF">
        <w:rPr>
          <w:rFonts w:asciiTheme="minorHAnsi" w:eastAsia="SimSun" w:hAnsiTheme="minorHAnsi"/>
          <w:szCs w:val="24"/>
          <w:lang w:val="es-ES_tradnl" w:eastAsia="zh-CN"/>
        </w:rPr>
        <w:t>.</w:t>
      </w:r>
    </w:p>
    <w:p w:rsidR="00C60CAC" w:rsidRPr="00DD1253" w:rsidRDefault="00C60CAC" w:rsidP="00C60CAC">
      <w:pPr>
        <w:pStyle w:val="Headingb"/>
        <w:tabs>
          <w:tab w:val="clear" w:pos="794"/>
        </w:tabs>
        <w:ind w:left="0" w:firstLine="0"/>
        <w:rPr>
          <w:rFonts w:eastAsia="SimSun"/>
          <w:lang w:val="es-ES_tradnl" w:eastAsia="zh-CN"/>
        </w:rPr>
      </w:pPr>
      <w:r w:rsidRPr="00DD1253">
        <w:rPr>
          <w:rFonts w:eastAsia="SimSun"/>
          <w:lang w:val="es-ES_tradnl" w:eastAsia="zh-CN"/>
        </w:rPr>
        <w:t>Presentación de notificaciones de redes de satélites con el compromiso de las administraciones notificantes en virtud de la Resolución 156 (CMR-15)</w:t>
      </w:r>
    </w:p>
    <w:p w:rsidR="00C60CAC" w:rsidRPr="00D360D4" w:rsidRDefault="00C60CAC" w:rsidP="00C60CAC">
      <w:pPr>
        <w:jc w:val="left"/>
        <w:rPr>
          <w:rFonts w:asciiTheme="minorHAnsi" w:eastAsiaTheme="minorEastAsia" w:hAnsiTheme="minorHAnsi" w:cs="TimesNewRomanPSMT"/>
          <w:szCs w:val="24"/>
          <w:lang w:val="es-ES_tradnl" w:eastAsia="zh-CN"/>
        </w:rPr>
      </w:pPr>
      <w:r w:rsidRPr="00D360D4">
        <w:rPr>
          <w:rFonts w:asciiTheme="minorHAnsi" w:hAnsiTheme="minorHAnsi"/>
          <w:szCs w:val="24"/>
          <w:lang w:val="es-ES_tradnl" w:eastAsia="zh-CN"/>
        </w:rPr>
        <w:t>Deseo record</w:t>
      </w:r>
      <w:r>
        <w:rPr>
          <w:rFonts w:asciiTheme="minorHAnsi" w:hAnsiTheme="minorHAnsi"/>
          <w:szCs w:val="24"/>
          <w:lang w:val="es-ES_tradnl" w:eastAsia="zh-CN"/>
        </w:rPr>
        <w:t>a</w:t>
      </w:r>
      <w:r w:rsidRPr="00D360D4">
        <w:rPr>
          <w:rFonts w:asciiTheme="minorHAnsi" w:hAnsiTheme="minorHAnsi"/>
          <w:szCs w:val="24"/>
          <w:lang w:val="es-ES_tradnl" w:eastAsia="zh-CN"/>
        </w:rPr>
        <w:t xml:space="preserve">r a las administraciones que, tal y como se indica en la Carta Circular CR/393, de conformidad con el </w:t>
      </w:r>
      <w:r w:rsidRPr="00D360D4">
        <w:rPr>
          <w:rFonts w:asciiTheme="minorHAnsi" w:hAnsiTheme="minorHAnsi"/>
          <w:i/>
          <w:iCs/>
          <w:szCs w:val="24"/>
          <w:lang w:val="es-ES_tradnl" w:eastAsia="zh-CN"/>
        </w:rPr>
        <w:t xml:space="preserve">resuelve </w:t>
      </w:r>
      <w:r w:rsidRPr="00D360D4">
        <w:rPr>
          <w:rFonts w:asciiTheme="minorHAnsi" w:hAnsiTheme="minorHAnsi"/>
          <w:szCs w:val="24"/>
          <w:lang w:val="es-ES_tradnl" w:eastAsia="zh-CN"/>
        </w:rPr>
        <w:t xml:space="preserve">1.5 </w:t>
      </w:r>
      <w:r>
        <w:rPr>
          <w:rFonts w:asciiTheme="minorHAnsi" w:hAnsiTheme="minorHAnsi"/>
          <w:szCs w:val="24"/>
          <w:lang w:val="es-ES_tradnl" w:eastAsia="zh-CN"/>
        </w:rPr>
        <w:t>de la Resolución</w:t>
      </w:r>
      <w:r w:rsidRPr="00D360D4">
        <w:rPr>
          <w:rFonts w:asciiTheme="minorHAnsi" w:hAnsiTheme="minorHAnsi"/>
          <w:szCs w:val="24"/>
          <w:lang w:val="es-ES_tradnl" w:eastAsia="zh-CN"/>
        </w:rPr>
        <w:t xml:space="preserve"> </w:t>
      </w:r>
      <w:r w:rsidRPr="00D360D4">
        <w:rPr>
          <w:rFonts w:asciiTheme="minorHAnsi" w:hAnsiTheme="minorHAnsi"/>
          <w:b/>
          <w:szCs w:val="24"/>
          <w:lang w:val="es-ES_tradnl" w:eastAsia="zh-CN"/>
        </w:rPr>
        <w:t>156 (</w:t>
      </w:r>
      <w:r>
        <w:rPr>
          <w:rFonts w:asciiTheme="minorHAnsi" w:hAnsiTheme="minorHAnsi"/>
          <w:b/>
          <w:szCs w:val="24"/>
          <w:lang w:val="es-ES_tradnl" w:eastAsia="zh-CN"/>
        </w:rPr>
        <w:t>CMR</w:t>
      </w:r>
      <w:r w:rsidRPr="00D360D4">
        <w:rPr>
          <w:rFonts w:asciiTheme="minorHAnsi" w:hAnsiTheme="minorHAnsi"/>
          <w:b/>
          <w:szCs w:val="24"/>
          <w:lang w:val="es-ES_tradnl" w:eastAsia="zh-CN"/>
        </w:rPr>
        <w:t>-15)</w:t>
      </w:r>
      <w:r w:rsidRPr="00BD28EB">
        <w:rPr>
          <w:rFonts w:asciiTheme="minorHAnsi" w:hAnsiTheme="minorHAnsi"/>
          <w:bCs/>
          <w:szCs w:val="24"/>
          <w:lang w:val="es-ES_tradnl" w:eastAsia="zh-CN"/>
        </w:rPr>
        <w:t>,</w:t>
      </w:r>
      <w:r w:rsidRPr="00D360D4">
        <w:rPr>
          <w:rFonts w:asciiTheme="minorHAnsi" w:hAnsiTheme="minorHAnsi"/>
          <w:szCs w:val="24"/>
          <w:lang w:val="es-ES_tradnl" w:eastAsia="zh-CN"/>
        </w:rPr>
        <w:t xml:space="preserve"> </w:t>
      </w:r>
      <w:r>
        <w:rPr>
          <w:rFonts w:asciiTheme="minorHAnsi" w:hAnsiTheme="minorHAnsi"/>
          <w:szCs w:val="24"/>
          <w:lang w:val="es-ES_tradnl" w:eastAsia="zh-CN"/>
        </w:rPr>
        <w:t xml:space="preserve">la administración notificante presentará a la Oficina un compromiso de aplicación del </w:t>
      </w:r>
      <w:r w:rsidRPr="00D360D4">
        <w:rPr>
          <w:rFonts w:asciiTheme="minorHAnsi" w:eastAsiaTheme="minorEastAsia" w:hAnsiTheme="minorHAnsi"/>
          <w:i/>
          <w:iCs/>
          <w:szCs w:val="24"/>
          <w:lang w:val="es-ES_tradnl" w:eastAsia="zh-CN"/>
        </w:rPr>
        <w:t>res</w:t>
      </w:r>
      <w:r>
        <w:rPr>
          <w:rFonts w:asciiTheme="minorHAnsi" w:eastAsiaTheme="minorEastAsia" w:hAnsiTheme="minorHAnsi"/>
          <w:i/>
          <w:iCs/>
          <w:szCs w:val="24"/>
          <w:lang w:val="es-ES_tradnl" w:eastAsia="zh-CN"/>
        </w:rPr>
        <w:t>uelve</w:t>
      </w:r>
      <w:r w:rsidRPr="00D360D4">
        <w:rPr>
          <w:rFonts w:asciiTheme="minorHAnsi" w:eastAsiaTheme="minorEastAsia" w:hAnsiTheme="minorHAnsi"/>
          <w:i/>
          <w:iCs/>
          <w:szCs w:val="24"/>
          <w:lang w:val="es-ES_tradnl" w:eastAsia="zh-CN"/>
        </w:rPr>
        <w:t xml:space="preserve"> </w:t>
      </w:r>
      <w:r w:rsidRPr="00D360D4">
        <w:rPr>
          <w:rFonts w:asciiTheme="minorHAnsi" w:eastAsiaTheme="minorEastAsia" w:hAnsiTheme="minorHAnsi" w:cs="TimesNewRomanPSMT"/>
          <w:szCs w:val="24"/>
          <w:lang w:val="es-ES_tradnl" w:eastAsia="zh-CN"/>
        </w:rPr>
        <w:t xml:space="preserve">1.4 </w:t>
      </w:r>
      <w:r>
        <w:rPr>
          <w:rFonts w:asciiTheme="minorHAnsi" w:eastAsiaTheme="minorEastAsia" w:hAnsiTheme="minorHAnsi" w:cs="TimesNewRomanPSMT"/>
          <w:szCs w:val="24"/>
          <w:lang w:val="es-ES_tradnl" w:eastAsia="zh-CN"/>
        </w:rPr>
        <w:t>de esa Resolución</w:t>
      </w:r>
      <w:r w:rsidRPr="00D360D4">
        <w:rPr>
          <w:rFonts w:asciiTheme="minorHAnsi" w:eastAsiaTheme="minorEastAsia" w:hAnsiTheme="minorHAnsi" w:cs="TimesNewRomanPSMT"/>
          <w:szCs w:val="24"/>
          <w:lang w:val="es-ES_tradnl" w:eastAsia="zh-CN"/>
        </w:rPr>
        <w:t xml:space="preserve">. Se solicita </w:t>
      </w:r>
      <w:r w:rsidRPr="00D360D4">
        <w:rPr>
          <w:rFonts w:asciiTheme="minorHAnsi" w:eastAsiaTheme="minorEastAsia" w:hAnsiTheme="minorHAnsi" w:cs="TimesNewRomanPSMT"/>
          <w:szCs w:val="24"/>
          <w:lang w:val="es-ES_tradnl" w:eastAsia="zh-CN"/>
        </w:rPr>
        <w:lastRenderedPageBreak/>
        <w:t>a las administraciones q</w:t>
      </w:r>
      <w:r>
        <w:rPr>
          <w:rFonts w:asciiTheme="minorHAnsi" w:eastAsiaTheme="minorEastAsia" w:hAnsiTheme="minorHAnsi" w:cs="TimesNewRomanPSMT"/>
          <w:szCs w:val="24"/>
          <w:lang w:val="es-ES_tradnl" w:eastAsia="zh-CN"/>
        </w:rPr>
        <w:t>ue</w:t>
      </w:r>
      <w:r w:rsidRPr="00D360D4">
        <w:rPr>
          <w:rFonts w:asciiTheme="minorHAnsi" w:eastAsiaTheme="minorEastAsia" w:hAnsiTheme="minorHAnsi" w:cs="TimesNewRomanPSMT"/>
          <w:szCs w:val="24"/>
          <w:lang w:val="es-ES_tradnl" w:eastAsia="zh-CN"/>
        </w:rPr>
        <w:t xml:space="preserve"> presenten su declaración</w:t>
      </w:r>
      <w:r>
        <w:rPr>
          <w:rFonts w:asciiTheme="minorHAnsi" w:eastAsiaTheme="minorEastAsia" w:hAnsiTheme="minorHAnsi" w:cs="TimesNewRomanPSMT"/>
          <w:szCs w:val="24"/>
          <w:lang w:val="es-ES_tradnl" w:eastAsia="zh-CN"/>
        </w:rPr>
        <w:t xml:space="preserve"> </w:t>
      </w:r>
      <w:r w:rsidRPr="00D360D4">
        <w:rPr>
          <w:rFonts w:asciiTheme="minorHAnsi" w:eastAsiaTheme="minorEastAsia" w:hAnsiTheme="minorHAnsi" w:cs="TimesNewRomanPSMT"/>
          <w:szCs w:val="24"/>
          <w:lang w:val="es-ES_tradnl" w:eastAsia="zh-CN"/>
        </w:rPr>
        <w:t>de compromis</w:t>
      </w:r>
      <w:r>
        <w:rPr>
          <w:rFonts w:asciiTheme="minorHAnsi" w:eastAsiaTheme="minorEastAsia" w:hAnsiTheme="minorHAnsi" w:cs="TimesNewRomanPSMT"/>
          <w:szCs w:val="24"/>
          <w:lang w:val="es-ES_tradnl" w:eastAsia="zh-CN"/>
        </w:rPr>
        <w:t>o</w:t>
      </w:r>
      <w:r w:rsidR="00ED2B86">
        <w:rPr>
          <w:rFonts w:asciiTheme="minorHAnsi" w:eastAsiaTheme="minorEastAsia" w:hAnsiTheme="minorHAnsi" w:cs="TimesNewRomanPSMT"/>
          <w:szCs w:val="24"/>
          <w:lang w:val="es-ES_tradnl" w:eastAsia="zh-CN"/>
        </w:rPr>
        <w:t xml:space="preserve"> por </w:t>
      </w:r>
      <w:r w:rsidRPr="00D360D4">
        <w:rPr>
          <w:rFonts w:asciiTheme="minorHAnsi" w:eastAsiaTheme="minorEastAsia" w:hAnsiTheme="minorHAnsi" w:cs="TimesNewRomanPSMT"/>
          <w:szCs w:val="24"/>
          <w:lang w:val="es-ES_tradnl" w:eastAsia="zh-CN"/>
        </w:rPr>
        <w:t>fax/carta o como adjunto a su n</w:t>
      </w:r>
      <w:r>
        <w:rPr>
          <w:rFonts w:asciiTheme="minorHAnsi" w:eastAsiaTheme="minorEastAsia" w:hAnsiTheme="minorHAnsi" w:cs="TimesNewRomanPSMT"/>
          <w:szCs w:val="24"/>
          <w:lang w:val="es-ES_tradnl" w:eastAsia="zh-CN"/>
        </w:rPr>
        <w:t>otificación electrónica</w:t>
      </w:r>
      <w:r w:rsidRPr="00D360D4">
        <w:rPr>
          <w:rFonts w:asciiTheme="minorHAnsi" w:hAnsiTheme="minorHAnsi"/>
          <w:szCs w:val="24"/>
          <w:lang w:val="es-ES_tradnl"/>
        </w:rPr>
        <w:t>.</w:t>
      </w:r>
    </w:p>
    <w:p w:rsidR="00C60CAC" w:rsidRPr="00DD1253" w:rsidRDefault="00C60CAC" w:rsidP="00C60CAC">
      <w:pPr>
        <w:pStyle w:val="Headingb"/>
        <w:tabs>
          <w:tab w:val="clear" w:pos="794"/>
        </w:tabs>
        <w:ind w:left="0" w:firstLine="0"/>
        <w:rPr>
          <w:rFonts w:asciiTheme="minorHAnsi" w:eastAsia="SimSun" w:hAnsiTheme="minorHAnsi"/>
          <w:b w:val="0"/>
          <w:bCs/>
          <w:szCs w:val="24"/>
          <w:lang w:val="es-ES_tradnl" w:eastAsia="zh-CN"/>
        </w:rPr>
      </w:pPr>
      <w:r w:rsidRPr="00DD1253">
        <w:rPr>
          <w:rFonts w:asciiTheme="minorHAnsi" w:eastAsia="SimSun" w:hAnsiTheme="minorHAnsi"/>
          <w:bCs/>
          <w:szCs w:val="24"/>
          <w:lang w:val="es-ES_tradnl" w:eastAsia="zh-CN"/>
        </w:rPr>
        <w:t>Presentación de notificaciones de redes de satélites con los compromisos de las administraciones en virtud de las Resoluciones 163 (CMR-15) y 164 (CMR-15)</w:t>
      </w:r>
    </w:p>
    <w:p w:rsidR="00C60CAC" w:rsidRPr="00D360D4" w:rsidRDefault="00C60CAC" w:rsidP="00C60CAC">
      <w:pPr>
        <w:jc w:val="left"/>
        <w:rPr>
          <w:rFonts w:asciiTheme="minorHAnsi" w:eastAsia="SimSun" w:hAnsiTheme="minorHAnsi"/>
          <w:szCs w:val="24"/>
          <w:lang w:val="es-ES_tradnl" w:eastAsia="zh-CN"/>
        </w:rPr>
      </w:pPr>
      <w:r w:rsidRPr="00D360D4">
        <w:rPr>
          <w:rFonts w:asciiTheme="minorHAnsi" w:eastAsia="SimSun" w:hAnsiTheme="minorHAnsi"/>
          <w:szCs w:val="24"/>
          <w:lang w:val="es-ES_tradnl" w:eastAsia="zh-CN"/>
        </w:rPr>
        <w:t>La CMR-15 adoptó disposiciones nuevas y revisadas para la utilización de las bandas de frecuencias</w:t>
      </w:r>
      <w:r w:rsidRPr="00D360D4">
        <w:rPr>
          <w:rFonts w:asciiTheme="minorHAnsi" w:hAnsiTheme="minorHAnsi"/>
          <w:szCs w:val="24"/>
          <w:lang w:val="es-ES_tradnl"/>
        </w:rPr>
        <w:t xml:space="preserve"> 14,50-14,75 GHz en los países enumerados en la Resoluci</w:t>
      </w:r>
      <w:r>
        <w:rPr>
          <w:rFonts w:asciiTheme="minorHAnsi" w:hAnsiTheme="minorHAnsi"/>
          <w:szCs w:val="24"/>
          <w:lang w:val="es-ES_tradnl"/>
        </w:rPr>
        <w:t>ón</w:t>
      </w:r>
      <w:r w:rsidRPr="00D360D4">
        <w:rPr>
          <w:rFonts w:asciiTheme="minorHAnsi" w:hAnsiTheme="minorHAnsi"/>
          <w:szCs w:val="24"/>
          <w:lang w:val="es-ES_tradnl"/>
        </w:rPr>
        <w:t> </w:t>
      </w:r>
      <w:r w:rsidRPr="00D360D4">
        <w:rPr>
          <w:rFonts w:asciiTheme="minorHAnsi" w:hAnsiTheme="minorHAnsi"/>
          <w:b/>
          <w:bCs/>
          <w:szCs w:val="24"/>
          <w:lang w:val="es-ES_tradnl"/>
        </w:rPr>
        <w:t>163 (</w:t>
      </w:r>
      <w:r>
        <w:rPr>
          <w:rFonts w:asciiTheme="minorHAnsi" w:hAnsiTheme="minorHAnsi"/>
          <w:b/>
          <w:bCs/>
          <w:szCs w:val="24"/>
          <w:lang w:val="es-ES_tradnl"/>
        </w:rPr>
        <w:t>CMR</w:t>
      </w:r>
      <w:r w:rsidRPr="00D360D4">
        <w:rPr>
          <w:rFonts w:asciiTheme="minorHAnsi" w:hAnsiTheme="minorHAnsi"/>
          <w:b/>
          <w:bCs/>
          <w:szCs w:val="24"/>
          <w:lang w:val="es-ES_tradnl"/>
        </w:rPr>
        <w:noBreakHyphen/>
        <w:t>15)</w:t>
      </w:r>
      <w:r w:rsidRPr="00D360D4">
        <w:rPr>
          <w:rFonts w:asciiTheme="minorHAnsi" w:hAnsiTheme="minorHAnsi"/>
          <w:szCs w:val="24"/>
          <w:lang w:val="es-ES_tradnl"/>
        </w:rPr>
        <w:t xml:space="preserve"> </w:t>
      </w:r>
      <w:r>
        <w:rPr>
          <w:rFonts w:asciiTheme="minorHAnsi" w:hAnsiTheme="minorHAnsi"/>
          <w:szCs w:val="24"/>
          <w:lang w:val="es-ES_tradnl"/>
        </w:rPr>
        <w:t>y la banda</w:t>
      </w:r>
      <w:r w:rsidRPr="00D360D4">
        <w:rPr>
          <w:rFonts w:asciiTheme="minorHAnsi" w:hAnsiTheme="minorHAnsi"/>
          <w:szCs w:val="24"/>
          <w:lang w:val="es-ES_tradnl"/>
        </w:rPr>
        <w:t xml:space="preserve"> 14</w:t>
      </w:r>
      <w:r>
        <w:rPr>
          <w:rFonts w:asciiTheme="minorHAnsi" w:hAnsiTheme="minorHAnsi"/>
          <w:szCs w:val="24"/>
          <w:lang w:val="es-ES_tradnl"/>
        </w:rPr>
        <w:t>,</w:t>
      </w:r>
      <w:r w:rsidRPr="00D360D4">
        <w:rPr>
          <w:rFonts w:asciiTheme="minorHAnsi" w:hAnsiTheme="minorHAnsi"/>
          <w:szCs w:val="24"/>
          <w:lang w:val="es-ES_tradnl"/>
        </w:rPr>
        <w:t>50</w:t>
      </w:r>
      <w:r>
        <w:rPr>
          <w:rFonts w:asciiTheme="minorHAnsi" w:hAnsiTheme="minorHAnsi"/>
          <w:szCs w:val="24"/>
          <w:lang w:val="es-ES_tradnl"/>
        </w:rPr>
        <w:noBreakHyphen/>
      </w:r>
      <w:r w:rsidRPr="00D360D4">
        <w:rPr>
          <w:rFonts w:asciiTheme="minorHAnsi" w:hAnsiTheme="minorHAnsi"/>
          <w:szCs w:val="24"/>
          <w:lang w:val="es-ES_tradnl"/>
        </w:rPr>
        <w:t>14</w:t>
      </w:r>
      <w:r>
        <w:rPr>
          <w:rFonts w:asciiTheme="minorHAnsi" w:hAnsiTheme="minorHAnsi"/>
          <w:szCs w:val="24"/>
          <w:lang w:val="es-ES_tradnl"/>
        </w:rPr>
        <w:t>,</w:t>
      </w:r>
      <w:r w:rsidRPr="00D360D4">
        <w:rPr>
          <w:rFonts w:asciiTheme="minorHAnsi" w:hAnsiTheme="minorHAnsi"/>
          <w:szCs w:val="24"/>
          <w:lang w:val="es-ES_tradnl"/>
        </w:rPr>
        <w:t xml:space="preserve">8 GHz </w:t>
      </w:r>
      <w:r>
        <w:rPr>
          <w:rFonts w:asciiTheme="minorHAnsi" w:hAnsiTheme="minorHAnsi"/>
          <w:szCs w:val="24"/>
          <w:lang w:val="es-ES_tradnl"/>
        </w:rPr>
        <w:t>en los países indicados en la Resolución</w:t>
      </w:r>
      <w:r w:rsidRPr="00D360D4">
        <w:rPr>
          <w:rFonts w:asciiTheme="minorHAnsi" w:hAnsiTheme="minorHAnsi"/>
          <w:szCs w:val="24"/>
          <w:lang w:val="es-ES_tradnl"/>
        </w:rPr>
        <w:t> </w:t>
      </w:r>
      <w:r w:rsidRPr="00D360D4">
        <w:rPr>
          <w:rFonts w:asciiTheme="minorHAnsi" w:hAnsiTheme="minorHAnsi"/>
          <w:b/>
          <w:bCs/>
          <w:szCs w:val="24"/>
          <w:lang w:val="es-ES_tradnl"/>
        </w:rPr>
        <w:t>164</w:t>
      </w:r>
      <w:r w:rsidRPr="00D360D4">
        <w:rPr>
          <w:rFonts w:asciiTheme="minorHAnsi" w:hAnsiTheme="minorHAnsi"/>
          <w:szCs w:val="24"/>
          <w:lang w:val="es-ES_tradnl"/>
        </w:rPr>
        <w:t xml:space="preserve"> </w:t>
      </w:r>
      <w:r w:rsidRPr="00D360D4">
        <w:rPr>
          <w:rFonts w:asciiTheme="minorHAnsi" w:hAnsiTheme="minorHAnsi"/>
          <w:b/>
          <w:bCs/>
          <w:szCs w:val="24"/>
          <w:lang w:val="es-ES_tradnl"/>
        </w:rPr>
        <w:t>(</w:t>
      </w:r>
      <w:r>
        <w:rPr>
          <w:rFonts w:asciiTheme="minorHAnsi" w:hAnsiTheme="minorHAnsi"/>
          <w:b/>
          <w:bCs/>
          <w:szCs w:val="24"/>
          <w:lang w:val="es-ES_tradnl"/>
        </w:rPr>
        <w:t>CMR</w:t>
      </w:r>
      <w:r w:rsidRPr="00D360D4">
        <w:rPr>
          <w:rFonts w:asciiTheme="minorHAnsi" w:hAnsiTheme="minorHAnsi"/>
          <w:b/>
          <w:bCs/>
          <w:szCs w:val="24"/>
          <w:lang w:val="es-ES_tradnl"/>
        </w:rPr>
        <w:noBreakHyphen/>
        <w:t>15)</w:t>
      </w:r>
      <w:r w:rsidRPr="00D360D4">
        <w:rPr>
          <w:rFonts w:asciiTheme="minorHAnsi" w:hAnsiTheme="minorHAnsi"/>
          <w:szCs w:val="24"/>
          <w:lang w:val="es-ES_tradnl"/>
        </w:rPr>
        <w:t xml:space="preserve"> </w:t>
      </w:r>
      <w:r>
        <w:rPr>
          <w:rFonts w:asciiTheme="minorHAnsi" w:hAnsiTheme="minorHAnsi"/>
          <w:szCs w:val="24"/>
          <w:lang w:val="es-ES_tradnl"/>
        </w:rPr>
        <w:t>por el servicio fijo por satélite (Tierra-espacio), que entrarán en vigor el 1 de enero de</w:t>
      </w:r>
      <w:r w:rsidRPr="00D360D4">
        <w:rPr>
          <w:rFonts w:asciiTheme="minorHAnsi" w:eastAsia="SimSun" w:hAnsiTheme="minorHAnsi"/>
          <w:szCs w:val="24"/>
          <w:lang w:val="es-ES_tradnl" w:eastAsia="zh-CN"/>
        </w:rPr>
        <w:t xml:space="preserve"> 2017. Si bien la Oficina se encuentra actualizando la estructura de la base de datos SNS y las herramientas de software correspondientes para tener en cuenta estas modificaciones a partir del 1 de enero de 2017, está recibiendo un </w:t>
      </w:r>
      <w:r>
        <w:rPr>
          <w:rFonts w:asciiTheme="minorHAnsi" w:eastAsia="SimSun" w:hAnsiTheme="minorHAnsi"/>
          <w:szCs w:val="24"/>
          <w:lang w:val="es-ES_tradnl" w:eastAsia="zh-CN"/>
        </w:rPr>
        <w:t>s</w:t>
      </w:r>
      <w:r w:rsidRPr="00D360D4">
        <w:rPr>
          <w:rFonts w:asciiTheme="minorHAnsi" w:eastAsia="SimSun" w:hAnsiTheme="minorHAnsi"/>
          <w:szCs w:val="24"/>
          <w:lang w:val="es-ES_tradnl" w:eastAsia="zh-CN"/>
        </w:rPr>
        <w:t>erie de notificaciones para la utilización de esas nue</w:t>
      </w:r>
      <w:r>
        <w:rPr>
          <w:rFonts w:asciiTheme="minorHAnsi" w:eastAsia="SimSun" w:hAnsiTheme="minorHAnsi"/>
          <w:szCs w:val="24"/>
          <w:lang w:val="es-ES_tradnl" w:eastAsia="zh-CN"/>
        </w:rPr>
        <w:t>vas atribuciones, que se tramitarán de acuerdo con la Regla de Procedimiento relativa a la tramitación de solicitudes de coordinación o notificaciones de redes de satélites recibidas antes de la entrada en vigor de una decisión de la CMR</w:t>
      </w:r>
      <w:r w:rsidRPr="00D360D4">
        <w:rPr>
          <w:rFonts w:asciiTheme="minorHAnsi" w:eastAsia="SimSun" w:hAnsiTheme="minorHAnsi"/>
          <w:szCs w:val="24"/>
          <w:lang w:val="es-ES_tradnl" w:eastAsia="zh-CN"/>
        </w:rPr>
        <w:t>.</w:t>
      </w:r>
    </w:p>
    <w:p w:rsidR="00C60CAC" w:rsidRPr="00D360D4" w:rsidRDefault="00C60CAC" w:rsidP="00DD1253">
      <w:pPr>
        <w:spacing w:after="240"/>
        <w:jc w:val="left"/>
        <w:rPr>
          <w:rFonts w:asciiTheme="minorHAnsi" w:hAnsiTheme="minorHAnsi"/>
          <w:szCs w:val="24"/>
          <w:lang w:val="es-ES_tradnl" w:eastAsia="zh-CN"/>
        </w:rPr>
      </w:pPr>
      <w:r w:rsidRPr="00D360D4">
        <w:rPr>
          <w:rFonts w:asciiTheme="minorHAnsi" w:hAnsiTheme="minorHAnsi"/>
          <w:szCs w:val="24"/>
          <w:lang w:val="es-ES_tradnl" w:eastAsia="zh-CN"/>
        </w:rPr>
        <w:t xml:space="preserve">En este sentido, quiero señalar a las administraciones notificantes los siguientes requisitos obligatorios para la presentación de solicitudes de coordinación que comprendan la banda </w:t>
      </w:r>
      <w:r w:rsidRPr="00D360D4">
        <w:rPr>
          <w:rFonts w:asciiTheme="minorHAnsi" w:hAnsiTheme="minorHAnsi"/>
          <w:szCs w:val="24"/>
          <w:lang w:val="es-ES_tradnl"/>
        </w:rPr>
        <w:t>14,5</w:t>
      </w:r>
      <w:r>
        <w:rPr>
          <w:rFonts w:asciiTheme="minorHAnsi" w:hAnsiTheme="minorHAnsi"/>
          <w:szCs w:val="24"/>
          <w:lang w:val="es-ES_tradnl"/>
        </w:rPr>
        <w:noBreakHyphen/>
      </w:r>
      <w:r w:rsidRPr="00D360D4">
        <w:rPr>
          <w:rFonts w:asciiTheme="minorHAnsi" w:hAnsiTheme="minorHAnsi"/>
          <w:szCs w:val="24"/>
          <w:lang w:val="es-ES_tradnl"/>
        </w:rPr>
        <w:t>14,8 GHz para el servicio fijo por sat</w:t>
      </w:r>
      <w:r>
        <w:rPr>
          <w:rFonts w:asciiTheme="minorHAnsi" w:hAnsiTheme="minorHAnsi"/>
          <w:szCs w:val="24"/>
          <w:lang w:val="es-ES_tradnl"/>
        </w:rPr>
        <w:t>élite (Tierra-espacio</w:t>
      </w:r>
      <w:r w:rsidRPr="00D360D4">
        <w:rPr>
          <w:rFonts w:asciiTheme="minorHAnsi" w:hAnsiTheme="minorHAnsi"/>
          <w:szCs w:val="24"/>
          <w:lang w:val="es-ES_tradnl"/>
        </w:rPr>
        <w:t>)</w:t>
      </w:r>
      <w:r w:rsidRPr="00D360D4">
        <w:rPr>
          <w:rFonts w:asciiTheme="minorHAnsi" w:hAnsiTheme="minorHAnsi"/>
          <w:szCs w:val="24"/>
          <w:lang w:val="es-ES_tradnl" w:eastAsia="zh-CN"/>
        </w:rPr>
        <w:t>:</w:t>
      </w:r>
    </w:p>
    <w:p w:rsidR="00C60CAC" w:rsidRPr="00D360D4" w:rsidRDefault="00C60CAC" w:rsidP="00DD1253">
      <w:pPr>
        <w:pStyle w:val="enumlev1"/>
        <w:spacing w:before="120" w:after="120"/>
        <w:jc w:val="left"/>
        <w:rPr>
          <w:lang w:val="es-ES_tradnl" w:eastAsia="zh-CN"/>
        </w:rPr>
      </w:pPr>
      <w:r w:rsidRPr="00C60CAC">
        <w:rPr>
          <w:lang w:val="es-ES_tradnl" w:eastAsia="zh-CN"/>
        </w:rPr>
        <w:t>•</w:t>
      </w:r>
      <w:r>
        <w:rPr>
          <w:lang w:val="es-ES_tradnl" w:eastAsia="zh-CN"/>
        </w:rPr>
        <w:tab/>
      </w:r>
      <w:r w:rsidR="00ED2B86">
        <w:rPr>
          <w:lang w:val="es-ES_tradnl" w:eastAsia="zh-CN"/>
        </w:rPr>
        <w:t xml:space="preserve">En su </w:t>
      </w:r>
      <w:r w:rsidRPr="00D360D4">
        <w:rPr>
          <w:lang w:val="es-ES_tradnl" w:eastAsia="zh-CN"/>
        </w:rPr>
        <w:t>fax/carta o en una nota a su notificación electr</w:t>
      </w:r>
      <w:r>
        <w:rPr>
          <w:lang w:val="es-ES_tradnl" w:eastAsia="zh-CN"/>
        </w:rPr>
        <w:t>ó</w:t>
      </w:r>
      <w:r w:rsidRPr="00D360D4">
        <w:rPr>
          <w:lang w:val="es-ES_tradnl" w:eastAsia="zh-CN"/>
        </w:rPr>
        <w:t>nica</w:t>
      </w:r>
      <w:r w:rsidR="00ED2B86">
        <w:rPr>
          <w:lang w:val="es-ES_tradnl" w:eastAsia="zh-CN"/>
        </w:rPr>
        <w:t>,</w:t>
      </w:r>
      <w:r w:rsidRPr="00D360D4">
        <w:rPr>
          <w:lang w:val="es-ES_tradnl" w:eastAsia="zh-CN"/>
        </w:rPr>
        <w:t xml:space="preserve"> las administraciones deben indicar si la utilización de la banda será conforme con las Resoluciones </w:t>
      </w:r>
      <w:r w:rsidRPr="00D360D4">
        <w:rPr>
          <w:b/>
          <w:bCs/>
          <w:lang w:val="es-ES_tradnl" w:eastAsia="zh-CN"/>
        </w:rPr>
        <w:t>163</w:t>
      </w:r>
      <w:r w:rsidRPr="00D360D4">
        <w:rPr>
          <w:lang w:val="es-ES_tradnl" w:eastAsia="zh-CN"/>
        </w:rPr>
        <w:t xml:space="preserve"> </w:t>
      </w:r>
      <w:proofErr w:type="spellStart"/>
      <w:r w:rsidR="00ED2B86">
        <w:rPr>
          <w:lang w:val="es-ES_tradnl" w:eastAsia="zh-CN"/>
        </w:rPr>
        <w:t>ó</w:t>
      </w:r>
      <w:proofErr w:type="spellEnd"/>
      <w:r w:rsidRPr="00D360D4">
        <w:rPr>
          <w:lang w:val="es-ES_tradnl" w:eastAsia="zh-CN"/>
        </w:rPr>
        <w:t xml:space="preserve"> </w:t>
      </w:r>
      <w:r w:rsidRPr="00D360D4">
        <w:rPr>
          <w:b/>
          <w:bCs/>
          <w:lang w:val="es-ES_tradnl" w:eastAsia="zh-CN"/>
        </w:rPr>
        <w:t>164</w:t>
      </w:r>
      <w:r w:rsidRPr="00ED2B86">
        <w:rPr>
          <w:lang w:val="es-ES_tradnl" w:eastAsia="zh-CN"/>
        </w:rPr>
        <w:t>,</w:t>
      </w:r>
      <w:r w:rsidRPr="00D360D4">
        <w:rPr>
          <w:lang w:val="es-ES_tradnl" w:eastAsia="zh-CN"/>
        </w:rPr>
        <w:t xml:space="preserve"> o</w:t>
      </w:r>
      <w:r>
        <w:rPr>
          <w:lang w:val="es-ES_tradnl" w:eastAsia="zh-CN"/>
        </w:rPr>
        <w:t xml:space="preserve"> si será conforme con el número</w:t>
      </w:r>
      <w:r w:rsidRPr="00D360D4">
        <w:rPr>
          <w:lang w:val="es-ES_tradnl" w:eastAsia="zh-CN"/>
        </w:rPr>
        <w:t> </w:t>
      </w:r>
      <w:r w:rsidRPr="00D360D4">
        <w:rPr>
          <w:b/>
          <w:bCs/>
          <w:lang w:val="es-ES_tradnl" w:eastAsia="zh-CN"/>
        </w:rPr>
        <w:t>5.510</w:t>
      </w:r>
      <w:r w:rsidRPr="00D360D4">
        <w:rPr>
          <w:lang w:val="es-ES_tradnl" w:eastAsia="zh-CN"/>
        </w:rPr>
        <w:t xml:space="preserve"> </w:t>
      </w:r>
      <w:r>
        <w:rPr>
          <w:lang w:val="es-ES_tradnl" w:eastAsia="zh-CN"/>
        </w:rPr>
        <w:t>como enlace de conexión para el servicio de radiodifusión por satélite</w:t>
      </w:r>
      <w:r w:rsidRPr="00D360D4">
        <w:rPr>
          <w:lang w:val="es-ES_tradnl" w:eastAsia="zh-CN"/>
        </w:rPr>
        <w:t>.</w:t>
      </w:r>
    </w:p>
    <w:p w:rsidR="00C60CAC" w:rsidRPr="00346122" w:rsidRDefault="00C60CAC" w:rsidP="00DD1253">
      <w:pPr>
        <w:pStyle w:val="enumlev1"/>
        <w:spacing w:before="120" w:after="120"/>
        <w:jc w:val="left"/>
        <w:rPr>
          <w:rFonts w:asciiTheme="minorHAnsi" w:eastAsia="SimSun" w:hAnsiTheme="minorHAnsi"/>
          <w:b/>
          <w:bCs/>
          <w:lang w:val="es-ES_tradnl" w:eastAsia="zh-CN"/>
        </w:rPr>
      </w:pPr>
      <w:r w:rsidRPr="00C60CAC">
        <w:rPr>
          <w:lang w:val="es-ES_tradnl" w:eastAsia="zh-CN"/>
        </w:rPr>
        <w:t>•</w:t>
      </w:r>
      <w:r>
        <w:rPr>
          <w:lang w:val="es-ES_tradnl" w:eastAsia="zh-CN"/>
        </w:rPr>
        <w:tab/>
      </w:r>
      <w:r w:rsidRPr="00D360D4">
        <w:rPr>
          <w:rFonts w:asciiTheme="minorHAnsi" w:hAnsiTheme="minorHAnsi"/>
          <w:lang w:val="es-ES_tradnl"/>
        </w:rPr>
        <w:t>Si la utilización de la banda va a ser conforme con las Resoluciones</w:t>
      </w:r>
      <w:r w:rsidRPr="00D360D4">
        <w:rPr>
          <w:rFonts w:asciiTheme="minorHAnsi" w:hAnsiTheme="minorHAnsi"/>
          <w:lang w:val="es-ES_tradnl" w:eastAsia="zh-CN"/>
        </w:rPr>
        <w:t xml:space="preserve"> </w:t>
      </w:r>
      <w:r w:rsidRPr="00D360D4">
        <w:rPr>
          <w:rFonts w:asciiTheme="minorHAnsi" w:hAnsiTheme="minorHAnsi"/>
          <w:b/>
          <w:bCs/>
          <w:lang w:val="es-ES_tradnl" w:eastAsia="zh-CN"/>
        </w:rPr>
        <w:t>163</w:t>
      </w:r>
      <w:r w:rsidRPr="00D360D4">
        <w:rPr>
          <w:rFonts w:asciiTheme="minorHAnsi" w:hAnsiTheme="minorHAnsi"/>
          <w:lang w:val="es-ES_tradnl" w:eastAsia="zh-CN"/>
        </w:rPr>
        <w:t xml:space="preserve"> </w:t>
      </w:r>
      <w:proofErr w:type="spellStart"/>
      <w:r w:rsidR="00B77B9A">
        <w:rPr>
          <w:rFonts w:asciiTheme="minorHAnsi" w:hAnsiTheme="minorHAnsi"/>
          <w:lang w:val="es-ES_tradnl" w:eastAsia="zh-CN"/>
        </w:rPr>
        <w:t>ó</w:t>
      </w:r>
      <w:proofErr w:type="spellEnd"/>
      <w:r w:rsidRPr="00D360D4">
        <w:rPr>
          <w:rFonts w:asciiTheme="minorHAnsi" w:hAnsiTheme="minorHAnsi"/>
          <w:lang w:val="es-ES_tradnl" w:eastAsia="zh-CN"/>
        </w:rPr>
        <w:t xml:space="preserve"> </w:t>
      </w:r>
      <w:r w:rsidRPr="00D360D4">
        <w:rPr>
          <w:rFonts w:asciiTheme="minorHAnsi" w:hAnsiTheme="minorHAnsi"/>
          <w:b/>
          <w:bCs/>
          <w:lang w:val="es-ES_tradnl" w:eastAsia="zh-CN"/>
        </w:rPr>
        <w:t>164</w:t>
      </w:r>
      <w:r w:rsidRPr="00D360D4">
        <w:rPr>
          <w:rFonts w:asciiTheme="minorHAnsi" w:hAnsiTheme="minorHAnsi"/>
          <w:lang w:val="es-ES_tradnl" w:eastAsia="zh-CN"/>
        </w:rPr>
        <w:t>, la notificación deberá incluir el compromis</w:t>
      </w:r>
      <w:r>
        <w:rPr>
          <w:rFonts w:asciiTheme="minorHAnsi" w:hAnsiTheme="minorHAnsi"/>
          <w:lang w:val="es-ES_tradnl" w:eastAsia="zh-CN"/>
        </w:rPr>
        <w:t>o</w:t>
      </w:r>
      <w:r w:rsidRPr="00D360D4">
        <w:rPr>
          <w:rFonts w:asciiTheme="minorHAnsi" w:hAnsiTheme="minorHAnsi"/>
          <w:lang w:val="es-ES_tradnl" w:eastAsia="zh-CN"/>
        </w:rPr>
        <w:t xml:space="preserve"> que exige el punto</w:t>
      </w:r>
      <w:r w:rsidRPr="00D360D4">
        <w:rPr>
          <w:rFonts w:asciiTheme="minorHAnsi" w:hAnsiTheme="minorHAnsi"/>
          <w:lang w:val="es-ES_tradnl"/>
        </w:rPr>
        <w:t xml:space="preserve"> </w:t>
      </w:r>
      <w:r w:rsidRPr="00D360D4">
        <w:rPr>
          <w:rFonts w:asciiTheme="minorHAnsi" w:hAnsiTheme="minorHAnsi"/>
          <w:lang w:val="es-ES_tradnl" w:eastAsia="zh-CN"/>
        </w:rPr>
        <w:t>A.16.c del Ap</w:t>
      </w:r>
      <w:r>
        <w:rPr>
          <w:rFonts w:asciiTheme="minorHAnsi" w:hAnsiTheme="minorHAnsi"/>
          <w:lang w:val="es-ES_tradnl" w:eastAsia="zh-CN"/>
        </w:rPr>
        <w:t>éndice</w:t>
      </w:r>
      <w:r w:rsidRPr="00D360D4">
        <w:rPr>
          <w:rFonts w:asciiTheme="minorHAnsi" w:hAnsiTheme="minorHAnsi"/>
          <w:lang w:val="es-ES_tradnl" w:eastAsia="zh-CN"/>
        </w:rPr>
        <w:t xml:space="preserve"> </w:t>
      </w:r>
      <w:r w:rsidRPr="00D360D4">
        <w:rPr>
          <w:rFonts w:asciiTheme="minorHAnsi" w:hAnsiTheme="minorHAnsi"/>
          <w:b/>
          <w:bCs/>
          <w:lang w:val="es-ES_tradnl" w:eastAsia="zh-CN"/>
        </w:rPr>
        <w:t>4</w:t>
      </w:r>
      <w:r w:rsidRPr="00D360D4">
        <w:rPr>
          <w:rFonts w:asciiTheme="minorHAnsi" w:hAnsiTheme="minorHAnsi"/>
          <w:lang w:val="es-ES_tradnl" w:eastAsia="zh-CN"/>
        </w:rPr>
        <w:t xml:space="preserve"> (</w:t>
      </w:r>
      <w:r w:rsidRPr="00D360D4">
        <w:rPr>
          <w:rFonts w:asciiTheme="minorHAnsi" w:hAnsiTheme="minorHAnsi"/>
          <w:lang w:val="es-ES_tradnl"/>
        </w:rPr>
        <w:t>com</w:t>
      </w:r>
      <w:r>
        <w:rPr>
          <w:rFonts w:asciiTheme="minorHAnsi" w:hAnsiTheme="minorHAnsi"/>
          <w:lang w:val="es-ES_tradnl"/>
        </w:rPr>
        <w:t>promiso de las administraciones de que la estación terrena asociada al sistema notificado respetará la distancia de separación especificada en el número</w:t>
      </w:r>
      <w:r w:rsidRPr="00D360D4">
        <w:rPr>
          <w:rFonts w:asciiTheme="minorHAnsi" w:hAnsiTheme="minorHAnsi"/>
          <w:lang w:val="es-ES_tradnl"/>
        </w:rPr>
        <w:t> </w:t>
      </w:r>
      <w:r w:rsidRPr="00D360D4">
        <w:rPr>
          <w:rFonts w:asciiTheme="minorHAnsi" w:hAnsiTheme="minorHAnsi"/>
          <w:b/>
          <w:lang w:val="es-ES_tradnl"/>
        </w:rPr>
        <w:t>5.509E</w:t>
      </w:r>
      <w:r w:rsidRPr="00D360D4">
        <w:rPr>
          <w:rFonts w:asciiTheme="minorHAnsi" w:hAnsiTheme="minorHAnsi"/>
          <w:lang w:val="es-ES_tradnl"/>
        </w:rPr>
        <w:t xml:space="preserve"> </w:t>
      </w:r>
      <w:r>
        <w:rPr>
          <w:rFonts w:asciiTheme="minorHAnsi" w:hAnsiTheme="minorHAnsi"/>
          <w:lang w:val="es-ES_tradnl"/>
        </w:rPr>
        <w:t>y los límites de densidad de flujo de potencia especificados en el número</w:t>
      </w:r>
      <w:r w:rsidRPr="00D360D4">
        <w:rPr>
          <w:rFonts w:asciiTheme="minorHAnsi" w:hAnsiTheme="minorHAnsi"/>
          <w:lang w:val="es-ES_tradnl"/>
        </w:rPr>
        <w:t> </w:t>
      </w:r>
      <w:r w:rsidRPr="00D360D4">
        <w:rPr>
          <w:rFonts w:asciiTheme="minorHAnsi" w:hAnsiTheme="minorHAnsi"/>
          <w:b/>
          <w:lang w:val="es-ES_tradnl"/>
        </w:rPr>
        <w:t>5.509D</w:t>
      </w:r>
      <w:r w:rsidRPr="00D360D4">
        <w:rPr>
          <w:rFonts w:asciiTheme="minorHAnsi" w:hAnsiTheme="minorHAnsi"/>
          <w:lang w:val="es-ES_tradnl"/>
        </w:rPr>
        <w:t>).</w:t>
      </w:r>
      <w:r w:rsidR="00EB1462">
        <w:rPr>
          <w:rFonts w:asciiTheme="minorHAnsi" w:hAnsiTheme="minorHAnsi"/>
          <w:lang w:val="es-ES_tradnl"/>
        </w:rPr>
        <w:t xml:space="preserve"> </w:t>
      </w:r>
      <w:r w:rsidRPr="00346122">
        <w:rPr>
          <w:rFonts w:asciiTheme="minorHAnsi" w:hAnsiTheme="minorHAnsi"/>
          <w:lang w:val="es-ES_tradnl"/>
        </w:rPr>
        <w:t xml:space="preserve">Dado que este punto no figura todavía en el software de cumplimentación </w:t>
      </w:r>
      <w:proofErr w:type="spellStart"/>
      <w:r w:rsidRPr="00346122">
        <w:rPr>
          <w:rFonts w:asciiTheme="minorHAnsi" w:hAnsiTheme="minorHAnsi"/>
          <w:lang w:val="es-ES_tradnl"/>
        </w:rPr>
        <w:t>SpaceCap</w:t>
      </w:r>
      <w:proofErr w:type="spellEnd"/>
      <w:r w:rsidRPr="00346122">
        <w:rPr>
          <w:rFonts w:asciiTheme="minorHAnsi" w:hAnsiTheme="minorHAnsi"/>
          <w:lang w:val="es-ES_tradnl"/>
        </w:rPr>
        <w:t xml:space="preserve"> de la Oficina, se solicita a las administraciones qu</w:t>
      </w:r>
      <w:r>
        <w:rPr>
          <w:rFonts w:asciiTheme="minorHAnsi" w:hAnsiTheme="minorHAnsi"/>
          <w:lang w:val="es-ES_tradnl"/>
        </w:rPr>
        <w:t>e</w:t>
      </w:r>
      <w:r w:rsidRPr="00346122">
        <w:rPr>
          <w:rFonts w:asciiTheme="minorHAnsi" w:hAnsiTheme="minorHAnsi"/>
          <w:lang w:val="es-ES_tradnl"/>
        </w:rPr>
        <w:t xml:space="preserve"> presenten su </w:t>
      </w:r>
      <w:r>
        <w:rPr>
          <w:rFonts w:asciiTheme="minorHAnsi" w:hAnsiTheme="minorHAnsi"/>
          <w:lang w:val="es-ES_tradnl"/>
        </w:rPr>
        <w:t>compromiso</w:t>
      </w:r>
      <w:r w:rsidR="00ED2B86">
        <w:rPr>
          <w:rFonts w:asciiTheme="minorHAnsi" w:hAnsiTheme="minorHAnsi"/>
          <w:lang w:val="es-ES_tradnl"/>
        </w:rPr>
        <w:t xml:space="preserve"> por </w:t>
      </w:r>
      <w:r w:rsidRPr="00346122">
        <w:rPr>
          <w:rFonts w:asciiTheme="minorHAnsi" w:hAnsiTheme="minorHAnsi"/>
          <w:lang w:val="es-ES_tradnl"/>
        </w:rPr>
        <w:t>fax/carta o como adjunto a su notificaci</w:t>
      </w:r>
      <w:r>
        <w:rPr>
          <w:rFonts w:asciiTheme="minorHAnsi" w:hAnsiTheme="minorHAnsi"/>
          <w:lang w:val="es-ES_tradnl"/>
        </w:rPr>
        <w:t>ón electrónica</w:t>
      </w:r>
      <w:r w:rsidRPr="00346122">
        <w:rPr>
          <w:rFonts w:asciiTheme="minorHAnsi" w:hAnsiTheme="minorHAnsi"/>
          <w:lang w:val="es-ES_tradnl"/>
        </w:rPr>
        <w:t>.</w:t>
      </w:r>
    </w:p>
    <w:p w:rsidR="00C60CAC" w:rsidRPr="00346122" w:rsidRDefault="00C60CAC" w:rsidP="00DD1253">
      <w:pPr>
        <w:pStyle w:val="enumlev1"/>
        <w:spacing w:before="120" w:after="120"/>
        <w:jc w:val="left"/>
        <w:rPr>
          <w:rFonts w:asciiTheme="minorHAnsi" w:eastAsia="SimSun" w:hAnsiTheme="minorHAnsi"/>
          <w:b/>
          <w:bCs/>
          <w:lang w:val="es-ES_tradnl" w:eastAsia="zh-CN"/>
        </w:rPr>
      </w:pPr>
      <w:r w:rsidRPr="00C60CAC">
        <w:rPr>
          <w:lang w:val="es-ES_tradnl" w:eastAsia="zh-CN"/>
        </w:rPr>
        <w:t>•</w:t>
      </w:r>
      <w:r>
        <w:rPr>
          <w:lang w:val="es-ES_tradnl" w:eastAsia="zh-CN"/>
        </w:rPr>
        <w:tab/>
      </w:r>
      <w:r w:rsidRPr="00346122">
        <w:rPr>
          <w:rFonts w:asciiTheme="minorHAnsi" w:hAnsiTheme="minorHAnsi"/>
          <w:lang w:val="es-ES_tradnl"/>
        </w:rPr>
        <w:t>Si la utilización de la banda va a ser conforme con las Resoluciones</w:t>
      </w:r>
      <w:r w:rsidRPr="00346122">
        <w:rPr>
          <w:rFonts w:asciiTheme="minorHAnsi" w:hAnsiTheme="minorHAnsi"/>
          <w:lang w:val="es-ES_tradnl" w:eastAsia="zh-CN"/>
        </w:rPr>
        <w:t xml:space="preserve"> </w:t>
      </w:r>
      <w:r w:rsidRPr="00346122">
        <w:rPr>
          <w:rFonts w:asciiTheme="minorHAnsi" w:hAnsiTheme="minorHAnsi"/>
          <w:b/>
          <w:bCs/>
          <w:lang w:val="es-ES_tradnl" w:eastAsia="zh-CN"/>
        </w:rPr>
        <w:t>163</w:t>
      </w:r>
      <w:r w:rsidRPr="00346122">
        <w:rPr>
          <w:rFonts w:asciiTheme="minorHAnsi" w:hAnsiTheme="minorHAnsi"/>
          <w:lang w:val="es-ES_tradnl" w:eastAsia="zh-CN"/>
        </w:rPr>
        <w:t xml:space="preserve"> </w:t>
      </w:r>
      <w:proofErr w:type="spellStart"/>
      <w:r w:rsidR="00ED2B86">
        <w:rPr>
          <w:rFonts w:asciiTheme="minorHAnsi" w:hAnsiTheme="minorHAnsi"/>
          <w:lang w:val="es-ES_tradnl" w:eastAsia="zh-CN"/>
        </w:rPr>
        <w:t>ó</w:t>
      </w:r>
      <w:proofErr w:type="spellEnd"/>
      <w:r w:rsidRPr="00346122">
        <w:rPr>
          <w:rFonts w:asciiTheme="minorHAnsi" w:hAnsiTheme="minorHAnsi"/>
          <w:lang w:val="es-ES_tradnl" w:eastAsia="zh-CN"/>
        </w:rPr>
        <w:t xml:space="preserve"> </w:t>
      </w:r>
      <w:r w:rsidRPr="00346122">
        <w:rPr>
          <w:rFonts w:asciiTheme="minorHAnsi" w:hAnsiTheme="minorHAnsi"/>
          <w:b/>
          <w:bCs/>
          <w:lang w:val="es-ES_tradnl" w:eastAsia="zh-CN"/>
        </w:rPr>
        <w:t>164</w:t>
      </w:r>
      <w:r w:rsidRPr="00346122">
        <w:rPr>
          <w:rFonts w:asciiTheme="minorHAnsi" w:hAnsiTheme="minorHAnsi"/>
          <w:lang w:val="es-ES_tradnl" w:eastAsia="zh-CN"/>
        </w:rPr>
        <w:t>, se deberá comunicar el diámetro de la estaci</w:t>
      </w:r>
      <w:r>
        <w:rPr>
          <w:rFonts w:asciiTheme="minorHAnsi" w:hAnsiTheme="minorHAnsi"/>
          <w:lang w:val="es-ES_tradnl" w:eastAsia="zh-CN"/>
        </w:rPr>
        <w:t>ón terrena, en metros, como exige el punto</w:t>
      </w:r>
      <w:r w:rsidRPr="00346122">
        <w:rPr>
          <w:rFonts w:asciiTheme="minorHAnsi" w:hAnsiTheme="minorHAnsi"/>
          <w:lang w:val="es-ES_tradnl" w:eastAsia="zh-CN"/>
        </w:rPr>
        <w:t xml:space="preserve"> C.10.d.7 </w:t>
      </w:r>
      <w:r>
        <w:rPr>
          <w:rFonts w:asciiTheme="minorHAnsi" w:hAnsiTheme="minorHAnsi"/>
          <w:lang w:val="es-ES_tradnl" w:eastAsia="zh-CN"/>
        </w:rPr>
        <w:t>del Apéndice</w:t>
      </w:r>
      <w:r w:rsidRPr="00346122">
        <w:rPr>
          <w:rFonts w:asciiTheme="minorHAnsi" w:hAnsiTheme="minorHAnsi"/>
          <w:lang w:val="es-ES_tradnl" w:eastAsia="zh-CN"/>
        </w:rPr>
        <w:t xml:space="preserve"> </w:t>
      </w:r>
      <w:r w:rsidRPr="00346122">
        <w:rPr>
          <w:rFonts w:asciiTheme="minorHAnsi" w:hAnsiTheme="minorHAnsi"/>
          <w:b/>
          <w:bCs/>
          <w:lang w:val="es-ES_tradnl" w:eastAsia="zh-CN"/>
        </w:rPr>
        <w:t>4</w:t>
      </w:r>
      <w:r w:rsidRPr="00346122">
        <w:rPr>
          <w:rFonts w:asciiTheme="minorHAnsi" w:hAnsiTheme="minorHAnsi"/>
          <w:lang w:val="es-ES_tradnl" w:eastAsia="zh-CN"/>
        </w:rPr>
        <w:t xml:space="preserve">, </w:t>
      </w:r>
      <w:r>
        <w:rPr>
          <w:rFonts w:asciiTheme="minorHAnsi" w:hAnsiTheme="minorHAnsi"/>
          <w:lang w:val="es-ES_tradnl" w:eastAsia="zh-CN"/>
        </w:rPr>
        <w:t xml:space="preserve">para todas las estaciones terrenas asociadas operativas en grupos de asignaciones de frecuencias. </w:t>
      </w:r>
      <w:r w:rsidRPr="00346122">
        <w:rPr>
          <w:rFonts w:asciiTheme="minorHAnsi" w:hAnsiTheme="minorHAnsi"/>
          <w:lang w:val="es-ES_tradnl" w:eastAsia="zh-CN"/>
        </w:rPr>
        <w:t>Este dato puede introducirse en la notificación electrónica con</w:t>
      </w:r>
      <w:r w:rsidRPr="00346122">
        <w:rPr>
          <w:rFonts w:asciiTheme="minorHAnsi" w:hAnsiTheme="minorHAnsi"/>
          <w:lang w:val="es-ES_tradnl"/>
        </w:rPr>
        <w:t xml:space="preserve"> </w:t>
      </w:r>
      <w:proofErr w:type="spellStart"/>
      <w:r w:rsidRPr="00346122">
        <w:rPr>
          <w:rFonts w:asciiTheme="minorHAnsi" w:hAnsiTheme="minorHAnsi"/>
          <w:lang w:val="es-ES_tradnl"/>
        </w:rPr>
        <w:t>SpaceCap</w:t>
      </w:r>
      <w:proofErr w:type="spellEnd"/>
      <w:r w:rsidRPr="00346122">
        <w:rPr>
          <w:rFonts w:asciiTheme="minorHAnsi" w:hAnsiTheme="minorHAnsi"/>
          <w:lang w:val="es-ES_tradnl"/>
        </w:rPr>
        <w:t>.</w:t>
      </w:r>
    </w:p>
    <w:p w:rsidR="00C60CAC" w:rsidRPr="00DD1253" w:rsidRDefault="00C60CAC" w:rsidP="00C60CAC">
      <w:pPr>
        <w:pStyle w:val="Headingb"/>
        <w:tabs>
          <w:tab w:val="clear" w:pos="794"/>
        </w:tabs>
        <w:ind w:left="0" w:firstLine="0"/>
        <w:rPr>
          <w:rFonts w:asciiTheme="minorHAnsi" w:hAnsiTheme="minorHAnsi"/>
          <w:szCs w:val="24"/>
          <w:lang w:val="es-ES_tradnl" w:eastAsia="zh-CN"/>
        </w:rPr>
      </w:pPr>
      <w:r w:rsidRPr="00DD1253">
        <w:rPr>
          <w:rFonts w:asciiTheme="minorHAnsi" w:eastAsia="SimSun" w:hAnsiTheme="minorHAnsi"/>
          <w:bCs/>
          <w:szCs w:val="24"/>
          <w:lang w:val="es-ES_tradnl" w:eastAsia="zh-CN"/>
        </w:rPr>
        <w:t>Presentación de información de los sistemas del SMA(R</w:t>
      </w:r>
      <w:proofErr w:type="gramStart"/>
      <w:r w:rsidRPr="00DD1253">
        <w:rPr>
          <w:rFonts w:asciiTheme="minorHAnsi" w:eastAsia="SimSun" w:hAnsiTheme="minorHAnsi"/>
          <w:bCs/>
          <w:szCs w:val="24"/>
          <w:lang w:val="es-ES_tradnl" w:eastAsia="zh-CN"/>
        </w:rPr>
        <w:t>)S</w:t>
      </w:r>
      <w:proofErr w:type="gramEnd"/>
      <w:r w:rsidRPr="00DD1253">
        <w:rPr>
          <w:rFonts w:asciiTheme="minorHAnsi" w:eastAsia="SimSun" w:hAnsiTheme="minorHAnsi"/>
          <w:bCs/>
          <w:szCs w:val="24"/>
          <w:lang w:val="es-ES_tradnl" w:eastAsia="zh-CN"/>
        </w:rPr>
        <w:t xml:space="preserve"> en la banda 1 087,7-1 092,3 MHz</w:t>
      </w:r>
    </w:p>
    <w:p w:rsidR="00DD1253" w:rsidRDefault="00C60CAC" w:rsidP="00C60CAC">
      <w:pPr>
        <w:jc w:val="left"/>
        <w:rPr>
          <w:rFonts w:asciiTheme="minorHAnsi" w:eastAsiaTheme="minorEastAsia" w:hAnsiTheme="minorHAnsi" w:cs="TimesNewRomanPSMT"/>
          <w:szCs w:val="24"/>
          <w:lang w:val="es-ES_tradnl" w:eastAsia="zh-CN"/>
        </w:rPr>
      </w:pPr>
      <w:r w:rsidRPr="00346122">
        <w:rPr>
          <w:rFonts w:asciiTheme="minorHAnsi" w:hAnsiTheme="minorHAnsi"/>
          <w:szCs w:val="24"/>
          <w:lang w:val="es-ES_tradnl" w:eastAsia="zh-CN"/>
        </w:rPr>
        <w:t>Quiero record</w:t>
      </w:r>
      <w:r>
        <w:rPr>
          <w:rFonts w:asciiTheme="minorHAnsi" w:hAnsiTheme="minorHAnsi"/>
          <w:szCs w:val="24"/>
          <w:lang w:val="es-ES_tradnl" w:eastAsia="zh-CN"/>
        </w:rPr>
        <w:t>a</w:t>
      </w:r>
      <w:r w:rsidRPr="00346122">
        <w:rPr>
          <w:rFonts w:asciiTheme="minorHAnsi" w:hAnsiTheme="minorHAnsi"/>
          <w:szCs w:val="24"/>
          <w:lang w:val="es-ES_tradnl" w:eastAsia="zh-CN"/>
        </w:rPr>
        <w:t>r a las administraciones que, como se indica en la Carta Circular CR/394, las notificaciones para la utilizaci</w:t>
      </w:r>
      <w:r>
        <w:rPr>
          <w:rFonts w:asciiTheme="minorHAnsi" w:hAnsiTheme="minorHAnsi"/>
          <w:szCs w:val="24"/>
          <w:lang w:val="es-ES_tradnl" w:eastAsia="zh-CN"/>
        </w:rPr>
        <w:t>ón de la banda de frecuencias</w:t>
      </w:r>
      <w:r w:rsidRPr="00346122">
        <w:rPr>
          <w:rFonts w:asciiTheme="minorHAnsi" w:eastAsiaTheme="minorEastAsia" w:hAnsiTheme="minorHAnsi" w:cs="TimesNewRomanPSMT"/>
          <w:szCs w:val="24"/>
          <w:lang w:val="es-ES_tradnl" w:eastAsia="zh-CN"/>
        </w:rPr>
        <w:t xml:space="preserve"> 1 087</w:t>
      </w:r>
      <w:r>
        <w:rPr>
          <w:rFonts w:asciiTheme="minorHAnsi" w:eastAsiaTheme="minorEastAsia" w:hAnsiTheme="minorHAnsi" w:cs="TimesNewRomanPSMT"/>
          <w:szCs w:val="24"/>
          <w:lang w:val="es-ES_tradnl" w:eastAsia="zh-CN"/>
        </w:rPr>
        <w:t>,</w:t>
      </w:r>
      <w:r w:rsidRPr="00346122">
        <w:rPr>
          <w:rFonts w:asciiTheme="minorHAnsi" w:eastAsiaTheme="minorEastAsia" w:hAnsiTheme="minorHAnsi" w:cs="TimesNewRomanPSMT"/>
          <w:szCs w:val="24"/>
          <w:lang w:val="es-ES_tradnl" w:eastAsia="zh-CN"/>
        </w:rPr>
        <w:t>7-1 092</w:t>
      </w:r>
      <w:r>
        <w:rPr>
          <w:rFonts w:asciiTheme="minorHAnsi" w:eastAsiaTheme="minorEastAsia" w:hAnsiTheme="minorHAnsi" w:cs="TimesNewRomanPSMT"/>
          <w:szCs w:val="24"/>
          <w:lang w:val="es-ES_tradnl" w:eastAsia="zh-CN"/>
        </w:rPr>
        <w:t>,</w:t>
      </w:r>
      <w:r w:rsidRPr="00346122">
        <w:rPr>
          <w:rFonts w:asciiTheme="minorHAnsi" w:eastAsiaTheme="minorEastAsia" w:hAnsiTheme="minorHAnsi" w:cs="TimesNewRomanPSMT"/>
          <w:szCs w:val="24"/>
          <w:lang w:val="es-ES_tradnl" w:eastAsia="zh-CN"/>
        </w:rPr>
        <w:t xml:space="preserve">3 MHz </w:t>
      </w:r>
      <w:r>
        <w:rPr>
          <w:rFonts w:asciiTheme="minorHAnsi" w:eastAsiaTheme="minorEastAsia" w:hAnsiTheme="minorHAnsi" w:cs="TimesNewRomanPSMT"/>
          <w:szCs w:val="24"/>
          <w:lang w:val="es-ES_tradnl" w:eastAsia="zh-CN"/>
        </w:rPr>
        <w:t>por sistemas del servicio móvil aeronáutico (R) por satélite (SMA(R</w:t>
      </w:r>
      <w:proofErr w:type="gramStart"/>
      <w:r>
        <w:rPr>
          <w:rFonts w:asciiTheme="minorHAnsi" w:eastAsiaTheme="minorEastAsia" w:hAnsiTheme="minorHAnsi" w:cs="TimesNewRomanPSMT"/>
          <w:szCs w:val="24"/>
          <w:lang w:val="es-ES_tradnl" w:eastAsia="zh-CN"/>
        </w:rPr>
        <w:t>)S</w:t>
      </w:r>
      <w:proofErr w:type="gramEnd"/>
      <w:r>
        <w:rPr>
          <w:rFonts w:asciiTheme="minorHAnsi" w:eastAsiaTheme="minorEastAsia" w:hAnsiTheme="minorHAnsi" w:cs="TimesNewRomanPSMT"/>
          <w:szCs w:val="24"/>
          <w:lang w:val="es-ES_tradnl" w:eastAsia="zh-CN"/>
        </w:rPr>
        <w:t>) deben presentarse utilizando un símbolo de clase de estación creado</w:t>
      </w:r>
      <w:r w:rsidRPr="00346122">
        <w:rPr>
          <w:rFonts w:asciiTheme="minorHAnsi" w:eastAsiaTheme="minorEastAsia" w:hAnsiTheme="minorHAnsi" w:cs="TimesNewRomanPSMT"/>
          <w:szCs w:val="24"/>
          <w:lang w:val="es-ES_tradnl" w:eastAsia="zh-CN"/>
        </w:rPr>
        <w:t>.</w:t>
      </w:r>
      <w:bookmarkStart w:id="0" w:name="_GoBack"/>
      <w:bookmarkEnd w:id="0"/>
    </w:p>
    <w:p w:rsidR="00C60CAC" w:rsidRPr="00DD1253" w:rsidRDefault="00C60CAC" w:rsidP="00386EDA">
      <w:pPr>
        <w:pStyle w:val="Headingb"/>
        <w:keepLines/>
        <w:tabs>
          <w:tab w:val="clear" w:pos="794"/>
        </w:tabs>
        <w:ind w:left="0" w:firstLine="0"/>
        <w:rPr>
          <w:rFonts w:asciiTheme="minorHAnsi" w:eastAsia="SimSun" w:hAnsiTheme="minorHAnsi"/>
          <w:b w:val="0"/>
          <w:bCs/>
          <w:szCs w:val="24"/>
          <w:lang w:val="es-ES_tradnl" w:eastAsia="zh-CN"/>
        </w:rPr>
      </w:pPr>
      <w:r w:rsidRPr="00DD1253">
        <w:rPr>
          <w:rFonts w:asciiTheme="minorHAnsi" w:eastAsia="SimSun" w:hAnsiTheme="minorHAnsi"/>
          <w:bCs/>
          <w:szCs w:val="24"/>
          <w:lang w:val="es-ES_tradnl" w:eastAsia="zh-CN"/>
        </w:rPr>
        <w:lastRenderedPageBreak/>
        <w:t>Presentación de información en virtud de la Resolución 40 (CMR-15)</w:t>
      </w:r>
    </w:p>
    <w:p w:rsidR="00C60CAC" w:rsidRPr="00346122" w:rsidRDefault="00C60CAC" w:rsidP="00386EDA">
      <w:pPr>
        <w:keepNext/>
        <w:keepLines/>
        <w:jc w:val="left"/>
        <w:rPr>
          <w:rFonts w:asciiTheme="minorHAnsi" w:eastAsia="SimSun" w:hAnsiTheme="minorHAnsi"/>
          <w:szCs w:val="24"/>
          <w:lang w:val="es-ES_tradnl" w:eastAsia="zh-CN"/>
        </w:rPr>
      </w:pPr>
      <w:r w:rsidRPr="00346122">
        <w:rPr>
          <w:rFonts w:asciiTheme="minorHAnsi" w:hAnsiTheme="minorHAnsi"/>
          <w:szCs w:val="24"/>
          <w:lang w:val="es-ES_tradnl" w:eastAsia="zh-CN"/>
        </w:rPr>
        <w:t xml:space="preserve">Deseo recordar a las administraciones que, como se indica en la Carta Circular CR/396, de conformidad con el </w:t>
      </w:r>
      <w:r w:rsidRPr="00346122">
        <w:rPr>
          <w:rFonts w:asciiTheme="minorHAnsi" w:hAnsiTheme="minorHAnsi"/>
          <w:i/>
          <w:iCs/>
          <w:szCs w:val="24"/>
          <w:lang w:val="es-ES_tradnl" w:eastAsia="zh-CN"/>
        </w:rPr>
        <w:t xml:space="preserve">resuelve </w:t>
      </w:r>
      <w:r w:rsidRPr="00346122">
        <w:rPr>
          <w:rFonts w:asciiTheme="minorHAnsi" w:hAnsiTheme="minorHAnsi"/>
          <w:szCs w:val="24"/>
          <w:lang w:val="es-ES_tradnl" w:eastAsia="zh-CN"/>
        </w:rPr>
        <w:t xml:space="preserve">1 de la Resolución </w:t>
      </w:r>
      <w:r w:rsidRPr="00346122">
        <w:rPr>
          <w:rFonts w:asciiTheme="minorHAnsi" w:hAnsiTheme="minorHAnsi"/>
          <w:b/>
          <w:szCs w:val="24"/>
          <w:lang w:val="es-ES_tradnl" w:eastAsia="zh-CN"/>
        </w:rPr>
        <w:t>40 (CMR-15)</w:t>
      </w:r>
      <w:r w:rsidRPr="00346122">
        <w:rPr>
          <w:rFonts w:asciiTheme="minorHAnsi" w:hAnsiTheme="minorHAnsi"/>
          <w:szCs w:val="24"/>
          <w:lang w:val="es-ES_tradnl" w:eastAsia="zh-CN"/>
        </w:rPr>
        <w:t>, al informar a la Oficina de la puesta en servicio, o de la reanudación del servicio tras su suspensi</w:t>
      </w:r>
      <w:r>
        <w:rPr>
          <w:rFonts w:asciiTheme="minorHAnsi" w:hAnsiTheme="minorHAnsi"/>
          <w:szCs w:val="24"/>
          <w:lang w:val="es-ES_tradnl" w:eastAsia="zh-CN"/>
        </w:rPr>
        <w:t>ó</w:t>
      </w:r>
      <w:r w:rsidRPr="00346122">
        <w:rPr>
          <w:rFonts w:asciiTheme="minorHAnsi" w:hAnsiTheme="minorHAnsi"/>
          <w:szCs w:val="24"/>
          <w:lang w:val="es-ES_tradnl" w:eastAsia="zh-CN"/>
        </w:rPr>
        <w:t>n, de una asignación de frecuencia a una estación espacial en una red de satélites geoestacionarios, la administración notificante señalará a la Oficina si dicha medida se ha llevado a cabo con una estaci</w:t>
      </w:r>
      <w:r>
        <w:rPr>
          <w:rFonts w:asciiTheme="minorHAnsi" w:hAnsiTheme="minorHAnsi"/>
          <w:szCs w:val="24"/>
          <w:lang w:val="es-ES_tradnl" w:eastAsia="zh-CN"/>
        </w:rPr>
        <w:t>ón espacial utilizada previamente para poner en servicio asignaciones de frecuencia en una posición orbital distinta, o para reanudar su utilización, en un plazo de tres años antes de la fecha de presentación de esta información</w:t>
      </w:r>
      <w:r w:rsidRPr="00346122">
        <w:rPr>
          <w:rFonts w:asciiTheme="minorHAnsi" w:hAnsiTheme="minorHAnsi"/>
          <w:szCs w:val="24"/>
          <w:lang w:val="es-ES_tradnl" w:eastAsia="zh-CN"/>
        </w:rPr>
        <w:t>. La información puede presentarse como se indica en la Carta Circular CR/396.</w:t>
      </w:r>
    </w:p>
    <w:p w:rsidR="00C60CAC" w:rsidRPr="00346122" w:rsidRDefault="00C60CAC" w:rsidP="00F56463">
      <w:pPr>
        <w:keepNext/>
        <w:keepLines/>
        <w:jc w:val="left"/>
        <w:rPr>
          <w:rFonts w:asciiTheme="minorHAnsi" w:eastAsia="SimSun" w:hAnsiTheme="minorHAnsi"/>
          <w:szCs w:val="24"/>
          <w:lang w:val="es-ES_tradnl" w:eastAsia="zh-CN"/>
        </w:rPr>
      </w:pPr>
      <w:r w:rsidRPr="00346122">
        <w:rPr>
          <w:rFonts w:asciiTheme="minorHAnsi" w:eastAsia="SimSun" w:hAnsiTheme="minorHAnsi"/>
          <w:szCs w:val="24"/>
          <w:lang w:val="es-ES_tradnl" w:eastAsia="zh-CN"/>
        </w:rPr>
        <w:t xml:space="preserve">Confío en que la información presentada le sea de utilidad. La Oficina queda a disposición de su </w:t>
      </w:r>
      <w:r w:rsidR="00F56463" w:rsidRPr="00346122">
        <w:rPr>
          <w:rFonts w:asciiTheme="minorHAnsi" w:eastAsia="SimSun" w:hAnsiTheme="minorHAnsi"/>
          <w:szCs w:val="24"/>
          <w:lang w:val="es-ES_tradnl" w:eastAsia="zh-CN"/>
        </w:rPr>
        <w:t xml:space="preserve">Administración </w:t>
      </w:r>
      <w:r w:rsidRPr="00346122">
        <w:rPr>
          <w:rFonts w:asciiTheme="minorHAnsi" w:eastAsia="SimSun" w:hAnsiTheme="minorHAnsi"/>
          <w:szCs w:val="24"/>
          <w:lang w:val="es-ES_tradnl" w:eastAsia="zh-CN"/>
        </w:rPr>
        <w:t>para cualquier informaci</w:t>
      </w:r>
      <w:r>
        <w:rPr>
          <w:rFonts w:asciiTheme="minorHAnsi" w:eastAsia="SimSun" w:hAnsiTheme="minorHAnsi"/>
          <w:szCs w:val="24"/>
          <w:lang w:val="es-ES_tradnl" w:eastAsia="zh-CN"/>
        </w:rPr>
        <w:t>ón adicional que pueda necesitar</w:t>
      </w:r>
      <w:r w:rsidRPr="00346122">
        <w:rPr>
          <w:rFonts w:asciiTheme="minorHAnsi" w:eastAsia="SimSun" w:hAnsiTheme="minorHAnsi"/>
          <w:szCs w:val="24"/>
          <w:lang w:val="es-ES_tradnl" w:eastAsia="zh-CN"/>
        </w:rPr>
        <w:t>.</w:t>
      </w:r>
    </w:p>
    <w:p w:rsidR="00031E64" w:rsidRPr="003F4671" w:rsidRDefault="00E53DCE" w:rsidP="00830C5E">
      <w:pPr>
        <w:spacing w:before="1440" w:line="240" w:lineRule="auto"/>
        <w:jc w:val="left"/>
        <w:rPr>
          <w:szCs w:val="24"/>
          <w:lang w:val="es-ES_tradnl"/>
        </w:rPr>
      </w:pPr>
      <w:r w:rsidRPr="003F4671">
        <w:rPr>
          <w:szCs w:val="24"/>
          <w:lang w:val="es-ES_tradnl"/>
        </w:rPr>
        <w:t>François Rancy</w:t>
      </w:r>
      <w:r w:rsidRPr="003F4671">
        <w:rPr>
          <w:szCs w:val="24"/>
          <w:lang w:val="es-ES_tradnl"/>
        </w:rPr>
        <w:br/>
      </w:r>
      <w:r w:rsidR="00A96D3A" w:rsidRPr="003F4671">
        <w:rPr>
          <w:szCs w:val="24"/>
          <w:lang w:val="es-ES_tradnl"/>
        </w:rPr>
        <w:t xml:space="preserve">Director </w:t>
      </w:r>
    </w:p>
    <w:p w:rsidR="00830C5E" w:rsidRPr="006C5AEA" w:rsidRDefault="00830C5E" w:rsidP="00386EDA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8280" w:after="60"/>
        <w:jc w:val="both"/>
        <w:rPr>
          <w:bCs/>
          <w:sz w:val="18"/>
          <w:szCs w:val="18"/>
          <w:u w:val="single"/>
          <w:lang w:val="es-ES_tradnl"/>
        </w:rPr>
      </w:pPr>
      <w:r w:rsidRPr="006C5AEA">
        <w:rPr>
          <w:bCs/>
          <w:sz w:val="18"/>
          <w:szCs w:val="18"/>
          <w:u w:val="single"/>
          <w:lang w:val="es-ES_tradnl"/>
        </w:rPr>
        <w:t>Distribución:</w:t>
      </w:r>
    </w:p>
    <w:p w:rsidR="00830C5E" w:rsidRPr="003F4671" w:rsidRDefault="00830C5E" w:rsidP="001D6F90">
      <w:pPr>
        <w:pStyle w:val="enumlev1"/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es-ES_tradnl"/>
        </w:rPr>
      </w:pPr>
      <w:r w:rsidRPr="003F4671">
        <w:rPr>
          <w:sz w:val="18"/>
          <w:szCs w:val="18"/>
          <w:lang w:val="es-ES_tradnl"/>
        </w:rPr>
        <w:t>–</w:t>
      </w:r>
      <w:r w:rsidRPr="003F4671">
        <w:rPr>
          <w:sz w:val="18"/>
          <w:szCs w:val="18"/>
          <w:lang w:val="es-ES_tradnl"/>
        </w:rPr>
        <w:tab/>
      </w:r>
      <w:r w:rsidR="001D6F90" w:rsidRPr="003F4671">
        <w:rPr>
          <w:sz w:val="18"/>
          <w:szCs w:val="18"/>
          <w:lang w:val="es-ES_tradnl"/>
        </w:rPr>
        <w:t>Administraciones de los Estados Miembros de la UIT</w:t>
      </w:r>
    </w:p>
    <w:p w:rsidR="00830C5E" w:rsidRPr="003F4671" w:rsidRDefault="00830C5E" w:rsidP="001D6F90">
      <w:pPr>
        <w:pStyle w:val="enumlev1"/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es-ES_tradnl"/>
        </w:rPr>
      </w:pPr>
      <w:r w:rsidRPr="003F4671">
        <w:rPr>
          <w:sz w:val="18"/>
          <w:szCs w:val="18"/>
          <w:lang w:val="es-ES_tradnl"/>
        </w:rPr>
        <w:t>–</w:t>
      </w:r>
      <w:r w:rsidRPr="003F4671">
        <w:rPr>
          <w:sz w:val="18"/>
          <w:szCs w:val="18"/>
          <w:lang w:val="es-ES_tradnl"/>
        </w:rPr>
        <w:tab/>
      </w:r>
      <w:r w:rsidR="001D6F90" w:rsidRPr="003F4671">
        <w:rPr>
          <w:sz w:val="18"/>
          <w:szCs w:val="18"/>
          <w:lang w:val="es-ES_tradnl"/>
        </w:rPr>
        <w:t>Miembros de la Junta del Reglamento de Radiocomunicaciones</w:t>
      </w:r>
    </w:p>
    <w:sectPr w:rsidR="00830C5E" w:rsidRPr="003F4671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C07" w:rsidRDefault="00472C07">
      <w:r>
        <w:separator/>
      </w:r>
    </w:p>
  </w:endnote>
  <w:endnote w:type="continuationSeparator" w:id="0">
    <w:p w:rsidR="00472C07" w:rsidRDefault="0047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912DAB" w:rsidRDefault="00912DAB" w:rsidP="000D3F3B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311970">
      <w:rPr>
        <w:color w:val="3E8EDE"/>
        <w:sz w:val="18"/>
        <w:szCs w:val="18"/>
        <w:lang w:val="es-ES"/>
      </w:rPr>
      <w:t>Unión Internacional</w:t>
    </w:r>
    <w:r w:rsidRPr="00345938">
      <w:rPr>
        <w:sz w:val="18"/>
        <w:szCs w:val="18"/>
        <w:lang w:val="es-ES_tradnl"/>
      </w:rPr>
      <w:t xml:space="preserve"> </w:t>
    </w:r>
    <w:r w:rsidRPr="00311970">
      <w:rPr>
        <w:color w:val="3E8EDE"/>
        <w:sz w:val="18"/>
        <w:szCs w:val="18"/>
        <w:lang w:val="es-ES"/>
      </w:rPr>
      <w:t xml:space="preserve">de Telecomunicaciones • Place des </w:t>
    </w:r>
    <w:proofErr w:type="spellStart"/>
    <w:r w:rsidRPr="00311970">
      <w:rPr>
        <w:color w:val="3E8EDE"/>
        <w:sz w:val="18"/>
        <w:szCs w:val="18"/>
        <w:lang w:val="es-ES"/>
      </w:rPr>
      <w:t>Nations</w:t>
    </w:r>
    <w:proofErr w:type="spellEnd"/>
    <w:r w:rsidRPr="00311970">
      <w:rPr>
        <w:color w:val="3E8EDE"/>
        <w:sz w:val="18"/>
        <w:szCs w:val="18"/>
        <w:lang w:val="es-ES"/>
      </w:rPr>
      <w:t xml:space="preserve"> • CH</w:t>
    </w:r>
    <w:r w:rsidRPr="00311970">
      <w:rPr>
        <w:color w:val="3E8EDE"/>
        <w:sz w:val="18"/>
        <w:szCs w:val="18"/>
        <w:lang w:val="es-ES"/>
      </w:rPr>
      <w:noBreakHyphen/>
      <w:t>1211 Ginebra 20 • Suiza</w:t>
    </w:r>
    <w:r w:rsidRPr="00311970">
      <w:rPr>
        <w:color w:val="3E8EDE"/>
        <w:sz w:val="18"/>
        <w:szCs w:val="18"/>
        <w:lang w:val="es-ES"/>
      </w:rPr>
      <w:br/>
      <w:t xml:space="preserve">Tel: +41 22 730 5111 • Fax: +41 22 733 7256 • </w:t>
    </w:r>
    <w:r w:rsidR="000D3F3B" w:rsidRPr="00311970">
      <w:rPr>
        <w:color w:val="3E8EDE"/>
        <w:sz w:val="18"/>
        <w:szCs w:val="18"/>
        <w:lang w:val="es-ES"/>
      </w:rPr>
      <w:br/>
    </w:r>
    <w:r w:rsidRPr="00311970">
      <w:rPr>
        <w:color w:val="3E8EDE"/>
        <w:sz w:val="18"/>
        <w:szCs w:val="18"/>
        <w:lang w:val="es-ES"/>
      </w:rPr>
      <w:t>Correo-e:</w:t>
    </w:r>
    <w:r w:rsidRPr="00345938">
      <w:rPr>
        <w:sz w:val="18"/>
        <w:szCs w:val="18"/>
        <w:lang w:val="es-ES_tradnl"/>
      </w:rPr>
      <w:t xml:space="preserve"> </w:t>
    </w:r>
    <w:hyperlink r:id="rId1" w:history="1">
      <w:r w:rsidR="000D3F3B" w:rsidRPr="00311970">
        <w:rPr>
          <w:rStyle w:val="Hyperlink"/>
          <w:color w:val="3E8EDE"/>
          <w:sz w:val="18"/>
          <w:szCs w:val="18"/>
          <w:lang w:val="es-ES"/>
        </w:rPr>
        <w:t>itumail@itu.int</w:t>
      </w:r>
    </w:hyperlink>
    <w:r w:rsidR="000D3F3B" w:rsidRPr="00311970">
      <w:rPr>
        <w:color w:val="3E8EDE"/>
        <w:sz w:val="18"/>
        <w:szCs w:val="18"/>
        <w:lang w:val="es-ES"/>
      </w:rPr>
      <w:t xml:space="preserve"> • </w:t>
    </w:r>
    <w:hyperlink r:id="rId2" w:history="1">
      <w:r w:rsidR="000D3F3B" w:rsidRPr="00311970">
        <w:rPr>
          <w:rStyle w:val="Hyperlink"/>
          <w:color w:val="3E8EDE"/>
          <w:sz w:val="18"/>
          <w:szCs w:val="18"/>
          <w:lang w:val="es-ES"/>
        </w:rPr>
        <w:t>www.itu.int</w:t>
      </w:r>
    </w:hyperlink>
    <w:r w:rsidR="000D3F3B" w:rsidRPr="00311970">
      <w:rPr>
        <w:color w:val="3E8EDE"/>
        <w:sz w:val="18"/>
        <w:szCs w:val="18"/>
        <w:lang w:val="es-ES"/>
      </w:rPr>
      <w:t xml:space="preserve"> • </w:t>
    </w:r>
    <w:hyperlink r:id="rId3" w:history="1">
      <w:r w:rsidR="000D3F3B" w:rsidRPr="00311970">
        <w:rPr>
          <w:rStyle w:val="Hyperlink"/>
          <w:color w:val="3E8EDE"/>
          <w:sz w:val="18"/>
          <w:szCs w:val="18"/>
          <w:lang w:val="es-ES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C07" w:rsidRDefault="00472C07">
      <w:r>
        <w:t>____________________</w:t>
      </w:r>
    </w:p>
  </w:footnote>
  <w:footnote w:type="continuationSeparator" w:id="0">
    <w:p w:rsidR="00472C07" w:rsidRDefault="00472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DD1253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253" w:rsidRPr="00D239B4" w:rsidRDefault="00E915AF" w:rsidP="00DD1253">
    <w:pPr>
      <w:pStyle w:val="Header"/>
      <w:rPr>
        <w:sz w:val="18"/>
        <w:szCs w:val="16"/>
      </w:rPr>
    </w:pPr>
    <w:r w:rsidRPr="003F4671">
      <w:rPr>
        <w:iCs/>
        <w:sz w:val="16"/>
        <w:szCs w:val="16"/>
      </w:rPr>
      <w:tab/>
    </w:r>
    <w:r w:rsidRPr="003F4671">
      <w:rPr>
        <w:iCs/>
        <w:sz w:val="16"/>
        <w:szCs w:val="16"/>
      </w:rPr>
      <w:tab/>
    </w:r>
    <w:r w:rsidR="00DD1253">
      <w:rPr>
        <w:sz w:val="18"/>
        <w:szCs w:val="16"/>
      </w:rPr>
      <w:t xml:space="preserve">- </w:t>
    </w:r>
    <w:r w:rsidR="00DD1253" w:rsidRPr="00D239B4">
      <w:rPr>
        <w:rStyle w:val="PageNumber"/>
        <w:sz w:val="18"/>
        <w:szCs w:val="16"/>
      </w:rPr>
      <w:fldChar w:fldCharType="begin"/>
    </w:r>
    <w:r w:rsidR="00DD1253" w:rsidRPr="00D239B4">
      <w:rPr>
        <w:rStyle w:val="PageNumber"/>
        <w:sz w:val="18"/>
        <w:szCs w:val="16"/>
      </w:rPr>
      <w:instrText xml:space="preserve"> PAGE </w:instrText>
    </w:r>
    <w:r w:rsidR="00DD1253" w:rsidRPr="00D239B4">
      <w:rPr>
        <w:rStyle w:val="PageNumber"/>
        <w:sz w:val="18"/>
        <w:szCs w:val="16"/>
      </w:rPr>
      <w:fldChar w:fldCharType="separate"/>
    </w:r>
    <w:r w:rsidR="00DD1253">
      <w:rPr>
        <w:rStyle w:val="PageNumber"/>
        <w:noProof/>
        <w:sz w:val="18"/>
        <w:szCs w:val="16"/>
      </w:rPr>
      <w:t>3</w:t>
    </w:r>
    <w:r w:rsidR="00DD1253" w:rsidRPr="00D239B4">
      <w:rPr>
        <w:rStyle w:val="PageNumber"/>
        <w:sz w:val="18"/>
        <w:szCs w:val="16"/>
      </w:rPr>
      <w:fldChar w:fldCharType="end"/>
    </w:r>
    <w:r w:rsidR="00DD1253">
      <w:rPr>
        <w:rStyle w:val="PageNumber"/>
        <w:sz w:val="18"/>
        <w:szCs w:val="16"/>
      </w:rPr>
      <w:t xml:space="preserve"> -</w:t>
    </w:r>
  </w:p>
  <w:p w:rsidR="00E915AF" w:rsidRPr="003F4671" w:rsidRDefault="00E915AF">
    <w:pPr>
      <w:pStyle w:val="Header"/>
      <w:rPr>
        <w:iCs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D3F3B" w:rsidTr="000D3F3B">
      <w:tc>
        <w:tcPr>
          <w:tcW w:w="5031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fr-CH"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fr-CH"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4FB02F4"/>
    <w:multiLevelType w:val="hybridMultilevel"/>
    <w:tmpl w:val="0C96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72C07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3652B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6F90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5C49"/>
    <w:rsid w:val="00266E74"/>
    <w:rsid w:val="00283C3B"/>
    <w:rsid w:val="002861E6"/>
    <w:rsid w:val="00287D18"/>
    <w:rsid w:val="002A2618"/>
    <w:rsid w:val="002A5DD7"/>
    <w:rsid w:val="002B0CAC"/>
    <w:rsid w:val="002B4533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86EDA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460D"/>
    <w:rsid w:val="003E504F"/>
    <w:rsid w:val="003E78D6"/>
    <w:rsid w:val="003F4671"/>
    <w:rsid w:val="00400573"/>
    <w:rsid w:val="004007A3"/>
    <w:rsid w:val="00406D71"/>
    <w:rsid w:val="004326DB"/>
    <w:rsid w:val="0043682E"/>
    <w:rsid w:val="00447ECB"/>
    <w:rsid w:val="004623F7"/>
    <w:rsid w:val="00472C0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6770"/>
    <w:rsid w:val="004D733B"/>
    <w:rsid w:val="004E0DC4"/>
    <w:rsid w:val="004E0FB5"/>
    <w:rsid w:val="004E43BB"/>
    <w:rsid w:val="004E460D"/>
    <w:rsid w:val="004F178E"/>
    <w:rsid w:val="004F4543"/>
    <w:rsid w:val="004F57BB"/>
    <w:rsid w:val="00502A34"/>
    <w:rsid w:val="00505309"/>
    <w:rsid w:val="0050789B"/>
    <w:rsid w:val="005224A1"/>
    <w:rsid w:val="00534372"/>
    <w:rsid w:val="00543DF8"/>
    <w:rsid w:val="00546101"/>
    <w:rsid w:val="00553DD7"/>
    <w:rsid w:val="005628C2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16267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5AEA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77FD8"/>
    <w:rsid w:val="00782354"/>
    <w:rsid w:val="00791EEA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30C5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5712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14AB"/>
    <w:rsid w:val="00B34CF9"/>
    <w:rsid w:val="00B37559"/>
    <w:rsid w:val="00B4054B"/>
    <w:rsid w:val="00B579B0"/>
    <w:rsid w:val="00B57D11"/>
    <w:rsid w:val="00B649D7"/>
    <w:rsid w:val="00B77B9A"/>
    <w:rsid w:val="00B81C2F"/>
    <w:rsid w:val="00B90743"/>
    <w:rsid w:val="00B90C45"/>
    <w:rsid w:val="00B933BE"/>
    <w:rsid w:val="00BD28EB"/>
    <w:rsid w:val="00BD516B"/>
    <w:rsid w:val="00BD6738"/>
    <w:rsid w:val="00BD7E5E"/>
    <w:rsid w:val="00BE63DB"/>
    <w:rsid w:val="00BE6574"/>
    <w:rsid w:val="00BF6BC1"/>
    <w:rsid w:val="00C07319"/>
    <w:rsid w:val="00C16FD2"/>
    <w:rsid w:val="00C4395E"/>
    <w:rsid w:val="00C47FFD"/>
    <w:rsid w:val="00C51E92"/>
    <w:rsid w:val="00C57E2C"/>
    <w:rsid w:val="00C608B7"/>
    <w:rsid w:val="00C60CAC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0626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D1253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72BD"/>
    <w:rsid w:val="00EB1462"/>
    <w:rsid w:val="00EB2358"/>
    <w:rsid w:val="00EB3EB8"/>
    <w:rsid w:val="00EC00EF"/>
    <w:rsid w:val="00EC02FE"/>
    <w:rsid w:val="00EC4A96"/>
    <w:rsid w:val="00ED2B86"/>
    <w:rsid w:val="00EE03A0"/>
    <w:rsid w:val="00F424BF"/>
    <w:rsid w:val="00F44FC3"/>
    <w:rsid w:val="00F46107"/>
    <w:rsid w:val="00F468C5"/>
    <w:rsid w:val="00F52F39"/>
    <w:rsid w:val="00F56463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4B636EAE-B18A-47B6-ADD6-B1B4737B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1D6F90"/>
    <w:rPr>
      <w:szCs w:val="22"/>
      <w:lang w:val="en-US" w:eastAsia="en-US"/>
    </w:rPr>
  </w:style>
  <w:style w:type="paragraph" w:customStyle="1" w:styleId="Message">
    <w:name w:val="Message"/>
    <w:rsid w:val="00C60CAC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 w:cs="Times New Roman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60CAC"/>
    <w:pPr>
      <w:tabs>
        <w:tab w:val="clear" w:pos="794"/>
        <w:tab w:val="clear" w:pos="1191"/>
        <w:tab w:val="clear" w:pos="1588"/>
        <w:tab w:val="clear" w:pos="1985"/>
      </w:tabs>
      <w:adjustRightInd/>
      <w:spacing w:before="120" w:line="240" w:lineRule="auto"/>
      <w:ind w:left="720"/>
      <w:contextualSpacing/>
      <w:jc w:val="left"/>
      <w:textAlignment w:val="auto"/>
    </w:pPr>
    <w:rPr>
      <w:rFonts w:ascii="Times New Roman" w:eastAsiaTheme="minorHAnsi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6297-DFED-4538-93CD-66A9F9E7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204</TotalTime>
  <Pages>3</Pages>
  <Words>1059</Words>
  <Characters>5714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6760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Marchetti, Caroline</cp:lastModifiedBy>
  <cp:revision>16</cp:revision>
  <cp:lastPrinted>2016-07-04T06:16:00Z</cp:lastPrinted>
  <dcterms:created xsi:type="dcterms:W3CDTF">2016-06-28T09:09:00Z</dcterms:created>
  <dcterms:modified xsi:type="dcterms:W3CDTF">2016-07-04T06:16:00Z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