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92C9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292C9A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92C9A" w:rsidTr="00F11740">
        <w:tc>
          <w:tcPr>
            <w:tcW w:w="7054" w:type="dxa"/>
            <w:gridSpan w:val="2"/>
            <w:shd w:val="clear" w:color="auto" w:fill="auto"/>
          </w:tcPr>
          <w:p w:rsidR="00E53DCE" w:rsidRPr="00292C9A" w:rsidRDefault="00B65478" w:rsidP="00CC152D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292C9A">
              <w:rPr>
                <w:lang w:val="ru-RU"/>
              </w:rPr>
              <w:t>Циркулярное письмо</w:t>
            </w:r>
            <w:r w:rsidR="00D92B90" w:rsidRPr="00292C9A">
              <w:rPr>
                <w:lang w:val="ru-RU"/>
              </w:rPr>
              <w:br/>
            </w:r>
            <w:r w:rsidR="00E9175C" w:rsidRPr="00292C9A">
              <w:rPr>
                <w:b/>
                <w:bCs/>
                <w:lang w:val="ru-RU"/>
              </w:rPr>
              <w:t>C</w:t>
            </w:r>
            <w:r w:rsidRPr="00292C9A">
              <w:rPr>
                <w:b/>
                <w:bCs/>
                <w:lang w:val="ru-RU"/>
              </w:rPr>
              <w:t>R</w:t>
            </w:r>
            <w:r w:rsidR="00E53DCE" w:rsidRPr="00292C9A">
              <w:rPr>
                <w:b/>
                <w:bCs/>
                <w:lang w:val="ru-RU"/>
              </w:rPr>
              <w:t>/</w:t>
            </w:r>
            <w:r w:rsidR="007F72ED" w:rsidRPr="00292C9A">
              <w:rPr>
                <w:b/>
                <w:bCs/>
                <w:lang w:val="ru-RU"/>
              </w:rPr>
              <w:t>401</w:t>
            </w:r>
          </w:p>
        </w:tc>
        <w:tc>
          <w:tcPr>
            <w:tcW w:w="2835" w:type="dxa"/>
            <w:shd w:val="clear" w:color="auto" w:fill="auto"/>
          </w:tcPr>
          <w:p w:rsidR="00E53DCE" w:rsidRPr="00292C9A" w:rsidRDefault="002D1D10" w:rsidP="0059117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84C2F">
                  <w:rPr>
                    <w:rFonts w:cs="Arial"/>
                  </w:rPr>
                  <w:t>1</w:t>
                </w:r>
                <w:r>
                  <w:rPr>
                    <w:rFonts w:cs="Arial"/>
                  </w:rPr>
                  <w:t>9</w:t>
                </w:r>
                <w:r w:rsidR="007F72ED" w:rsidRPr="00292C9A">
                  <w:rPr>
                    <w:rFonts w:cs="Arial"/>
                    <w:lang w:val="ru-RU"/>
                  </w:rPr>
                  <w:t xml:space="preserve"> мая</w:t>
                </w:r>
                <w:r w:rsidR="00587AA9" w:rsidRPr="00292C9A">
                  <w:rPr>
                    <w:rFonts w:cs="Arial"/>
                    <w:lang w:val="ru-RU"/>
                  </w:rPr>
                  <w:t xml:space="preserve"> 2016 г</w:t>
                </w:r>
                <w:r w:rsidR="007F72ED" w:rsidRPr="00292C9A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292C9A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292C9A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292C9A" w:rsidTr="00F11740">
        <w:tc>
          <w:tcPr>
            <w:tcW w:w="9889" w:type="dxa"/>
            <w:gridSpan w:val="3"/>
            <w:shd w:val="clear" w:color="auto" w:fill="auto"/>
          </w:tcPr>
          <w:p w:rsidR="00E53DCE" w:rsidRPr="00292C9A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3C48C0" w:rsidRPr="002D1D10" w:rsidTr="003C48C0">
        <w:tc>
          <w:tcPr>
            <w:tcW w:w="1526" w:type="dxa"/>
            <w:shd w:val="clear" w:color="auto" w:fill="auto"/>
          </w:tcPr>
          <w:p w:rsidR="003C48C0" w:rsidRPr="00292C9A" w:rsidRDefault="003C48C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292C9A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3C48C0" w:rsidRPr="00292C9A" w:rsidRDefault="00777060" w:rsidP="00DF3304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  <w:r w:rsidRPr="00292C9A">
              <w:rPr>
                <w:b/>
                <w:bCs/>
                <w:lang w:val="ru-RU"/>
              </w:rPr>
              <w:t>Переходные меры по аннулированию заявок администраций на предварительную публикацию частотных присвоений спутниковым сетям и системам, к которым применяются положения Раздела II Статьи 9</w:t>
            </w:r>
          </w:p>
          <w:p w:rsidR="00777060" w:rsidRPr="00292C9A" w:rsidRDefault="00777060" w:rsidP="00DF3304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</w:p>
        </w:tc>
      </w:tr>
      <w:tr w:rsidR="00777060" w:rsidRPr="002D1D10" w:rsidTr="003C48C0">
        <w:tc>
          <w:tcPr>
            <w:tcW w:w="1526" w:type="dxa"/>
            <w:shd w:val="clear" w:color="auto" w:fill="auto"/>
          </w:tcPr>
          <w:p w:rsidR="00777060" w:rsidRPr="00292C9A" w:rsidRDefault="00777060" w:rsidP="003C48C0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292C9A">
              <w:rPr>
                <w:lang w:val="ru-RU"/>
              </w:rPr>
              <w:t>Осн.: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777060" w:rsidRPr="00292C9A" w:rsidRDefault="00777060" w:rsidP="00777060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lang w:val="ru-RU"/>
              </w:rPr>
            </w:pPr>
            <w:r w:rsidRPr="00292C9A">
              <w:rPr>
                <w:b/>
                <w:bCs/>
                <w:lang w:val="ru-RU"/>
              </w:rPr>
              <w:t>Циркулярное письмо CR/376 БР от 22 декабря 2014 года</w:t>
            </w:r>
          </w:p>
        </w:tc>
      </w:tr>
    </w:tbl>
    <w:p w:rsidR="00777060" w:rsidRPr="00292C9A" w:rsidRDefault="00CB469D" w:rsidP="006749AE">
      <w:pPr>
        <w:pStyle w:val="Normalaftertitle0"/>
        <w:spacing w:before="480"/>
        <w:jc w:val="both"/>
        <w:rPr>
          <w:lang w:val="ru-RU"/>
        </w:rPr>
      </w:pPr>
      <w:bookmarkStart w:id="0" w:name="_Toc444507497"/>
      <w:r w:rsidRPr="00292C9A">
        <w:rPr>
          <w:lang w:val="ru-RU"/>
        </w:rPr>
        <w:t xml:space="preserve">Всемирная конференция радиосвязи, Женева, </w:t>
      </w:r>
      <w:r w:rsidR="00777060" w:rsidRPr="00292C9A">
        <w:rPr>
          <w:lang w:val="ru-RU"/>
        </w:rPr>
        <w:t>2015</w:t>
      </w:r>
      <w:r w:rsidRPr="00292C9A">
        <w:rPr>
          <w:lang w:val="ru-RU"/>
        </w:rPr>
        <w:t> года</w:t>
      </w:r>
      <w:r w:rsidR="00777060" w:rsidRPr="00292C9A">
        <w:rPr>
          <w:lang w:val="ru-RU"/>
        </w:rPr>
        <w:t xml:space="preserve"> (ВКР-15) </w:t>
      </w:r>
      <w:r w:rsidRPr="00292C9A">
        <w:rPr>
          <w:lang w:val="ru-RU"/>
        </w:rPr>
        <w:t>приняла</w:t>
      </w:r>
      <w:r w:rsidR="00777060" w:rsidRPr="00292C9A">
        <w:rPr>
          <w:lang w:val="ru-RU"/>
        </w:rPr>
        <w:t xml:space="preserve"> Резолюцию 31</w:t>
      </w:r>
      <w:r w:rsidR="00292C9A" w:rsidRPr="00292C9A">
        <w:rPr>
          <w:lang w:val="ru-RU"/>
        </w:rPr>
        <w:t xml:space="preserve"> </w:t>
      </w:r>
      <w:r w:rsidR="00777060" w:rsidRPr="00292C9A">
        <w:rPr>
          <w:lang w:val="ru-RU"/>
        </w:rPr>
        <w:t>(ВКР-15),</w:t>
      </w:r>
      <w:r w:rsidRPr="00292C9A">
        <w:rPr>
          <w:lang w:val="ru-RU"/>
        </w:rPr>
        <w:t xml:space="preserve"> которая вступила в силу </w:t>
      </w:r>
      <w:r w:rsidR="00777060" w:rsidRPr="00292C9A">
        <w:rPr>
          <w:lang w:val="ru-RU"/>
        </w:rPr>
        <w:t xml:space="preserve">28 ноября 2015 года </w:t>
      </w:r>
      <w:r w:rsidR="006749AE" w:rsidRPr="00292C9A">
        <w:rPr>
          <w:lang w:val="ru-RU"/>
        </w:rPr>
        <w:t xml:space="preserve">и посвящена переходным мерам </w:t>
      </w:r>
      <w:bookmarkStart w:id="1" w:name="_Toc444507498"/>
      <w:r w:rsidR="006749AE" w:rsidRPr="00292C9A">
        <w:rPr>
          <w:lang w:val="ru-RU"/>
        </w:rPr>
        <w:t>по аннулированию заявок администраций на предварительную публикацию частотных присвоений спутниковым сетям и системам, к которым применяются положения Раздела II Статьи </w:t>
      </w:r>
      <w:r w:rsidR="00777060" w:rsidRPr="00292C9A">
        <w:rPr>
          <w:b/>
          <w:bCs/>
          <w:lang w:val="ru-RU"/>
        </w:rPr>
        <w:t>9</w:t>
      </w:r>
      <w:bookmarkEnd w:id="1"/>
      <w:r w:rsidR="00777060" w:rsidRPr="00292C9A">
        <w:rPr>
          <w:lang w:val="ru-RU"/>
        </w:rPr>
        <w:t>.</w:t>
      </w:r>
    </w:p>
    <w:p w:rsidR="00777060" w:rsidRPr="00292C9A" w:rsidRDefault="006749AE" w:rsidP="00E673EA">
      <w:pPr>
        <w:jc w:val="both"/>
        <w:rPr>
          <w:lang w:val="ru-RU"/>
        </w:rPr>
      </w:pPr>
      <w:r w:rsidRPr="00292C9A">
        <w:rPr>
          <w:lang w:val="ru-RU"/>
        </w:rPr>
        <w:t xml:space="preserve">В соответствии с пунктом 1 раздела </w:t>
      </w:r>
      <w:r w:rsidRPr="00292C9A">
        <w:rPr>
          <w:i/>
          <w:iCs/>
          <w:lang w:val="ru-RU"/>
        </w:rPr>
        <w:t xml:space="preserve">решает </w:t>
      </w:r>
      <w:r w:rsidR="00777060" w:rsidRPr="00292C9A">
        <w:rPr>
          <w:lang w:val="ru-RU"/>
        </w:rPr>
        <w:t>Резолюции</w:t>
      </w:r>
      <w:r w:rsidRPr="00292C9A">
        <w:rPr>
          <w:lang w:val="ru-RU"/>
        </w:rPr>
        <w:t> </w:t>
      </w:r>
      <w:r w:rsidR="00777060" w:rsidRPr="00292C9A">
        <w:rPr>
          <w:lang w:val="ru-RU"/>
        </w:rPr>
        <w:t>31 (ВКР-15) с 1</w:t>
      </w:r>
      <w:r w:rsidRPr="00292C9A">
        <w:rPr>
          <w:lang w:val="ru-RU"/>
        </w:rPr>
        <w:t> </w:t>
      </w:r>
      <w:r w:rsidR="00777060" w:rsidRPr="00292C9A">
        <w:rPr>
          <w:lang w:val="ru-RU"/>
        </w:rPr>
        <w:t>июля 2016</w:t>
      </w:r>
      <w:r w:rsidRPr="00292C9A">
        <w:rPr>
          <w:lang w:val="ru-RU"/>
        </w:rPr>
        <w:t> </w:t>
      </w:r>
      <w:r w:rsidR="00777060" w:rsidRPr="00292C9A">
        <w:rPr>
          <w:lang w:val="ru-RU"/>
        </w:rPr>
        <w:t>года должно прекратиться применение п.</w:t>
      </w:r>
      <w:r w:rsidRPr="00292C9A">
        <w:rPr>
          <w:lang w:val="ru-RU"/>
        </w:rPr>
        <w:t> </w:t>
      </w:r>
      <w:r w:rsidR="00777060" w:rsidRPr="00292C9A">
        <w:rPr>
          <w:rStyle w:val="Artref"/>
          <w:b/>
          <w:lang w:val="ru-RU"/>
        </w:rPr>
        <w:t>9.1</w:t>
      </w:r>
      <w:r w:rsidR="00777060" w:rsidRPr="00292C9A">
        <w:rPr>
          <w:lang w:val="ru-RU"/>
        </w:rPr>
        <w:t xml:space="preserve"> в отношении спутниковых сетей или систем, подлежащих процедуре координации согласно Разделу</w:t>
      </w:r>
      <w:r w:rsidRPr="00292C9A">
        <w:rPr>
          <w:lang w:val="ru-RU"/>
        </w:rPr>
        <w:t> </w:t>
      </w:r>
      <w:r w:rsidR="00777060" w:rsidRPr="00292C9A">
        <w:rPr>
          <w:lang w:val="ru-RU"/>
        </w:rPr>
        <w:t>II Статьи</w:t>
      </w:r>
      <w:r w:rsidRPr="00292C9A">
        <w:rPr>
          <w:lang w:val="ru-RU"/>
        </w:rPr>
        <w:t> </w:t>
      </w:r>
      <w:r w:rsidR="00777060" w:rsidRPr="00292C9A">
        <w:rPr>
          <w:rStyle w:val="Artref"/>
          <w:b/>
          <w:lang w:val="ru-RU"/>
        </w:rPr>
        <w:t>9</w:t>
      </w:r>
      <w:r w:rsidR="00777060" w:rsidRPr="00292C9A">
        <w:rPr>
          <w:lang w:val="ru-RU"/>
        </w:rPr>
        <w:t xml:space="preserve">. </w:t>
      </w:r>
      <w:r w:rsidR="00BC3C81" w:rsidRPr="00292C9A">
        <w:rPr>
          <w:lang w:val="ru-RU"/>
        </w:rPr>
        <w:t>В соответствии с этим и с той же даты система</w:t>
      </w:r>
      <w:r w:rsidR="00777060" w:rsidRPr="00292C9A">
        <w:rPr>
          <w:lang w:val="ru-RU"/>
        </w:rPr>
        <w:t xml:space="preserve"> SpaceWISC</w:t>
      </w:r>
      <w:r w:rsidR="00BC3C81" w:rsidRPr="00292C9A">
        <w:rPr>
          <w:lang w:val="ru-RU"/>
        </w:rPr>
        <w:t xml:space="preserve"> прекратит прием любых новых заявок</w:t>
      </w:r>
      <w:r w:rsidR="009D7C3B" w:rsidRPr="00292C9A">
        <w:rPr>
          <w:lang w:val="ru-RU"/>
        </w:rPr>
        <w:t>, содержащих информацию</w:t>
      </w:r>
      <w:r w:rsidR="00BC3C81" w:rsidRPr="00292C9A">
        <w:rPr>
          <w:lang w:val="ru-RU"/>
        </w:rPr>
        <w:t xml:space="preserve"> </w:t>
      </w:r>
      <w:r w:rsidR="009D7C3B" w:rsidRPr="00292C9A">
        <w:rPr>
          <w:lang w:val="ru-RU"/>
        </w:rPr>
        <w:t>для</w:t>
      </w:r>
      <w:r w:rsidR="00BC3C81" w:rsidRPr="00292C9A">
        <w:rPr>
          <w:lang w:val="ru-RU"/>
        </w:rPr>
        <w:t xml:space="preserve"> предварительн</w:t>
      </w:r>
      <w:r w:rsidR="009D7C3B" w:rsidRPr="00292C9A">
        <w:rPr>
          <w:lang w:val="ru-RU"/>
        </w:rPr>
        <w:t>ой</w:t>
      </w:r>
      <w:r w:rsidR="00BC3C81" w:rsidRPr="00292C9A">
        <w:rPr>
          <w:lang w:val="ru-RU"/>
        </w:rPr>
        <w:t xml:space="preserve"> публикаци</w:t>
      </w:r>
      <w:r w:rsidR="009D7C3B" w:rsidRPr="00292C9A">
        <w:rPr>
          <w:lang w:val="ru-RU"/>
        </w:rPr>
        <w:t>и</w:t>
      </w:r>
      <w:r w:rsidR="00777060" w:rsidRPr="00292C9A">
        <w:rPr>
          <w:lang w:val="ru-RU"/>
        </w:rPr>
        <w:t xml:space="preserve"> (API) </w:t>
      </w:r>
      <w:r w:rsidR="00BC3C81" w:rsidRPr="00292C9A">
        <w:rPr>
          <w:lang w:val="ru-RU"/>
        </w:rPr>
        <w:t>или связанны</w:t>
      </w:r>
      <w:r w:rsidR="00E673EA" w:rsidRPr="00292C9A">
        <w:rPr>
          <w:lang w:val="ru-RU"/>
        </w:rPr>
        <w:t>е</w:t>
      </w:r>
      <w:r w:rsidR="00BC3C81" w:rsidRPr="00292C9A">
        <w:rPr>
          <w:lang w:val="ru-RU"/>
        </w:rPr>
        <w:t xml:space="preserve"> с этим поправ</w:t>
      </w:r>
      <w:r w:rsidR="00E673EA" w:rsidRPr="00292C9A">
        <w:rPr>
          <w:lang w:val="ru-RU"/>
        </w:rPr>
        <w:t>ки</w:t>
      </w:r>
      <w:r w:rsidR="00777060" w:rsidRPr="00292C9A">
        <w:rPr>
          <w:lang w:val="ru-RU"/>
        </w:rPr>
        <w:t xml:space="preserve">. </w:t>
      </w:r>
      <w:r w:rsidR="00BC3C81" w:rsidRPr="00292C9A">
        <w:rPr>
          <w:lang w:val="ru-RU"/>
        </w:rPr>
        <w:t xml:space="preserve">Аналогично, сообщения электронной почты от администраций, стремящихся представить </w:t>
      </w:r>
      <w:r w:rsidR="00777060" w:rsidRPr="00292C9A">
        <w:rPr>
          <w:lang w:val="ru-RU"/>
        </w:rPr>
        <w:t>API</w:t>
      </w:r>
      <w:r w:rsidR="00BC3C81" w:rsidRPr="00292C9A">
        <w:rPr>
          <w:lang w:val="ru-RU"/>
        </w:rPr>
        <w:t>, к которой применяется процедура координации, более принима</w:t>
      </w:r>
      <w:r w:rsidR="009D7C3B" w:rsidRPr="00292C9A">
        <w:rPr>
          <w:lang w:val="ru-RU"/>
        </w:rPr>
        <w:t>ть</w:t>
      </w:r>
      <w:r w:rsidR="00BC3C81" w:rsidRPr="00292C9A">
        <w:rPr>
          <w:lang w:val="ru-RU"/>
        </w:rPr>
        <w:t>ся</w:t>
      </w:r>
      <w:r w:rsidR="009D7C3B" w:rsidRPr="00292C9A">
        <w:rPr>
          <w:lang w:val="ru-RU"/>
        </w:rPr>
        <w:t xml:space="preserve"> не будут</w:t>
      </w:r>
      <w:r w:rsidR="00777060" w:rsidRPr="00292C9A">
        <w:rPr>
          <w:lang w:val="ru-RU"/>
        </w:rPr>
        <w:t>.</w:t>
      </w:r>
    </w:p>
    <w:p w:rsidR="00777060" w:rsidRPr="00292C9A" w:rsidRDefault="00777060" w:rsidP="00E673EA">
      <w:pPr>
        <w:jc w:val="both"/>
        <w:rPr>
          <w:lang w:val="ru-RU"/>
        </w:rPr>
      </w:pPr>
      <w:r w:rsidRPr="00292C9A">
        <w:rPr>
          <w:lang w:val="ru-RU"/>
        </w:rPr>
        <w:t>API</w:t>
      </w:r>
      <w:r w:rsidR="00266EF6" w:rsidRPr="00292C9A">
        <w:rPr>
          <w:lang w:val="ru-RU"/>
        </w:rPr>
        <w:t xml:space="preserve">, принятая </w:t>
      </w:r>
      <w:r w:rsidR="009D7C3B" w:rsidRPr="00292C9A">
        <w:rPr>
          <w:lang w:val="ru-RU"/>
        </w:rPr>
        <w:t xml:space="preserve">до </w:t>
      </w:r>
      <w:r w:rsidRPr="00292C9A">
        <w:rPr>
          <w:lang w:val="ru-RU"/>
        </w:rPr>
        <w:t>30</w:t>
      </w:r>
      <w:r w:rsidR="009D7C3B" w:rsidRPr="00292C9A">
        <w:rPr>
          <w:lang w:val="ru-RU"/>
        </w:rPr>
        <w:t xml:space="preserve"> июня </w:t>
      </w:r>
      <w:r w:rsidRPr="00292C9A">
        <w:rPr>
          <w:lang w:val="ru-RU"/>
        </w:rPr>
        <w:t>2016</w:t>
      </w:r>
      <w:r w:rsidR="009D7C3B" w:rsidRPr="00292C9A">
        <w:rPr>
          <w:lang w:val="ru-RU"/>
        </w:rPr>
        <w:t xml:space="preserve"> года включительно, будет далее обрабатываться и публиковаться через систему </w:t>
      </w:r>
      <w:r w:rsidRPr="00292C9A">
        <w:rPr>
          <w:lang w:val="ru-RU"/>
        </w:rPr>
        <w:t>SpaceWISC</w:t>
      </w:r>
      <w:r w:rsidR="00E673EA" w:rsidRPr="00292C9A">
        <w:rPr>
          <w:lang w:val="ru-RU"/>
        </w:rPr>
        <w:t>, которая останется в рабочем состоянии для ознакомления с публикациями</w:t>
      </w:r>
      <w:r w:rsidRPr="00292C9A">
        <w:rPr>
          <w:lang w:val="ru-RU"/>
        </w:rPr>
        <w:t xml:space="preserve"> API</w:t>
      </w:r>
      <w:r w:rsidR="00E673EA" w:rsidRPr="00292C9A">
        <w:rPr>
          <w:lang w:val="ru-RU"/>
        </w:rPr>
        <w:t xml:space="preserve"> и представления замечаний в соответствии с </w:t>
      </w:r>
      <w:r w:rsidRPr="00292C9A">
        <w:rPr>
          <w:lang w:val="ru-RU"/>
        </w:rPr>
        <w:t xml:space="preserve">п. </w:t>
      </w:r>
      <w:r w:rsidRPr="00292C9A">
        <w:rPr>
          <w:b/>
          <w:bCs/>
          <w:lang w:val="ru-RU"/>
        </w:rPr>
        <w:t>9.5B</w:t>
      </w:r>
      <w:r w:rsidRPr="00292C9A">
        <w:rPr>
          <w:lang w:val="ru-RU"/>
        </w:rPr>
        <w:t xml:space="preserve"> </w:t>
      </w:r>
      <w:r w:rsidR="00E673EA" w:rsidRPr="00292C9A">
        <w:rPr>
          <w:lang w:val="ru-RU"/>
        </w:rPr>
        <w:t>до</w:t>
      </w:r>
      <w:r w:rsidRPr="00292C9A">
        <w:rPr>
          <w:lang w:val="ru-RU"/>
        </w:rPr>
        <w:t xml:space="preserve"> 31 декабря 2016 года. </w:t>
      </w:r>
    </w:p>
    <w:p w:rsidR="00777060" w:rsidRPr="00292C9A" w:rsidRDefault="001C79F8" w:rsidP="001C79F8">
      <w:pPr>
        <w:jc w:val="both"/>
        <w:rPr>
          <w:lang w:val="ru-RU"/>
        </w:rPr>
      </w:pPr>
      <w:r w:rsidRPr="00292C9A">
        <w:rPr>
          <w:lang w:val="ru-RU"/>
        </w:rPr>
        <w:t>Любой запрос о координации в соответствии с Разделом </w:t>
      </w:r>
      <w:r w:rsidR="00777060" w:rsidRPr="00292C9A">
        <w:rPr>
          <w:lang w:val="ru-RU"/>
        </w:rPr>
        <w:t xml:space="preserve">II </w:t>
      </w:r>
      <w:r w:rsidRPr="00292C9A">
        <w:rPr>
          <w:lang w:val="ru-RU"/>
        </w:rPr>
        <w:t>Статьи </w:t>
      </w:r>
      <w:r w:rsidR="00777060" w:rsidRPr="00292C9A">
        <w:rPr>
          <w:lang w:val="ru-RU"/>
        </w:rPr>
        <w:t>9</w:t>
      </w:r>
      <w:r w:rsidRPr="00292C9A">
        <w:rPr>
          <w:lang w:val="ru-RU"/>
        </w:rPr>
        <w:t xml:space="preserve">, полученный в период между </w:t>
      </w:r>
      <w:r w:rsidR="00777060" w:rsidRPr="00292C9A">
        <w:rPr>
          <w:lang w:val="ru-RU"/>
        </w:rPr>
        <w:t>1</w:t>
      </w:r>
      <w:r w:rsidRPr="00292C9A">
        <w:rPr>
          <w:lang w:val="ru-RU"/>
        </w:rPr>
        <w:t> июля</w:t>
      </w:r>
      <w:r w:rsidR="00777060" w:rsidRPr="00292C9A">
        <w:rPr>
          <w:lang w:val="ru-RU"/>
        </w:rPr>
        <w:t xml:space="preserve"> 2016</w:t>
      </w:r>
      <w:r w:rsidRPr="00292C9A">
        <w:rPr>
          <w:lang w:val="ru-RU"/>
        </w:rPr>
        <w:t xml:space="preserve"> года и </w:t>
      </w:r>
      <w:r w:rsidR="00777060" w:rsidRPr="00292C9A">
        <w:rPr>
          <w:lang w:val="ru-RU"/>
        </w:rPr>
        <w:t>31 </w:t>
      </w:r>
      <w:r w:rsidRPr="00292C9A">
        <w:rPr>
          <w:lang w:val="ru-RU"/>
        </w:rPr>
        <w:t>декабря</w:t>
      </w:r>
      <w:r w:rsidR="00777060" w:rsidRPr="00292C9A">
        <w:rPr>
          <w:lang w:val="ru-RU"/>
        </w:rPr>
        <w:t xml:space="preserve"> 2016</w:t>
      </w:r>
      <w:r w:rsidRPr="00292C9A">
        <w:rPr>
          <w:lang w:val="ru-RU"/>
        </w:rPr>
        <w:t> года, будет обрабатываться следующим образом</w:t>
      </w:r>
      <w:r w:rsidR="00777060" w:rsidRPr="00292C9A">
        <w:rPr>
          <w:lang w:val="ru-RU"/>
        </w:rPr>
        <w:t>:</w:t>
      </w:r>
    </w:p>
    <w:p w:rsidR="00777060" w:rsidRPr="00292C9A" w:rsidRDefault="00777060" w:rsidP="00292C9A">
      <w:pPr>
        <w:pStyle w:val="enumlev1"/>
        <w:jc w:val="both"/>
        <w:rPr>
          <w:lang w:val="ru-RU"/>
        </w:rPr>
      </w:pPr>
      <w:r w:rsidRPr="00292C9A">
        <w:rPr>
          <w:lang w:val="ru-RU"/>
        </w:rPr>
        <w:t>•</w:t>
      </w:r>
      <w:r w:rsidRPr="00292C9A">
        <w:rPr>
          <w:lang w:val="ru-RU"/>
        </w:rPr>
        <w:tab/>
      </w:r>
      <w:r w:rsidR="00E43188" w:rsidRPr="00292C9A">
        <w:rPr>
          <w:lang w:val="ru-RU"/>
        </w:rPr>
        <w:t xml:space="preserve">запрос о координации со ссылкой на </w:t>
      </w:r>
      <w:r w:rsidRPr="00292C9A">
        <w:rPr>
          <w:lang w:val="ru-RU"/>
        </w:rPr>
        <w:t>API</w:t>
      </w:r>
      <w:r w:rsidR="00E43188" w:rsidRPr="00292C9A">
        <w:rPr>
          <w:lang w:val="ru-RU"/>
        </w:rPr>
        <w:t xml:space="preserve">, полученную </w:t>
      </w:r>
      <w:r w:rsidRPr="00292C9A">
        <w:rPr>
          <w:lang w:val="ru-RU"/>
        </w:rPr>
        <w:t>30</w:t>
      </w:r>
      <w:r w:rsidR="00E43188" w:rsidRPr="00292C9A">
        <w:rPr>
          <w:lang w:val="ru-RU"/>
        </w:rPr>
        <w:t> июня</w:t>
      </w:r>
      <w:r w:rsidRPr="00292C9A">
        <w:rPr>
          <w:lang w:val="ru-RU"/>
        </w:rPr>
        <w:t xml:space="preserve"> 2016</w:t>
      </w:r>
      <w:r w:rsidR="00E43188" w:rsidRPr="00292C9A">
        <w:rPr>
          <w:lang w:val="ru-RU"/>
        </w:rPr>
        <w:t xml:space="preserve"> года или ранее, будет рассматриваться как полученный </w:t>
      </w:r>
      <w:r w:rsidR="00292C9A" w:rsidRPr="00292C9A">
        <w:rPr>
          <w:lang w:val="ru-RU"/>
        </w:rPr>
        <w:t>на</w:t>
      </w:r>
      <w:r w:rsidR="00E43188" w:rsidRPr="00292C9A">
        <w:rPr>
          <w:lang w:val="ru-RU"/>
        </w:rPr>
        <w:t xml:space="preserve"> дату его </w:t>
      </w:r>
      <w:r w:rsidR="00323599" w:rsidRPr="00292C9A">
        <w:rPr>
          <w:lang w:val="ru-RU"/>
        </w:rPr>
        <w:t>поступления</w:t>
      </w:r>
      <w:r w:rsidR="00E43188" w:rsidRPr="00292C9A">
        <w:rPr>
          <w:lang w:val="ru-RU"/>
        </w:rPr>
        <w:t xml:space="preserve">, </w:t>
      </w:r>
      <w:r w:rsidR="00292C9A" w:rsidRPr="00292C9A">
        <w:rPr>
          <w:lang w:val="ru-RU"/>
        </w:rPr>
        <w:t>которой</w:t>
      </w:r>
      <w:r w:rsidR="00136BB1" w:rsidRPr="00292C9A">
        <w:rPr>
          <w:lang w:val="ru-RU"/>
        </w:rPr>
        <w:t xml:space="preserve"> </w:t>
      </w:r>
      <w:r w:rsidR="00E43188" w:rsidRPr="00292C9A">
        <w:rPr>
          <w:lang w:val="ru-RU"/>
        </w:rPr>
        <w:t>не может</w:t>
      </w:r>
      <w:r w:rsidR="00292C9A" w:rsidRPr="00292C9A">
        <w:rPr>
          <w:lang w:val="ru-RU"/>
        </w:rPr>
        <w:t xml:space="preserve"> быть дата, отстоящая более чем на</w:t>
      </w:r>
      <w:r w:rsidR="00323599" w:rsidRPr="00292C9A">
        <w:rPr>
          <w:lang w:val="ru-RU"/>
        </w:rPr>
        <w:t xml:space="preserve"> шесть месяцев от даты </w:t>
      </w:r>
      <w:r w:rsidR="00136BB1" w:rsidRPr="00292C9A">
        <w:rPr>
          <w:lang w:val="ru-RU"/>
        </w:rPr>
        <w:t xml:space="preserve">получения соответствующей </w:t>
      </w:r>
      <w:r w:rsidRPr="00292C9A">
        <w:rPr>
          <w:lang w:val="ru-RU"/>
        </w:rPr>
        <w:t xml:space="preserve">API </w:t>
      </w:r>
      <w:r w:rsidR="00136BB1" w:rsidRPr="00292C9A">
        <w:rPr>
          <w:lang w:val="ru-RU"/>
        </w:rPr>
        <w:t>согласно п</w:t>
      </w:r>
      <w:r w:rsidRPr="00292C9A">
        <w:rPr>
          <w:lang w:val="ru-RU"/>
        </w:rPr>
        <w:t>.</w:t>
      </w:r>
      <w:r w:rsidR="00136BB1" w:rsidRPr="00292C9A">
        <w:rPr>
          <w:lang w:val="ru-RU"/>
        </w:rPr>
        <w:t> </w:t>
      </w:r>
      <w:r w:rsidRPr="00292C9A">
        <w:rPr>
          <w:b/>
          <w:bCs/>
          <w:lang w:val="ru-RU"/>
        </w:rPr>
        <w:t>9.1</w:t>
      </w:r>
      <w:r w:rsidRPr="00292C9A">
        <w:rPr>
          <w:lang w:val="ru-RU"/>
        </w:rPr>
        <w:t xml:space="preserve"> </w:t>
      </w:r>
      <w:r w:rsidR="00136BB1" w:rsidRPr="00292C9A">
        <w:rPr>
          <w:lang w:val="ru-RU"/>
        </w:rPr>
        <w:t>Регламента радиосвязи</w:t>
      </w:r>
      <w:r w:rsidRPr="00292C9A">
        <w:rPr>
          <w:lang w:val="ru-RU"/>
        </w:rPr>
        <w:t xml:space="preserve"> (</w:t>
      </w:r>
      <w:r w:rsidR="00292C9A" w:rsidRPr="00292C9A">
        <w:rPr>
          <w:lang w:val="ru-RU"/>
        </w:rPr>
        <w:t xml:space="preserve">издание </w:t>
      </w:r>
      <w:r w:rsidRPr="00292C9A">
        <w:rPr>
          <w:lang w:val="ru-RU"/>
        </w:rPr>
        <w:t>2012</w:t>
      </w:r>
      <w:r w:rsidR="00136BB1" w:rsidRPr="00292C9A">
        <w:rPr>
          <w:lang w:val="ru-RU"/>
        </w:rPr>
        <w:t> г</w:t>
      </w:r>
      <w:r w:rsidR="00292C9A" w:rsidRPr="00292C9A">
        <w:rPr>
          <w:lang w:val="ru-RU"/>
        </w:rPr>
        <w:t>.</w:t>
      </w:r>
      <w:r w:rsidRPr="00292C9A">
        <w:rPr>
          <w:lang w:val="ru-RU"/>
        </w:rPr>
        <w:t>);</w:t>
      </w:r>
      <w:r w:rsidR="00136BB1" w:rsidRPr="00292C9A">
        <w:rPr>
          <w:lang w:val="ru-RU"/>
        </w:rPr>
        <w:t xml:space="preserve"> </w:t>
      </w:r>
    </w:p>
    <w:p w:rsidR="00777060" w:rsidRPr="00292C9A" w:rsidRDefault="00777060" w:rsidP="00136BB1">
      <w:pPr>
        <w:pStyle w:val="enumlev1"/>
        <w:jc w:val="both"/>
        <w:rPr>
          <w:lang w:val="ru-RU"/>
        </w:rPr>
      </w:pPr>
      <w:r w:rsidRPr="00292C9A">
        <w:rPr>
          <w:lang w:val="ru-RU"/>
        </w:rPr>
        <w:t>•</w:t>
      </w:r>
      <w:r w:rsidRPr="00292C9A">
        <w:rPr>
          <w:lang w:val="ru-RU"/>
        </w:rPr>
        <w:tab/>
      </w:r>
      <w:r w:rsidR="00136BB1" w:rsidRPr="00292C9A">
        <w:rPr>
          <w:lang w:val="ru-RU"/>
        </w:rPr>
        <w:t xml:space="preserve">запрос о координации, не содержащий ссылки на какую-либо API, полученную к 30 июня 2016 года, будет рассматриваться как полученный Бюро </w:t>
      </w:r>
      <w:r w:rsidRPr="00292C9A">
        <w:rPr>
          <w:lang w:val="ru-RU"/>
        </w:rPr>
        <w:t>1</w:t>
      </w:r>
      <w:r w:rsidR="00136BB1" w:rsidRPr="00292C9A">
        <w:rPr>
          <w:lang w:val="ru-RU"/>
        </w:rPr>
        <w:t> января</w:t>
      </w:r>
      <w:r w:rsidRPr="00292C9A">
        <w:rPr>
          <w:lang w:val="ru-RU"/>
        </w:rPr>
        <w:t xml:space="preserve"> 2017</w:t>
      </w:r>
      <w:r w:rsidR="00136BB1" w:rsidRPr="00292C9A">
        <w:rPr>
          <w:lang w:val="ru-RU"/>
        </w:rPr>
        <w:t> года и будет обрабатываться соответствующим образом</w:t>
      </w:r>
      <w:r w:rsidRPr="00292C9A">
        <w:rPr>
          <w:lang w:val="ru-RU"/>
        </w:rPr>
        <w:t>.</w:t>
      </w:r>
    </w:p>
    <w:p w:rsidR="00777060" w:rsidRPr="00292C9A" w:rsidRDefault="0034132F" w:rsidP="00D00447">
      <w:pPr>
        <w:jc w:val="both"/>
        <w:rPr>
          <w:rFonts w:asciiTheme="minorHAnsi" w:hAnsiTheme="minorHAnsi"/>
          <w:szCs w:val="24"/>
          <w:lang w:val="ru-RU"/>
        </w:rPr>
      </w:pPr>
      <w:r w:rsidRPr="00292C9A">
        <w:rPr>
          <w:lang w:val="ru-RU"/>
        </w:rPr>
        <w:t xml:space="preserve">В соответствии с пунктом 2 раздела </w:t>
      </w:r>
      <w:r w:rsidRPr="00292C9A">
        <w:rPr>
          <w:i/>
          <w:iCs/>
          <w:lang w:val="ru-RU"/>
        </w:rPr>
        <w:t xml:space="preserve">решает </w:t>
      </w:r>
      <w:r w:rsidR="00777060" w:rsidRPr="00292C9A">
        <w:rPr>
          <w:lang w:val="ru-RU"/>
        </w:rPr>
        <w:t xml:space="preserve">Резолюции 31 (ВКР-15), любая информация для предварительной публикации спутниковой сети или системы, подлежащей процедуре координации согласно Разделу II Статьи </w:t>
      </w:r>
      <w:r w:rsidR="00777060" w:rsidRPr="00292C9A">
        <w:rPr>
          <w:b/>
          <w:bCs/>
          <w:lang w:val="ru-RU"/>
        </w:rPr>
        <w:t>9</w:t>
      </w:r>
      <w:r w:rsidR="00777060" w:rsidRPr="00292C9A">
        <w:rPr>
          <w:lang w:val="ru-RU"/>
        </w:rPr>
        <w:t xml:space="preserve">, для которой запрос о координации не был получен Бюро, согласно п. </w:t>
      </w:r>
      <w:r w:rsidR="00777060" w:rsidRPr="00292C9A">
        <w:rPr>
          <w:b/>
          <w:bCs/>
          <w:lang w:val="ru-RU"/>
        </w:rPr>
        <w:t>9.30</w:t>
      </w:r>
      <w:r w:rsidR="00777060" w:rsidRPr="00292C9A">
        <w:rPr>
          <w:lang w:val="ru-RU"/>
        </w:rPr>
        <w:t>, до 31 декабря 2016 года, должна быть исключена Бюро и бол</w:t>
      </w:r>
      <w:r w:rsidR="00D00447" w:rsidRPr="00292C9A">
        <w:rPr>
          <w:lang w:val="ru-RU"/>
        </w:rPr>
        <w:t>е</w:t>
      </w:r>
      <w:r w:rsidR="00777060" w:rsidRPr="00292C9A">
        <w:rPr>
          <w:lang w:val="ru-RU"/>
        </w:rPr>
        <w:t>е не приниматься во внимание</w:t>
      </w:r>
      <w:r w:rsidR="00777060" w:rsidRPr="00292C9A">
        <w:rPr>
          <w:rFonts w:asciiTheme="minorHAnsi" w:hAnsiTheme="minorHAnsi"/>
          <w:szCs w:val="24"/>
          <w:lang w:val="ru-RU"/>
        </w:rPr>
        <w:t>.</w:t>
      </w:r>
    </w:p>
    <w:bookmarkEnd w:id="0"/>
    <w:p w:rsidR="00777060" w:rsidRPr="00292C9A" w:rsidRDefault="00537677" w:rsidP="0017113C">
      <w:pPr>
        <w:jc w:val="both"/>
        <w:rPr>
          <w:spacing w:val="-2"/>
          <w:lang w:val="ru-RU"/>
        </w:rPr>
      </w:pPr>
      <w:r w:rsidRPr="00292C9A">
        <w:rPr>
          <w:spacing w:val="-2"/>
          <w:lang w:val="ru-RU"/>
        </w:rPr>
        <w:lastRenderedPageBreak/>
        <w:t xml:space="preserve">Начиная с </w:t>
      </w:r>
      <w:r w:rsidR="00777060" w:rsidRPr="00292C9A">
        <w:rPr>
          <w:spacing w:val="-2"/>
          <w:lang w:val="ru-RU"/>
        </w:rPr>
        <w:t>1</w:t>
      </w:r>
      <w:r w:rsidRPr="00292C9A">
        <w:rPr>
          <w:spacing w:val="-2"/>
          <w:lang w:val="ru-RU"/>
        </w:rPr>
        <w:t> июля</w:t>
      </w:r>
      <w:r w:rsidR="00777060" w:rsidRPr="00292C9A">
        <w:rPr>
          <w:spacing w:val="-2"/>
          <w:lang w:val="ru-RU"/>
        </w:rPr>
        <w:t xml:space="preserve"> 2016</w:t>
      </w:r>
      <w:r w:rsidRPr="00292C9A">
        <w:rPr>
          <w:spacing w:val="-2"/>
          <w:lang w:val="ru-RU"/>
        </w:rPr>
        <w:t> года</w:t>
      </w:r>
      <w:r w:rsidR="00777060" w:rsidRPr="00292C9A">
        <w:rPr>
          <w:spacing w:val="-2"/>
          <w:lang w:val="ru-RU"/>
        </w:rPr>
        <w:t xml:space="preserve"> </w:t>
      </w:r>
      <w:r w:rsidRPr="00292C9A">
        <w:rPr>
          <w:spacing w:val="-2"/>
          <w:lang w:val="ru-RU"/>
        </w:rPr>
        <w:t xml:space="preserve">Бюро радиосвязи прекратит также публикацию </w:t>
      </w:r>
      <w:r w:rsidR="003D0284" w:rsidRPr="00292C9A">
        <w:rPr>
          <w:spacing w:val="-2"/>
          <w:lang w:val="ru-RU"/>
        </w:rPr>
        <w:t>поправок</w:t>
      </w:r>
      <w:r w:rsidRPr="00292C9A">
        <w:rPr>
          <w:spacing w:val="-2"/>
          <w:lang w:val="ru-RU"/>
        </w:rPr>
        <w:t xml:space="preserve"> к содержащим API специальным секциям, касающи</w:t>
      </w:r>
      <w:r w:rsidR="003D0284" w:rsidRPr="00292C9A">
        <w:rPr>
          <w:spacing w:val="-2"/>
          <w:lang w:val="ru-RU"/>
        </w:rPr>
        <w:t>х</w:t>
      </w:r>
      <w:r w:rsidRPr="00292C9A">
        <w:rPr>
          <w:spacing w:val="-2"/>
          <w:lang w:val="ru-RU"/>
        </w:rPr>
        <w:t>ся изменени</w:t>
      </w:r>
      <w:r w:rsidR="003D0284" w:rsidRPr="00292C9A">
        <w:rPr>
          <w:spacing w:val="-2"/>
          <w:lang w:val="ru-RU"/>
        </w:rPr>
        <w:t>я</w:t>
      </w:r>
      <w:r w:rsidRPr="00292C9A">
        <w:rPr>
          <w:spacing w:val="-2"/>
          <w:lang w:val="ru-RU"/>
        </w:rPr>
        <w:t xml:space="preserve"> названий и/или орбитальных позиций </w:t>
      </w:r>
      <w:r w:rsidR="003D0284" w:rsidRPr="00292C9A">
        <w:rPr>
          <w:spacing w:val="-2"/>
          <w:lang w:val="ru-RU"/>
        </w:rPr>
        <w:t xml:space="preserve">спутников </w:t>
      </w:r>
      <w:r w:rsidRPr="00292C9A">
        <w:rPr>
          <w:spacing w:val="-2"/>
          <w:lang w:val="ru-RU"/>
        </w:rPr>
        <w:t>в пределах</w:t>
      </w:r>
      <w:r w:rsidR="00777060" w:rsidRPr="00292C9A">
        <w:rPr>
          <w:spacing w:val="-2"/>
          <w:lang w:val="ru-RU"/>
        </w:rPr>
        <w:t xml:space="preserve"> +/−6</w:t>
      </w:r>
      <w:r w:rsidR="00292C9A" w:rsidRPr="00292C9A">
        <w:rPr>
          <w:spacing w:val="-2"/>
          <w:lang w:val="ru-RU"/>
        </w:rPr>
        <w:t>°</w:t>
      </w:r>
      <w:r w:rsidRPr="00292C9A">
        <w:rPr>
          <w:spacing w:val="-2"/>
          <w:lang w:val="ru-RU"/>
        </w:rPr>
        <w:t>, которые получены в запросах о координации</w:t>
      </w:r>
      <w:r w:rsidR="00777060" w:rsidRPr="00292C9A">
        <w:rPr>
          <w:spacing w:val="-2"/>
          <w:lang w:val="ru-RU"/>
        </w:rPr>
        <w:t xml:space="preserve">. </w:t>
      </w:r>
      <w:r w:rsidRPr="00292C9A">
        <w:rPr>
          <w:spacing w:val="-2"/>
          <w:lang w:val="ru-RU"/>
        </w:rPr>
        <w:t>Эти изменения будут доступны в онлайновом формате для ознакомления администрациям</w:t>
      </w:r>
      <w:r w:rsidR="002B49D4" w:rsidRPr="00292C9A">
        <w:rPr>
          <w:spacing w:val="-2"/>
          <w:lang w:val="ru-RU"/>
        </w:rPr>
        <w:t>и по адресу</w:t>
      </w:r>
      <w:r w:rsidR="00777060" w:rsidRPr="00292C9A">
        <w:rPr>
          <w:spacing w:val="-2"/>
          <w:lang w:val="ru-RU"/>
        </w:rPr>
        <w:t xml:space="preserve">: </w:t>
      </w:r>
      <w:hyperlink r:id="rId8" w:history="1">
        <w:r w:rsidR="0017113C">
          <w:rPr>
            <w:rStyle w:val="Hyperlink"/>
          </w:rPr>
          <w:t>www</w:t>
        </w:r>
        <w:r w:rsidR="0017113C" w:rsidRPr="0017113C">
          <w:rPr>
            <w:rStyle w:val="Hyperlink"/>
            <w:lang w:val="ru-RU"/>
          </w:rPr>
          <w:t>.</w:t>
        </w:r>
        <w:proofErr w:type="spellStart"/>
        <w:r w:rsidR="0017113C">
          <w:rPr>
            <w:rStyle w:val="Hyperlink"/>
          </w:rPr>
          <w:t>itu</w:t>
        </w:r>
        <w:proofErr w:type="spellEnd"/>
        <w:r w:rsidR="0017113C" w:rsidRPr="0017113C">
          <w:rPr>
            <w:rStyle w:val="Hyperlink"/>
            <w:lang w:val="ru-RU"/>
          </w:rPr>
          <w:t>.</w:t>
        </w:r>
        <w:proofErr w:type="spellStart"/>
        <w:r w:rsidR="0017113C">
          <w:rPr>
            <w:rStyle w:val="Hyperlink"/>
          </w:rPr>
          <w:t>int</w:t>
        </w:r>
        <w:proofErr w:type="spellEnd"/>
        <w:r w:rsidR="0017113C" w:rsidRPr="0017113C">
          <w:rPr>
            <w:rStyle w:val="Hyperlink"/>
            <w:lang w:val="ru-RU"/>
          </w:rPr>
          <w:t>/</w:t>
        </w:r>
        <w:r w:rsidR="0017113C">
          <w:rPr>
            <w:rStyle w:val="Hyperlink"/>
          </w:rPr>
          <w:t>go</w:t>
        </w:r>
        <w:r w:rsidR="0017113C" w:rsidRPr="0017113C">
          <w:rPr>
            <w:rStyle w:val="Hyperlink"/>
            <w:lang w:val="ru-RU"/>
          </w:rPr>
          <w:t>/</w:t>
        </w:r>
        <w:r w:rsidR="0017113C">
          <w:rPr>
            <w:rStyle w:val="Hyperlink"/>
          </w:rPr>
          <w:t>ITU</w:t>
        </w:r>
        <w:r w:rsidR="0017113C" w:rsidRPr="0017113C">
          <w:rPr>
            <w:rStyle w:val="Hyperlink"/>
            <w:lang w:val="ru-RU"/>
          </w:rPr>
          <w:t>-</w:t>
        </w:r>
        <w:r w:rsidR="0017113C">
          <w:rPr>
            <w:rStyle w:val="Hyperlink"/>
          </w:rPr>
          <w:t>R</w:t>
        </w:r>
        <w:r w:rsidR="0017113C" w:rsidRPr="0017113C">
          <w:rPr>
            <w:rStyle w:val="Hyperlink"/>
            <w:lang w:val="ru-RU"/>
          </w:rPr>
          <w:t>/</w:t>
        </w:r>
        <w:r w:rsidR="0017113C">
          <w:rPr>
            <w:rStyle w:val="Hyperlink"/>
          </w:rPr>
          <w:t>sat</w:t>
        </w:r>
        <w:r w:rsidR="0017113C" w:rsidRPr="0017113C">
          <w:rPr>
            <w:rStyle w:val="Hyperlink"/>
            <w:lang w:val="ru-RU"/>
          </w:rPr>
          <w:t>-</w:t>
        </w:r>
        <w:r w:rsidR="0017113C">
          <w:rPr>
            <w:rStyle w:val="Hyperlink"/>
          </w:rPr>
          <w:t>names</w:t>
        </w:r>
      </w:hyperlink>
    </w:p>
    <w:p w:rsidR="00777060" w:rsidRPr="00292C9A" w:rsidRDefault="002B49D4" w:rsidP="003D0284">
      <w:pPr>
        <w:jc w:val="both"/>
        <w:rPr>
          <w:lang w:val="ru-RU"/>
        </w:rPr>
      </w:pPr>
      <w:r w:rsidRPr="00292C9A">
        <w:rPr>
          <w:lang w:val="ru-RU"/>
        </w:rPr>
        <w:t xml:space="preserve">Начиная с </w:t>
      </w:r>
      <w:r w:rsidR="00777060" w:rsidRPr="00292C9A">
        <w:rPr>
          <w:lang w:val="ru-RU"/>
        </w:rPr>
        <w:t>1</w:t>
      </w:r>
      <w:r w:rsidRPr="00292C9A">
        <w:rPr>
          <w:lang w:val="ru-RU"/>
        </w:rPr>
        <w:t xml:space="preserve"> января </w:t>
      </w:r>
      <w:r w:rsidR="00777060" w:rsidRPr="00292C9A">
        <w:rPr>
          <w:lang w:val="ru-RU"/>
        </w:rPr>
        <w:t>2017</w:t>
      </w:r>
      <w:r w:rsidRPr="00292C9A">
        <w:rPr>
          <w:lang w:val="ru-RU"/>
        </w:rPr>
        <w:t> года</w:t>
      </w:r>
      <w:r w:rsidR="00777060" w:rsidRPr="00292C9A">
        <w:rPr>
          <w:lang w:val="ru-RU"/>
        </w:rPr>
        <w:t xml:space="preserve">, </w:t>
      </w:r>
      <w:r w:rsidRPr="00292C9A">
        <w:rPr>
          <w:lang w:val="ru-RU"/>
        </w:rPr>
        <w:t>в соответствии с</w:t>
      </w:r>
      <w:r w:rsidR="00777060" w:rsidRPr="00292C9A">
        <w:rPr>
          <w:lang w:val="ru-RU"/>
        </w:rPr>
        <w:t xml:space="preserve"> </w:t>
      </w:r>
      <w:r w:rsidR="00563E6D" w:rsidRPr="00292C9A">
        <w:rPr>
          <w:lang w:val="ru-RU"/>
        </w:rPr>
        <w:t>п</w:t>
      </w:r>
      <w:r w:rsidR="00777060" w:rsidRPr="00292C9A">
        <w:rPr>
          <w:lang w:val="ru-RU"/>
        </w:rPr>
        <w:t xml:space="preserve">. </w:t>
      </w:r>
      <w:r w:rsidR="00777060" w:rsidRPr="00292C9A">
        <w:rPr>
          <w:b/>
          <w:bCs/>
          <w:lang w:val="ru-RU"/>
        </w:rPr>
        <w:t>9.1A</w:t>
      </w:r>
      <w:r w:rsidRPr="00292C9A">
        <w:rPr>
          <w:lang w:val="ru-RU"/>
        </w:rPr>
        <w:t>, пересмотренн</w:t>
      </w:r>
      <w:r w:rsidR="003D0284" w:rsidRPr="00292C9A">
        <w:rPr>
          <w:lang w:val="ru-RU"/>
        </w:rPr>
        <w:t>ы</w:t>
      </w:r>
      <w:r w:rsidRPr="00292C9A">
        <w:rPr>
          <w:lang w:val="ru-RU"/>
        </w:rPr>
        <w:t xml:space="preserve">м </w:t>
      </w:r>
      <w:r w:rsidR="00563E6D" w:rsidRPr="00292C9A">
        <w:rPr>
          <w:lang w:val="ru-RU"/>
        </w:rPr>
        <w:t>ВКР</w:t>
      </w:r>
      <w:r w:rsidR="00777060" w:rsidRPr="00292C9A">
        <w:rPr>
          <w:lang w:val="ru-RU"/>
        </w:rPr>
        <w:t xml:space="preserve">-15, </w:t>
      </w:r>
      <w:r w:rsidR="00563E6D" w:rsidRPr="00292C9A">
        <w:rPr>
          <w:lang w:val="ru-RU"/>
        </w:rPr>
        <w:t xml:space="preserve">Бюро радиосвязи </w:t>
      </w:r>
      <w:r w:rsidR="00896A42" w:rsidRPr="00292C9A">
        <w:rPr>
          <w:lang w:val="ru-RU"/>
        </w:rPr>
        <w:t xml:space="preserve">должно </w:t>
      </w:r>
      <w:r w:rsidR="00563E6D" w:rsidRPr="00292C9A">
        <w:rPr>
          <w:lang w:val="ru-RU"/>
        </w:rPr>
        <w:t>публиковать, используя основные характеристики запроса о координации, общее описание сети или системы для предварительной публикации в Специальной секции ИФИК БР</w:t>
      </w:r>
      <w:r w:rsidR="00777060" w:rsidRPr="00292C9A">
        <w:rPr>
          <w:lang w:val="ru-RU"/>
        </w:rPr>
        <w:t xml:space="preserve">. </w:t>
      </w:r>
      <w:r w:rsidRPr="00292C9A">
        <w:rPr>
          <w:lang w:val="ru-RU"/>
        </w:rPr>
        <w:t>Для этого Бюро радиосвязи разрабатывает в настоящее время систему для представления заявок на спутниковые сети в соответствии с требованиями Резолюции </w:t>
      </w:r>
      <w:r w:rsidR="00777060" w:rsidRPr="00292C9A">
        <w:rPr>
          <w:lang w:val="ru-RU"/>
        </w:rPr>
        <w:t>908 (</w:t>
      </w:r>
      <w:r w:rsidR="00563E6D" w:rsidRPr="00292C9A">
        <w:rPr>
          <w:lang w:val="ru-RU"/>
        </w:rPr>
        <w:t>ВКР</w:t>
      </w:r>
      <w:r w:rsidR="00777060" w:rsidRPr="00292C9A">
        <w:rPr>
          <w:lang w:val="ru-RU"/>
        </w:rPr>
        <w:t>-15)</w:t>
      </w:r>
      <w:r w:rsidRPr="00292C9A">
        <w:rPr>
          <w:lang w:val="ru-RU"/>
        </w:rPr>
        <w:t>, которая упростит публикацию такой</w:t>
      </w:r>
      <w:r w:rsidR="00777060" w:rsidRPr="00292C9A">
        <w:rPr>
          <w:lang w:val="ru-RU"/>
        </w:rPr>
        <w:t xml:space="preserve"> API. </w:t>
      </w:r>
      <w:r w:rsidRPr="00292C9A">
        <w:rPr>
          <w:lang w:val="ru-RU"/>
        </w:rPr>
        <w:t>Дальнейшая информация будет представлена в последующем циркулярном письме, которое будет выпущено до конца</w:t>
      </w:r>
      <w:r w:rsidR="00777060" w:rsidRPr="00292C9A">
        <w:rPr>
          <w:rFonts w:asciiTheme="minorHAnsi" w:hAnsiTheme="minorHAnsi"/>
          <w:szCs w:val="24"/>
          <w:lang w:val="ru-RU"/>
        </w:rPr>
        <w:t xml:space="preserve"> 2016</w:t>
      </w:r>
      <w:r w:rsidRPr="00292C9A">
        <w:rPr>
          <w:rFonts w:asciiTheme="minorHAnsi" w:hAnsiTheme="minorHAnsi"/>
          <w:szCs w:val="24"/>
          <w:lang w:val="ru-RU"/>
        </w:rPr>
        <w:t> года</w:t>
      </w:r>
      <w:r w:rsidR="00777060" w:rsidRPr="00292C9A">
        <w:rPr>
          <w:rFonts w:asciiTheme="minorHAnsi" w:hAnsiTheme="minorHAnsi"/>
          <w:szCs w:val="24"/>
          <w:lang w:val="ru-RU"/>
        </w:rPr>
        <w:t>.</w:t>
      </w:r>
    </w:p>
    <w:p w:rsidR="00563E6D" w:rsidRPr="00292C9A" w:rsidRDefault="00E84C8F" w:rsidP="00E84C8F">
      <w:pPr>
        <w:jc w:val="both"/>
        <w:rPr>
          <w:lang w:val="ru-RU"/>
        </w:rPr>
      </w:pPr>
      <w:r w:rsidRPr="00292C9A">
        <w:rPr>
          <w:color w:val="000000"/>
          <w:lang w:val="ru-RU"/>
        </w:rPr>
        <w:t xml:space="preserve">Бюро радиосвязи готово предоставить вашей администрации любые разъяснения по запросу в адрес электронной </w:t>
      </w:r>
      <w:r w:rsidR="00292C9A" w:rsidRPr="00292C9A">
        <w:rPr>
          <w:color w:val="000000"/>
          <w:lang w:val="ru-RU"/>
        </w:rPr>
        <w:t xml:space="preserve">почты: </w:t>
      </w:r>
      <w:hyperlink r:id="rId9" w:history="1">
        <w:r w:rsidRPr="00292C9A">
          <w:rPr>
            <w:rStyle w:val="Hyperlink"/>
            <w:lang w:val="ru-RU"/>
          </w:rPr>
          <w:t>brmail@itu.int</w:t>
        </w:r>
      </w:hyperlink>
      <w:r w:rsidRPr="00292C9A">
        <w:rPr>
          <w:color w:val="000000"/>
          <w:lang w:val="ru-RU"/>
        </w:rPr>
        <w:t xml:space="preserve">, которые могут потребоваться по вопросам, затронутым в настоящем </w:t>
      </w:r>
      <w:r w:rsidR="00292C9A" w:rsidRPr="00292C9A">
        <w:rPr>
          <w:color w:val="000000"/>
          <w:lang w:val="ru-RU"/>
        </w:rPr>
        <w:t xml:space="preserve">Циркулярном </w:t>
      </w:r>
      <w:r w:rsidRPr="00292C9A">
        <w:rPr>
          <w:color w:val="000000"/>
          <w:lang w:val="ru-RU"/>
        </w:rPr>
        <w:t>письме</w:t>
      </w:r>
      <w:r w:rsidR="00292C9A" w:rsidRPr="00292C9A">
        <w:rPr>
          <w:color w:val="000000"/>
          <w:lang w:val="ru-RU"/>
        </w:rPr>
        <w:t>.</w:t>
      </w:r>
    </w:p>
    <w:p w:rsidR="009D58D3" w:rsidRPr="00292C9A" w:rsidRDefault="009D58D3" w:rsidP="00292C9A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lang w:val="ru-RU"/>
        </w:rPr>
      </w:pPr>
      <w:r w:rsidRPr="00292C9A">
        <w:rPr>
          <w:rStyle w:val="style129"/>
          <w:lang w:val="ru-RU"/>
        </w:rPr>
        <w:t>Франсуа Ранси</w:t>
      </w:r>
      <w:r w:rsidRPr="00292C9A">
        <w:rPr>
          <w:lang w:val="ru-RU"/>
        </w:rPr>
        <w:br/>
        <w:t>Директор</w:t>
      </w:r>
    </w:p>
    <w:p w:rsidR="009D58D3" w:rsidRPr="00292C9A" w:rsidRDefault="009D58D3" w:rsidP="0077706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6400"/>
        <w:rPr>
          <w:b/>
          <w:sz w:val="18"/>
          <w:szCs w:val="18"/>
          <w:lang w:val="ru-RU"/>
        </w:rPr>
      </w:pPr>
      <w:r w:rsidRPr="00292C9A">
        <w:rPr>
          <w:b/>
          <w:sz w:val="18"/>
          <w:szCs w:val="18"/>
          <w:lang w:val="ru-RU"/>
        </w:rPr>
        <w:t>Рассылка</w:t>
      </w:r>
      <w:r w:rsidRPr="00292C9A">
        <w:rPr>
          <w:bCs/>
          <w:sz w:val="18"/>
          <w:szCs w:val="18"/>
          <w:lang w:val="ru-RU"/>
        </w:rPr>
        <w:t>:</w:t>
      </w:r>
    </w:p>
    <w:p w:rsidR="009D58D3" w:rsidRPr="00292C9A" w:rsidRDefault="009D58D3" w:rsidP="009D5F5C">
      <w:pPr>
        <w:pStyle w:val="enumlev1"/>
        <w:tabs>
          <w:tab w:val="clear" w:pos="794"/>
          <w:tab w:val="left" w:pos="284"/>
        </w:tabs>
        <w:spacing w:before="60"/>
        <w:rPr>
          <w:sz w:val="18"/>
          <w:szCs w:val="18"/>
          <w:lang w:val="ru-RU"/>
        </w:rPr>
      </w:pPr>
      <w:r w:rsidRPr="00292C9A">
        <w:rPr>
          <w:sz w:val="18"/>
          <w:szCs w:val="18"/>
          <w:lang w:val="ru-RU"/>
        </w:rPr>
        <w:t>–</w:t>
      </w:r>
      <w:r w:rsidRPr="00292C9A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9D58D3" w:rsidRPr="00292C9A" w:rsidRDefault="009D58D3" w:rsidP="009D58D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292C9A">
        <w:rPr>
          <w:sz w:val="18"/>
          <w:szCs w:val="18"/>
          <w:lang w:val="ru-RU"/>
        </w:rPr>
        <w:t>–</w:t>
      </w:r>
      <w:r w:rsidRPr="00292C9A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9D58D3" w:rsidRPr="00292C9A" w:rsidSect="006337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09" w:rsidRDefault="008F0809">
      <w:r>
        <w:separator/>
      </w:r>
    </w:p>
  </w:endnote>
  <w:endnote w:type="continuationSeparator" w:id="0">
    <w:p w:rsidR="008F0809" w:rsidRDefault="008F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68054B" w:rsidRDefault="008F0809" w:rsidP="006805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4B" w:rsidRDefault="006805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3C48C0" w:rsidRDefault="008F0809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780C0B">
      <w:rPr>
        <w:rFonts w:eastAsiaTheme="minorEastAsia"/>
        <w:color w:val="3E8EDE"/>
        <w:sz w:val="18"/>
        <w:szCs w:val="18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0421CA">
      <w:rPr>
        <w:color w:val="3E8EDE"/>
        <w:sz w:val="18"/>
        <w:szCs w:val="18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0421CA">
      <w:rPr>
        <w:color w:val="3E8EDE"/>
        <w:sz w:val="18"/>
        <w:szCs w:val="18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09" w:rsidRDefault="008F0809">
      <w:r>
        <w:t>____________________</w:t>
      </w:r>
    </w:p>
  </w:footnote>
  <w:footnote w:type="continuationSeparator" w:id="0">
    <w:p w:rsidR="008F0809" w:rsidRDefault="008F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490DF9" w:rsidRDefault="008F0809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2D1D10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09" w:rsidRPr="00AF3325" w:rsidRDefault="008F080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563E6D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F0809" w:rsidTr="009D5F5C">
      <w:tc>
        <w:tcPr>
          <w:tcW w:w="4889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F0809" w:rsidRDefault="008F0809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0809" w:rsidRPr="00EA15B3" w:rsidRDefault="008F0809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071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0688"/>
    <w:rsid w:val="0005167A"/>
    <w:rsid w:val="0005393D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04E1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26736"/>
    <w:rsid w:val="00134404"/>
    <w:rsid w:val="00134AAA"/>
    <w:rsid w:val="00136BB1"/>
    <w:rsid w:val="00144DFB"/>
    <w:rsid w:val="00156955"/>
    <w:rsid w:val="00156BB1"/>
    <w:rsid w:val="001605D7"/>
    <w:rsid w:val="001670DE"/>
    <w:rsid w:val="0017113C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C79F8"/>
    <w:rsid w:val="001D2785"/>
    <w:rsid w:val="001D7070"/>
    <w:rsid w:val="001F2170"/>
    <w:rsid w:val="001F3948"/>
    <w:rsid w:val="001F5A49"/>
    <w:rsid w:val="00201097"/>
    <w:rsid w:val="00201B6E"/>
    <w:rsid w:val="00216CC4"/>
    <w:rsid w:val="00217B68"/>
    <w:rsid w:val="002302B3"/>
    <w:rsid w:val="00230C66"/>
    <w:rsid w:val="00235A29"/>
    <w:rsid w:val="002407BE"/>
    <w:rsid w:val="00241526"/>
    <w:rsid w:val="00243335"/>
    <w:rsid w:val="002443A2"/>
    <w:rsid w:val="0024656D"/>
    <w:rsid w:val="00263EFB"/>
    <w:rsid w:val="00266E74"/>
    <w:rsid w:val="00266EF6"/>
    <w:rsid w:val="00283C3B"/>
    <w:rsid w:val="002861E6"/>
    <w:rsid w:val="0028755F"/>
    <w:rsid w:val="00287D18"/>
    <w:rsid w:val="00292C9A"/>
    <w:rsid w:val="002A2618"/>
    <w:rsid w:val="002A5DD7"/>
    <w:rsid w:val="002B0CAC"/>
    <w:rsid w:val="002B49D4"/>
    <w:rsid w:val="002B72AE"/>
    <w:rsid w:val="002D1D10"/>
    <w:rsid w:val="002D5A15"/>
    <w:rsid w:val="002D5BDD"/>
    <w:rsid w:val="002E3D27"/>
    <w:rsid w:val="002F0890"/>
    <w:rsid w:val="002F1DB2"/>
    <w:rsid w:val="002F2531"/>
    <w:rsid w:val="002F4967"/>
    <w:rsid w:val="002F5183"/>
    <w:rsid w:val="00316935"/>
    <w:rsid w:val="00316E1A"/>
    <w:rsid w:val="00323599"/>
    <w:rsid w:val="003266ED"/>
    <w:rsid w:val="00326C68"/>
    <w:rsid w:val="003370B8"/>
    <w:rsid w:val="0034132F"/>
    <w:rsid w:val="00345986"/>
    <w:rsid w:val="00345D38"/>
    <w:rsid w:val="00352097"/>
    <w:rsid w:val="00361883"/>
    <w:rsid w:val="00364A9D"/>
    <w:rsid w:val="003666FF"/>
    <w:rsid w:val="0037309C"/>
    <w:rsid w:val="00380A6E"/>
    <w:rsid w:val="00382F4A"/>
    <w:rsid w:val="003836D4"/>
    <w:rsid w:val="003A1F49"/>
    <w:rsid w:val="003A55E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D41"/>
    <w:rsid w:val="003D0284"/>
    <w:rsid w:val="003D4A69"/>
    <w:rsid w:val="003E504F"/>
    <w:rsid w:val="003E78D6"/>
    <w:rsid w:val="003F5A9D"/>
    <w:rsid w:val="00400573"/>
    <w:rsid w:val="004007A3"/>
    <w:rsid w:val="00403FA9"/>
    <w:rsid w:val="00406D71"/>
    <w:rsid w:val="004107BC"/>
    <w:rsid w:val="004326DB"/>
    <w:rsid w:val="0043682E"/>
    <w:rsid w:val="004448C2"/>
    <w:rsid w:val="00447ECB"/>
    <w:rsid w:val="00454E7A"/>
    <w:rsid w:val="004576E8"/>
    <w:rsid w:val="004623F7"/>
    <w:rsid w:val="00480F51"/>
    <w:rsid w:val="00481124"/>
    <w:rsid w:val="004815EB"/>
    <w:rsid w:val="00484121"/>
    <w:rsid w:val="00487569"/>
    <w:rsid w:val="00490DF9"/>
    <w:rsid w:val="00496864"/>
    <w:rsid w:val="00496920"/>
    <w:rsid w:val="004A4496"/>
    <w:rsid w:val="004B11AB"/>
    <w:rsid w:val="004B7C9A"/>
    <w:rsid w:val="004C6779"/>
    <w:rsid w:val="004D546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F73"/>
    <w:rsid w:val="005224A1"/>
    <w:rsid w:val="00532048"/>
    <w:rsid w:val="00534372"/>
    <w:rsid w:val="00537677"/>
    <w:rsid w:val="00543DF8"/>
    <w:rsid w:val="00546101"/>
    <w:rsid w:val="00553DD7"/>
    <w:rsid w:val="005603AF"/>
    <w:rsid w:val="005638CF"/>
    <w:rsid w:val="00563E6D"/>
    <w:rsid w:val="0056741E"/>
    <w:rsid w:val="0057325A"/>
    <w:rsid w:val="0057469A"/>
    <w:rsid w:val="00580814"/>
    <w:rsid w:val="00580EAC"/>
    <w:rsid w:val="00583A0B"/>
    <w:rsid w:val="00587AA9"/>
    <w:rsid w:val="0059117B"/>
    <w:rsid w:val="00596846"/>
    <w:rsid w:val="005A03A3"/>
    <w:rsid w:val="005A2B92"/>
    <w:rsid w:val="005A3F66"/>
    <w:rsid w:val="005A79E9"/>
    <w:rsid w:val="005B214C"/>
    <w:rsid w:val="005B4CDA"/>
    <w:rsid w:val="005C3EE2"/>
    <w:rsid w:val="005D3669"/>
    <w:rsid w:val="005D57BE"/>
    <w:rsid w:val="005E5EB3"/>
    <w:rsid w:val="005F3CB6"/>
    <w:rsid w:val="005F657C"/>
    <w:rsid w:val="00602D53"/>
    <w:rsid w:val="006047E5"/>
    <w:rsid w:val="006108BB"/>
    <w:rsid w:val="006147FE"/>
    <w:rsid w:val="0062667B"/>
    <w:rsid w:val="00633767"/>
    <w:rsid w:val="0064371D"/>
    <w:rsid w:val="00646C7E"/>
    <w:rsid w:val="00650543"/>
    <w:rsid w:val="00650B2A"/>
    <w:rsid w:val="00651777"/>
    <w:rsid w:val="006550F8"/>
    <w:rsid w:val="006749AE"/>
    <w:rsid w:val="0068054B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75D"/>
    <w:rsid w:val="00775DB8"/>
    <w:rsid w:val="00777060"/>
    <w:rsid w:val="00782354"/>
    <w:rsid w:val="00783B31"/>
    <w:rsid w:val="00784C2F"/>
    <w:rsid w:val="007921A7"/>
    <w:rsid w:val="00793C0E"/>
    <w:rsid w:val="007B3DB1"/>
    <w:rsid w:val="007B751F"/>
    <w:rsid w:val="007C33D7"/>
    <w:rsid w:val="007D183E"/>
    <w:rsid w:val="007D43D0"/>
    <w:rsid w:val="007E1833"/>
    <w:rsid w:val="007E3F13"/>
    <w:rsid w:val="007F20B5"/>
    <w:rsid w:val="007F72ED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54DA"/>
    <w:rsid w:val="00896A42"/>
    <w:rsid w:val="008B35A3"/>
    <w:rsid w:val="008B37E1"/>
    <w:rsid w:val="008B45F8"/>
    <w:rsid w:val="008C072B"/>
    <w:rsid w:val="008C2E74"/>
    <w:rsid w:val="008D5409"/>
    <w:rsid w:val="008E006D"/>
    <w:rsid w:val="008E38B4"/>
    <w:rsid w:val="008F0809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40FC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D58D3"/>
    <w:rsid w:val="009D5F5C"/>
    <w:rsid w:val="009D7C3B"/>
    <w:rsid w:val="009E04A8"/>
    <w:rsid w:val="009E1BAB"/>
    <w:rsid w:val="009E4AEC"/>
    <w:rsid w:val="009E5BD8"/>
    <w:rsid w:val="009E681E"/>
    <w:rsid w:val="009F143D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64393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4BC3"/>
    <w:rsid w:val="00AE6F6F"/>
    <w:rsid w:val="00AF3325"/>
    <w:rsid w:val="00AF34D9"/>
    <w:rsid w:val="00AF70DA"/>
    <w:rsid w:val="00B00547"/>
    <w:rsid w:val="00B019D3"/>
    <w:rsid w:val="00B02BDE"/>
    <w:rsid w:val="00B22FA6"/>
    <w:rsid w:val="00B34346"/>
    <w:rsid w:val="00B34CF9"/>
    <w:rsid w:val="00B37559"/>
    <w:rsid w:val="00B4054B"/>
    <w:rsid w:val="00B46C64"/>
    <w:rsid w:val="00B579B0"/>
    <w:rsid w:val="00B57D11"/>
    <w:rsid w:val="00B649D7"/>
    <w:rsid w:val="00B65478"/>
    <w:rsid w:val="00B664F2"/>
    <w:rsid w:val="00B817C3"/>
    <w:rsid w:val="00B81C2F"/>
    <w:rsid w:val="00B90743"/>
    <w:rsid w:val="00B90C45"/>
    <w:rsid w:val="00B9301C"/>
    <w:rsid w:val="00B933BE"/>
    <w:rsid w:val="00BC3C81"/>
    <w:rsid w:val="00BC68C3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E076A"/>
    <w:rsid w:val="00CE463D"/>
    <w:rsid w:val="00D00447"/>
    <w:rsid w:val="00D10BA0"/>
    <w:rsid w:val="00D14D17"/>
    <w:rsid w:val="00D21694"/>
    <w:rsid w:val="00D24EB5"/>
    <w:rsid w:val="00D35AB9"/>
    <w:rsid w:val="00D41571"/>
    <w:rsid w:val="00D416A0"/>
    <w:rsid w:val="00D433D1"/>
    <w:rsid w:val="00D47672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2B90"/>
    <w:rsid w:val="00D93A14"/>
    <w:rsid w:val="00DA4037"/>
    <w:rsid w:val="00DB704A"/>
    <w:rsid w:val="00DC4FDC"/>
    <w:rsid w:val="00DE1E19"/>
    <w:rsid w:val="00DE66A5"/>
    <w:rsid w:val="00DF2B50"/>
    <w:rsid w:val="00DF3304"/>
    <w:rsid w:val="00E01059"/>
    <w:rsid w:val="00E04C86"/>
    <w:rsid w:val="00E15578"/>
    <w:rsid w:val="00E17344"/>
    <w:rsid w:val="00E20F30"/>
    <w:rsid w:val="00E2189C"/>
    <w:rsid w:val="00E25BB1"/>
    <w:rsid w:val="00E27BBA"/>
    <w:rsid w:val="00E30E3F"/>
    <w:rsid w:val="00E35E8F"/>
    <w:rsid w:val="00E428AB"/>
    <w:rsid w:val="00E43188"/>
    <w:rsid w:val="00E438E8"/>
    <w:rsid w:val="00E453A3"/>
    <w:rsid w:val="00E50C9B"/>
    <w:rsid w:val="00E520E2"/>
    <w:rsid w:val="00E530C4"/>
    <w:rsid w:val="00E53DCE"/>
    <w:rsid w:val="00E55996"/>
    <w:rsid w:val="00E64254"/>
    <w:rsid w:val="00E673EA"/>
    <w:rsid w:val="00E67928"/>
    <w:rsid w:val="00E70FB5"/>
    <w:rsid w:val="00E84C8F"/>
    <w:rsid w:val="00E915AF"/>
    <w:rsid w:val="00E91731"/>
    <w:rsid w:val="00E9175C"/>
    <w:rsid w:val="00E96415"/>
    <w:rsid w:val="00E96722"/>
    <w:rsid w:val="00EA15B3"/>
    <w:rsid w:val="00EA183D"/>
    <w:rsid w:val="00EB2358"/>
    <w:rsid w:val="00EB3EB8"/>
    <w:rsid w:val="00EC00EF"/>
    <w:rsid w:val="00EC02FE"/>
    <w:rsid w:val="00EC4A96"/>
    <w:rsid w:val="00EE03A0"/>
    <w:rsid w:val="00EE56DB"/>
    <w:rsid w:val="00F11740"/>
    <w:rsid w:val="00F26672"/>
    <w:rsid w:val="00F424BF"/>
    <w:rsid w:val="00F44FC3"/>
    <w:rsid w:val="00F46107"/>
    <w:rsid w:val="00F468C5"/>
    <w:rsid w:val="00F52F39"/>
    <w:rsid w:val="00F570FC"/>
    <w:rsid w:val="00F6184F"/>
    <w:rsid w:val="00F8310E"/>
    <w:rsid w:val="00F86F4D"/>
    <w:rsid w:val="00F914DD"/>
    <w:rsid w:val="00FA2358"/>
    <w:rsid w:val="00FB2592"/>
    <w:rsid w:val="00FB2810"/>
    <w:rsid w:val="00FB7A2C"/>
    <w:rsid w:val="00FC2947"/>
    <w:rsid w:val="00FD673D"/>
    <w:rsid w:val="00FE0818"/>
    <w:rsid w:val="00FE6FB1"/>
    <w:rsid w:val="00FF33EF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sat-name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4610A2"/>
    <w:rsid w:val="00707B8D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EC63-4ADC-419C-8826-92CE6A2C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13</TotalTime>
  <Pages>2</Pages>
  <Words>527</Words>
  <Characters>3444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3964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9</cp:revision>
  <cp:lastPrinted>2016-05-18T12:16:00Z</cp:lastPrinted>
  <dcterms:created xsi:type="dcterms:W3CDTF">2016-05-10T06:48:00Z</dcterms:created>
  <dcterms:modified xsi:type="dcterms:W3CDTF">2016-05-18T12:16:00Z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