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483725" w:rsidTr="00034340">
        <w:tc>
          <w:tcPr>
            <w:tcW w:w="7054" w:type="dxa"/>
            <w:gridSpan w:val="2"/>
            <w:shd w:val="clear" w:color="auto" w:fill="auto"/>
          </w:tcPr>
          <w:p w:rsidR="00C76D7F" w:rsidRPr="00483725" w:rsidRDefault="008B35A3" w:rsidP="00E17344">
            <w:pPr>
              <w:spacing w:before="0"/>
              <w:jc w:val="left"/>
              <w:rPr>
                <w:sz w:val="24"/>
                <w:szCs w:val="24"/>
                <w:lang w:val="fr-CH"/>
              </w:rPr>
            </w:pPr>
            <w:r w:rsidRPr="00483725">
              <w:rPr>
                <w:sz w:val="24"/>
                <w:szCs w:val="24"/>
                <w:lang w:val="fr-CH"/>
              </w:rPr>
              <w:t>C</w:t>
            </w:r>
            <w:r w:rsidR="00C76D7F" w:rsidRPr="00483725">
              <w:rPr>
                <w:sz w:val="24"/>
                <w:szCs w:val="24"/>
                <w:lang w:val="fr-CH"/>
              </w:rPr>
              <w:t>ircular</w:t>
            </w:r>
            <w:r w:rsidR="000C295E" w:rsidRPr="00483725">
              <w:rPr>
                <w:sz w:val="24"/>
                <w:szCs w:val="24"/>
                <w:lang w:val="fr-CH"/>
              </w:rPr>
              <w:t xml:space="preserve"> Letter</w:t>
            </w:r>
          </w:p>
          <w:p w:rsidR="00651777" w:rsidRPr="00483725" w:rsidRDefault="00E17344" w:rsidP="00D005CF">
            <w:pPr>
              <w:spacing w:before="0"/>
              <w:jc w:val="left"/>
              <w:rPr>
                <w:b/>
                <w:bCs/>
                <w:sz w:val="24"/>
                <w:szCs w:val="24"/>
                <w:lang w:val="fr-CH"/>
              </w:rPr>
            </w:pPr>
            <w:r w:rsidRPr="00483725">
              <w:rPr>
                <w:b/>
                <w:bCs/>
                <w:sz w:val="24"/>
                <w:szCs w:val="24"/>
                <w:lang w:val="fr-CH"/>
              </w:rPr>
              <w:t>C</w:t>
            </w:r>
            <w:r w:rsidR="000C295E" w:rsidRPr="00483725">
              <w:rPr>
                <w:b/>
                <w:bCs/>
                <w:sz w:val="24"/>
                <w:szCs w:val="24"/>
                <w:lang w:val="fr-CH"/>
              </w:rPr>
              <w:t>R</w:t>
            </w:r>
            <w:r w:rsidR="003836D4" w:rsidRPr="00483725">
              <w:rPr>
                <w:b/>
                <w:bCs/>
                <w:sz w:val="24"/>
                <w:szCs w:val="24"/>
                <w:lang w:val="fr-CH"/>
              </w:rPr>
              <w:t>/</w:t>
            </w:r>
            <w:r w:rsidR="00747FD2" w:rsidRPr="00483725">
              <w:rPr>
                <w:b/>
                <w:bCs/>
                <w:sz w:val="24"/>
                <w:szCs w:val="24"/>
                <w:lang w:val="fr-CH"/>
              </w:rPr>
              <w:t>367</w:t>
            </w:r>
          </w:p>
        </w:tc>
        <w:tc>
          <w:tcPr>
            <w:tcW w:w="2835" w:type="dxa"/>
            <w:shd w:val="clear" w:color="auto" w:fill="auto"/>
          </w:tcPr>
          <w:p w:rsidR="00651777" w:rsidRPr="00483725" w:rsidRDefault="008A7BC2" w:rsidP="001F2E30">
            <w:pPr>
              <w:spacing w:before="0"/>
              <w:jc w:val="right"/>
              <w:rPr>
                <w:sz w:val="24"/>
                <w:szCs w:val="24"/>
                <w:lang w:val="en-GB"/>
              </w:rPr>
            </w:pPr>
            <w:r w:rsidRPr="00483725">
              <w:rPr>
                <w:sz w:val="24"/>
                <w:szCs w:val="24"/>
                <w:lang w:val="en-GB"/>
              </w:rPr>
              <w:t>23 July</w:t>
            </w:r>
            <w:r w:rsidR="0078158B" w:rsidRPr="00483725">
              <w:rPr>
                <w:sz w:val="24"/>
                <w:szCs w:val="24"/>
                <w:lang w:val="en-GB"/>
              </w:rPr>
              <w:t xml:space="preserve"> 2014</w:t>
            </w:r>
          </w:p>
        </w:tc>
      </w:tr>
      <w:tr w:rsidR="0037309C" w:rsidRPr="00483725" w:rsidTr="00A427B2">
        <w:tc>
          <w:tcPr>
            <w:tcW w:w="9889" w:type="dxa"/>
            <w:gridSpan w:val="3"/>
            <w:shd w:val="clear" w:color="auto" w:fill="auto"/>
          </w:tcPr>
          <w:p w:rsidR="0037309C" w:rsidRPr="00483725" w:rsidRDefault="0037309C" w:rsidP="006047E5">
            <w:pPr>
              <w:spacing w:before="0"/>
              <w:jc w:val="left"/>
              <w:rPr>
                <w:rFonts w:cs="Arial"/>
                <w:sz w:val="24"/>
                <w:szCs w:val="24"/>
                <w:lang w:val="en-GB"/>
              </w:rPr>
            </w:pPr>
          </w:p>
        </w:tc>
      </w:tr>
      <w:tr w:rsidR="0037309C" w:rsidRPr="00483725" w:rsidTr="00A427B2">
        <w:tc>
          <w:tcPr>
            <w:tcW w:w="9889" w:type="dxa"/>
            <w:gridSpan w:val="3"/>
            <w:shd w:val="clear" w:color="auto" w:fill="auto"/>
          </w:tcPr>
          <w:p w:rsidR="0037309C" w:rsidRPr="00483725" w:rsidRDefault="0037309C" w:rsidP="00A427B2">
            <w:pPr>
              <w:spacing w:before="0"/>
              <w:jc w:val="left"/>
              <w:rPr>
                <w:sz w:val="24"/>
                <w:szCs w:val="24"/>
              </w:rPr>
            </w:pPr>
          </w:p>
        </w:tc>
      </w:tr>
      <w:tr w:rsidR="0037309C" w:rsidRPr="00483725" w:rsidTr="00A427B2">
        <w:tc>
          <w:tcPr>
            <w:tcW w:w="9889" w:type="dxa"/>
            <w:gridSpan w:val="3"/>
            <w:shd w:val="clear" w:color="auto" w:fill="auto"/>
          </w:tcPr>
          <w:p w:rsidR="00D21694" w:rsidRPr="00483725" w:rsidRDefault="0037309C" w:rsidP="000B43C7">
            <w:pPr>
              <w:spacing w:before="0"/>
              <w:jc w:val="left"/>
              <w:rPr>
                <w:b/>
                <w:bCs/>
                <w:sz w:val="24"/>
                <w:szCs w:val="24"/>
              </w:rPr>
            </w:pPr>
            <w:r w:rsidRPr="00483725">
              <w:rPr>
                <w:b/>
                <w:bCs/>
                <w:sz w:val="24"/>
                <w:szCs w:val="24"/>
              </w:rPr>
              <w:t>To Administrati</w:t>
            </w:r>
            <w:r w:rsidR="00F15D95" w:rsidRPr="00483725">
              <w:rPr>
                <w:b/>
                <w:bCs/>
                <w:sz w:val="24"/>
                <w:szCs w:val="24"/>
              </w:rPr>
              <w:t>ons of Member States of the ITU</w:t>
            </w:r>
            <w:r w:rsidR="008E49C4" w:rsidRPr="00483725">
              <w:rPr>
                <w:b/>
                <w:bCs/>
                <w:sz w:val="24"/>
                <w:szCs w:val="24"/>
              </w:rPr>
              <w:t xml:space="preserve"> and</w:t>
            </w:r>
            <w:r w:rsidR="008E49C4" w:rsidRPr="00483725">
              <w:rPr>
                <w:b/>
                <w:bCs/>
                <w:sz w:val="24"/>
                <w:szCs w:val="24"/>
              </w:rPr>
              <w:br/>
              <w:t>Radiocommunication Sector Members</w:t>
            </w:r>
          </w:p>
          <w:p w:rsidR="00D21694" w:rsidRPr="00483725" w:rsidRDefault="00D21694" w:rsidP="00F52B83">
            <w:pPr>
              <w:spacing w:before="0"/>
              <w:rPr>
                <w:b/>
                <w:bCs/>
                <w:sz w:val="24"/>
                <w:szCs w:val="24"/>
              </w:rPr>
            </w:pPr>
          </w:p>
        </w:tc>
      </w:tr>
      <w:tr w:rsidR="0037309C" w:rsidRPr="00483725" w:rsidTr="00A427B2">
        <w:tc>
          <w:tcPr>
            <w:tcW w:w="9889" w:type="dxa"/>
            <w:gridSpan w:val="3"/>
            <w:shd w:val="clear" w:color="auto" w:fill="auto"/>
          </w:tcPr>
          <w:p w:rsidR="0037309C" w:rsidRPr="00483725" w:rsidRDefault="0037309C" w:rsidP="006047E5">
            <w:pPr>
              <w:spacing w:before="0"/>
              <w:jc w:val="left"/>
              <w:rPr>
                <w:sz w:val="24"/>
                <w:szCs w:val="24"/>
              </w:rPr>
            </w:pPr>
          </w:p>
        </w:tc>
      </w:tr>
      <w:tr w:rsidR="0037309C" w:rsidRPr="00483725" w:rsidTr="008A7BC2">
        <w:trPr>
          <w:trHeight w:val="323"/>
        </w:trPr>
        <w:tc>
          <w:tcPr>
            <w:tcW w:w="9889" w:type="dxa"/>
            <w:gridSpan w:val="3"/>
            <w:shd w:val="clear" w:color="auto" w:fill="auto"/>
          </w:tcPr>
          <w:p w:rsidR="0037309C" w:rsidRPr="00483725" w:rsidRDefault="0037309C" w:rsidP="006047E5">
            <w:pPr>
              <w:spacing w:before="0"/>
              <w:jc w:val="left"/>
              <w:rPr>
                <w:sz w:val="24"/>
                <w:szCs w:val="24"/>
              </w:rPr>
            </w:pPr>
          </w:p>
        </w:tc>
      </w:tr>
      <w:tr w:rsidR="00B4054B" w:rsidRPr="00483725" w:rsidTr="0037309C">
        <w:tc>
          <w:tcPr>
            <w:tcW w:w="1526" w:type="dxa"/>
            <w:shd w:val="clear" w:color="auto" w:fill="auto"/>
          </w:tcPr>
          <w:p w:rsidR="00B4054B" w:rsidRPr="00483725" w:rsidRDefault="00B4054B" w:rsidP="00A427B2">
            <w:pPr>
              <w:spacing w:before="0"/>
              <w:jc w:val="left"/>
              <w:rPr>
                <w:rFonts w:asciiTheme="minorHAnsi" w:hAnsiTheme="minorHAnsi"/>
                <w:sz w:val="24"/>
                <w:szCs w:val="24"/>
                <w:lang w:val="en-GB"/>
              </w:rPr>
            </w:pPr>
            <w:r w:rsidRPr="00483725">
              <w:rPr>
                <w:rFonts w:asciiTheme="minorHAnsi" w:hAnsiTheme="minorHAnsi"/>
                <w:sz w:val="24"/>
                <w:szCs w:val="24"/>
              </w:rPr>
              <w:t>Subject:</w:t>
            </w:r>
          </w:p>
        </w:tc>
        <w:tc>
          <w:tcPr>
            <w:tcW w:w="8363" w:type="dxa"/>
            <w:gridSpan w:val="2"/>
            <w:vMerge w:val="restart"/>
            <w:shd w:val="clear" w:color="auto" w:fill="auto"/>
          </w:tcPr>
          <w:p w:rsidR="009A2515" w:rsidRPr="00483725" w:rsidRDefault="008A7BC2" w:rsidP="00F52B83">
            <w:pPr>
              <w:spacing w:before="100" w:beforeAutospacing="1" w:after="100" w:afterAutospacing="1"/>
              <w:ind w:left="34" w:hanging="34"/>
              <w:jc w:val="left"/>
              <w:rPr>
                <w:rFonts w:asciiTheme="minorHAnsi" w:hAnsiTheme="minorHAnsi"/>
                <w:b/>
                <w:bCs/>
                <w:sz w:val="24"/>
                <w:szCs w:val="24"/>
                <w:lang w:val="en-GB"/>
              </w:rPr>
            </w:pPr>
            <w:r w:rsidRPr="00483725">
              <w:rPr>
                <w:rFonts w:asciiTheme="minorHAnsi" w:hAnsiTheme="minorHAnsi"/>
                <w:b/>
                <w:bCs/>
                <w:color w:val="000000"/>
                <w:sz w:val="24"/>
                <w:szCs w:val="24"/>
              </w:rPr>
              <w:t>Implementation of Decision 571 (modified 2014), to provide free online access to the Rules of Procedure to the general public on a permanent basis</w:t>
            </w:r>
          </w:p>
          <w:p w:rsidR="00B4054B" w:rsidRPr="00483725" w:rsidRDefault="00B4054B" w:rsidP="00F52B83">
            <w:pPr>
              <w:tabs>
                <w:tab w:val="clear" w:pos="794"/>
                <w:tab w:val="clear" w:pos="1191"/>
                <w:tab w:val="clear" w:pos="1588"/>
                <w:tab w:val="clear" w:pos="1985"/>
              </w:tabs>
              <w:spacing w:before="0"/>
              <w:jc w:val="left"/>
              <w:rPr>
                <w:rFonts w:asciiTheme="minorHAnsi" w:hAnsiTheme="minorHAnsi"/>
                <w:b/>
                <w:bCs/>
                <w:sz w:val="24"/>
                <w:szCs w:val="24"/>
                <w:lang w:val="en-GB"/>
              </w:rPr>
            </w:pPr>
          </w:p>
        </w:tc>
      </w:tr>
      <w:tr w:rsidR="00B4054B" w:rsidRPr="00483725" w:rsidTr="00A427B2">
        <w:tc>
          <w:tcPr>
            <w:tcW w:w="1526" w:type="dxa"/>
            <w:shd w:val="clear" w:color="auto" w:fill="auto"/>
          </w:tcPr>
          <w:p w:rsidR="00B4054B" w:rsidRPr="00483725" w:rsidRDefault="00B4054B" w:rsidP="00A427B2">
            <w:pPr>
              <w:spacing w:before="0"/>
              <w:jc w:val="left"/>
              <w:rPr>
                <w:rFonts w:asciiTheme="minorHAnsi" w:hAnsiTheme="minorHAnsi"/>
                <w:b/>
                <w:bCs/>
                <w:sz w:val="24"/>
                <w:szCs w:val="24"/>
                <w:lang w:val="en-GB"/>
              </w:rPr>
            </w:pPr>
          </w:p>
        </w:tc>
        <w:tc>
          <w:tcPr>
            <w:tcW w:w="8363" w:type="dxa"/>
            <w:gridSpan w:val="2"/>
            <w:vMerge/>
            <w:shd w:val="clear" w:color="auto" w:fill="auto"/>
          </w:tcPr>
          <w:p w:rsidR="00B4054B" w:rsidRPr="00483725" w:rsidRDefault="00B4054B" w:rsidP="00A427B2">
            <w:pPr>
              <w:spacing w:before="0"/>
              <w:rPr>
                <w:rFonts w:asciiTheme="minorHAnsi" w:hAnsiTheme="minorHAnsi"/>
                <w:b/>
                <w:bCs/>
                <w:sz w:val="24"/>
                <w:szCs w:val="24"/>
                <w:lang w:val="en-GB"/>
              </w:rPr>
            </w:pPr>
          </w:p>
        </w:tc>
      </w:tr>
      <w:tr w:rsidR="00B4054B" w:rsidRPr="00483725" w:rsidTr="00A427B2">
        <w:tc>
          <w:tcPr>
            <w:tcW w:w="1526" w:type="dxa"/>
            <w:shd w:val="clear" w:color="auto" w:fill="auto"/>
          </w:tcPr>
          <w:p w:rsidR="00B4054B" w:rsidRPr="00483725" w:rsidRDefault="00B4054B" w:rsidP="00A427B2">
            <w:pPr>
              <w:spacing w:before="0"/>
              <w:jc w:val="left"/>
              <w:rPr>
                <w:rFonts w:asciiTheme="minorHAnsi" w:hAnsiTheme="minorHAnsi"/>
                <w:b/>
                <w:bCs/>
                <w:sz w:val="24"/>
                <w:szCs w:val="24"/>
                <w:lang w:val="en-GB"/>
              </w:rPr>
            </w:pPr>
          </w:p>
        </w:tc>
        <w:tc>
          <w:tcPr>
            <w:tcW w:w="8363" w:type="dxa"/>
            <w:gridSpan w:val="2"/>
            <w:vMerge/>
            <w:shd w:val="clear" w:color="auto" w:fill="auto"/>
          </w:tcPr>
          <w:p w:rsidR="00B4054B" w:rsidRPr="00483725" w:rsidRDefault="00B4054B" w:rsidP="00A427B2">
            <w:pPr>
              <w:spacing w:before="0"/>
              <w:rPr>
                <w:rFonts w:asciiTheme="minorHAnsi" w:hAnsiTheme="minorHAnsi"/>
                <w:b/>
                <w:bCs/>
                <w:sz w:val="24"/>
                <w:szCs w:val="24"/>
                <w:lang w:val="en-GB"/>
              </w:rPr>
            </w:pPr>
          </w:p>
        </w:tc>
      </w:tr>
      <w:tr w:rsidR="00C51E92" w:rsidRPr="00483725" w:rsidTr="00A427B2">
        <w:tc>
          <w:tcPr>
            <w:tcW w:w="9889" w:type="dxa"/>
            <w:gridSpan w:val="3"/>
            <w:shd w:val="clear" w:color="auto" w:fill="auto"/>
          </w:tcPr>
          <w:p w:rsidR="00C51E92" w:rsidRPr="00483725" w:rsidRDefault="00C51E92" w:rsidP="00A427B2">
            <w:pPr>
              <w:spacing w:before="0"/>
              <w:jc w:val="left"/>
              <w:rPr>
                <w:rFonts w:asciiTheme="minorHAnsi" w:hAnsiTheme="minorHAnsi"/>
                <w:b/>
                <w:bCs/>
                <w:sz w:val="24"/>
                <w:szCs w:val="24"/>
              </w:rPr>
            </w:pPr>
          </w:p>
        </w:tc>
      </w:tr>
      <w:tr w:rsidR="00C51E92" w:rsidRPr="00483725" w:rsidTr="009A2515">
        <w:trPr>
          <w:trHeight w:val="80"/>
        </w:trPr>
        <w:tc>
          <w:tcPr>
            <w:tcW w:w="9889" w:type="dxa"/>
            <w:gridSpan w:val="3"/>
            <w:shd w:val="clear" w:color="auto" w:fill="auto"/>
          </w:tcPr>
          <w:p w:rsidR="00C51E92" w:rsidRPr="00483725" w:rsidRDefault="00C51E92" w:rsidP="00A427B2">
            <w:pPr>
              <w:spacing w:before="0"/>
              <w:jc w:val="left"/>
              <w:rPr>
                <w:rFonts w:asciiTheme="minorHAnsi" w:hAnsiTheme="minorHAnsi"/>
                <w:b/>
                <w:bCs/>
                <w:sz w:val="24"/>
                <w:szCs w:val="24"/>
              </w:rPr>
            </w:pPr>
          </w:p>
        </w:tc>
      </w:tr>
    </w:tbl>
    <w:p w:rsidR="008A7BC2" w:rsidRPr="00483725" w:rsidRDefault="008A7BC2" w:rsidP="006305CF">
      <w:pPr>
        <w:spacing w:before="240"/>
        <w:rPr>
          <w:rFonts w:asciiTheme="minorHAnsi" w:hAnsiTheme="minorHAnsi"/>
          <w:color w:val="000000"/>
          <w:sz w:val="24"/>
          <w:szCs w:val="24"/>
        </w:rPr>
      </w:pPr>
      <w:r w:rsidRPr="00483725">
        <w:rPr>
          <w:rFonts w:asciiTheme="minorHAnsi" w:hAnsiTheme="minorHAnsi"/>
          <w:color w:val="000000"/>
          <w:sz w:val="24"/>
          <w:szCs w:val="24"/>
        </w:rPr>
        <w:t xml:space="preserve">ITU Council in its 2014 session, at the seventh Plenary Meeting,  revised and adopted Decision 571 (modified 2014), deciding </w:t>
      </w:r>
      <w:r w:rsidRPr="00483725">
        <w:rPr>
          <w:rFonts w:asciiTheme="minorHAnsi" w:hAnsiTheme="minorHAnsi"/>
          <w:i/>
          <w:iCs/>
          <w:color w:val="000000"/>
          <w:sz w:val="24"/>
          <w:szCs w:val="24"/>
        </w:rPr>
        <w:t>inter alia</w:t>
      </w:r>
      <w:r w:rsidRPr="00483725">
        <w:rPr>
          <w:rFonts w:asciiTheme="minorHAnsi" w:hAnsiTheme="minorHAnsi"/>
          <w:color w:val="000000"/>
          <w:sz w:val="24"/>
          <w:szCs w:val="24"/>
        </w:rPr>
        <w:t xml:space="preserve">  to provide free online access to the gene</w:t>
      </w:r>
      <w:r w:rsidR="004B49CC" w:rsidRPr="00483725">
        <w:rPr>
          <w:rFonts w:asciiTheme="minorHAnsi" w:hAnsiTheme="minorHAnsi"/>
          <w:color w:val="000000"/>
          <w:sz w:val="24"/>
          <w:szCs w:val="24"/>
        </w:rPr>
        <w:t xml:space="preserve">ral public on a permanent basis </w:t>
      </w:r>
      <w:r w:rsidRPr="00483725">
        <w:rPr>
          <w:rFonts w:asciiTheme="minorHAnsi" w:hAnsiTheme="minorHAnsi"/>
          <w:color w:val="000000"/>
          <w:sz w:val="24"/>
          <w:szCs w:val="24"/>
        </w:rPr>
        <w:t>to the Rules of Procedure</w:t>
      </w:r>
      <w:r w:rsidRPr="006305CF">
        <w:rPr>
          <w:rFonts w:asciiTheme="minorHAnsi" w:hAnsiTheme="minorHAnsi"/>
          <w:sz w:val="24"/>
          <w:szCs w:val="24"/>
        </w:rPr>
        <w:t>,</w:t>
      </w:r>
      <w:r w:rsidR="006305CF">
        <w:rPr>
          <w:rFonts w:asciiTheme="minorHAnsi" w:hAnsiTheme="minorHAnsi"/>
          <w:color w:val="1F497D"/>
          <w:sz w:val="24"/>
          <w:szCs w:val="24"/>
        </w:rPr>
        <w:t> </w:t>
      </w:r>
      <w:r w:rsidRPr="00483725">
        <w:rPr>
          <w:rFonts w:asciiTheme="minorHAnsi" w:hAnsiTheme="minorHAnsi"/>
          <w:sz w:val="24"/>
          <w:szCs w:val="24"/>
        </w:rPr>
        <w:t>RoP</w:t>
      </w:r>
      <w:r w:rsidR="00F52B83" w:rsidRPr="00483725">
        <w:rPr>
          <w:rFonts w:asciiTheme="minorHAnsi" w:hAnsiTheme="minorHAnsi"/>
          <w:color w:val="1F497D"/>
          <w:sz w:val="24"/>
          <w:szCs w:val="24"/>
        </w:rPr>
        <w:t xml:space="preserve"> </w:t>
      </w:r>
      <w:r w:rsidRPr="00483725">
        <w:rPr>
          <w:rFonts w:asciiTheme="minorHAnsi" w:hAnsiTheme="minorHAnsi"/>
          <w:color w:val="1F497D"/>
          <w:sz w:val="24"/>
          <w:szCs w:val="24"/>
        </w:rPr>
        <w:t>(</w:t>
      </w:r>
      <w:r w:rsidRPr="00483725">
        <w:rPr>
          <w:rFonts w:asciiTheme="minorHAnsi" w:hAnsiTheme="minorHAnsi"/>
          <w:color w:val="000000"/>
          <w:sz w:val="24"/>
          <w:szCs w:val="24"/>
        </w:rPr>
        <w:t>for the application by the Radiocommunication Bureau of the provisions of the Radio Regulation</w:t>
      </w:r>
      <w:r w:rsidR="00F52B83" w:rsidRPr="00483725">
        <w:rPr>
          <w:rFonts w:asciiTheme="minorHAnsi" w:hAnsiTheme="minorHAnsi"/>
          <w:color w:val="000000"/>
          <w:sz w:val="24"/>
          <w:szCs w:val="24"/>
        </w:rPr>
        <w:t>s</w:t>
      </w:r>
      <w:r w:rsidRPr="00483725">
        <w:rPr>
          <w:rFonts w:asciiTheme="minorHAnsi" w:hAnsiTheme="minorHAnsi"/>
          <w:color w:val="000000"/>
          <w:sz w:val="24"/>
          <w:szCs w:val="24"/>
        </w:rPr>
        <w:t>)</w:t>
      </w:r>
      <w:r w:rsidR="00487705" w:rsidRPr="00483725">
        <w:rPr>
          <w:rFonts w:asciiTheme="minorHAnsi" w:hAnsiTheme="minorHAnsi"/>
          <w:color w:val="000000"/>
          <w:sz w:val="24"/>
          <w:szCs w:val="24"/>
        </w:rPr>
        <w:t>.</w:t>
      </w:r>
    </w:p>
    <w:p w:rsidR="008A7BC2" w:rsidRPr="00483725" w:rsidRDefault="008A7BC2" w:rsidP="00D14A53">
      <w:pPr>
        <w:spacing w:before="240"/>
        <w:rPr>
          <w:rFonts w:asciiTheme="minorHAnsi" w:hAnsiTheme="minorHAnsi"/>
          <w:color w:val="000000"/>
          <w:sz w:val="24"/>
          <w:szCs w:val="24"/>
        </w:rPr>
      </w:pPr>
      <w:r w:rsidRPr="00483725">
        <w:rPr>
          <w:rFonts w:asciiTheme="minorHAnsi" w:hAnsiTheme="minorHAnsi"/>
          <w:color w:val="000000"/>
          <w:sz w:val="24"/>
          <w:szCs w:val="24"/>
        </w:rPr>
        <w:t xml:space="preserve">In compliance with this decision, I am glad to inform that RoP are now available on the above conditions, for all UN languages, on the pertinent web site: </w:t>
      </w:r>
      <w:hyperlink r:id="rId8" w:history="1">
        <w:r w:rsidRPr="00483725">
          <w:rPr>
            <w:rStyle w:val="Hyperlink"/>
            <w:rFonts w:asciiTheme="minorHAnsi" w:hAnsiTheme="minorHAnsi"/>
            <w:sz w:val="24"/>
            <w:szCs w:val="24"/>
          </w:rPr>
          <w:t>https://www.itu.int/pub/R-REG-ROP/en</w:t>
        </w:r>
      </w:hyperlink>
      <w:r w:rsidR="00923562">
        <w:rPr>
          <w:rStyle w:val="Hyperlink"/>
          <w:rFonts w:asciiTheme="minorHAnsi" w:hAnsiTheme="minorHAnsi"/>
          <w:sz w:val="24"/>
          <w:szCs w:val="24"/>
        </w:rPr>
        <w:t>.</w:t>
      </w:r>
    </w:p>
    <w:p w:rsidR="008A7BC2" w:rsidRPr="00483725" w:rsidRDefault="008A7BC2" w:rsidP="00B32D59">
      <w:pPr>
        <w:rPr>
          <w:rFonts w:asciiTheme="minorHAnsi" w:hAnsiTheme="minorHAnsi"/>
          <w:color w:val="000000"/>
          <w:sz w:val="24"/>
          <w:szCs w:val="24"/>
        </w:rPr>
      </w:pPr>
      <w:r w:rsidRPr="00483725">
        <w:rPr>
          <w:rFonts w:asciiTheme="minorHAnsi" w:hAnsiTheme="minorHAnsi"/>
          <w:color w:val="000000"/>
          <w:sz w:val="24"/>
          <w:szCs w:val="24"/>
        </w:rPr>
        <w:t xml:space="preserve">The Bureau remains at the disposal of </w:t>
      </w:r>
      <w:r w:rsidR="00B32D59">
        <w:rPr>
          <w:rFonts w:asciiTheme="minorHAnsi" w:hAnsiTheme="minorHAnsi"/>
          <w:color w:val="000000"/>
          <w:sz w:val="24"/>
          <w:szCs w:val="24"/>
        </w:rPr>
        <w:t>the membership</w:t>
      </w:r>
      <w:r w:rsidRPr="00483725">
        <w:rPr>
          <w:rFonts w:asciiTheme="minorHAnsi" w:hAnsiTheme="minorHAnsi"/>
          <w:color w:val="000000"/>
          <w:sz w:val="24"/>
          <w:szCs w:val="24"/>
        </w:rPr>
        <w:t xml:space="preserve"> for any further clarification you may need in this respect</w:t>
      </w:r>
      <w:r w:rsidR="00F52B83" w:rsidRPr="00483725">
        <w:rPr>
          <w:rFonts w:asciiTheme="minorHAnsi" w:hAnsiTheme="minorHAnsi"/>
          <w:color w:val="000000"/>
          <w:sz w:val="24"/>
          <w:szCs w:val="24"/>
        </w:rPr>
        <w:t>.</w:t>
      </w:r>
    </w:p>
    <w:p w:rsidR="008A7BC2" w:rsidRPr="00483725" w:rsidRDefault="008A7BC2" w:rsidP="008A7BC2">
      <w:pPr>
        <w:rPr>
          <w:rFonts w:asciiTheme="minorHAnsi" w:hAnsiTheme="minorHAnsi" w:cstheme="minorHAnsi"/>
          <w:sz w:val="24"/>
          <w:szCs w:val="24"/>
        </w:rPr>
      </w:pPr>
    </w:p>
    <w:p w:rsidR="008A7BC2" w:rsidRPr="00483725" w:rsidRDefault="008A7BC2" w:rsidP="008A7BC2">
      <w:pPr>
        <w:rPr>
          <w:rFonts w:asciiTheme="minorHAnsi" w:hAnsiTheme="minorHAnsi" w:cstheme="minorHAnsi"/>
          <w:sz w:val="24"/>
          <w:szCs w:val="24"/>
        </w:rPr>
      </w:pPr>
    </w:p>
    <w:p w:rsidR="008A7BC2" w:rsidRPr="00B32D59" w:rsidRDefault="008A7BC2" w:rsidP="008A7BC2">
      <w:pPr>
        <w:spacing w:before="0" w:line="240" w:lineRule="auto"/>
        <w:jc w:val="left"/>
        <w:rPr>
          <w:rFonts w:asciiTheme="minorHAnsi" w:hAnsiTheme="minorHAnsi" w:cstheme="minorHAnsi"/>
          <w:sz w:val="24"/>
          <w:szCs w:val="24"/>
          <w:lang w:val="fr-FR"/>
        </w:rPr>
      </w:pPr>
      <w:r w:rsidRPr="00B32D59">
        <w:rPr>
          <w:rFonts w:asciiTheme="minorHAnsi" w:hAnsiTheme="minorHAnsi" w:cstheme="minorHAnsi"/>
          <w:sz w:val="24"/>
          <w:szCs w:val="24"/>
          <w:lang w:val="fr-FR"/>
        </w:rPr>
        <w:t>François Rancy</w:t>
      </w:r>
    </w:p>
    <w:p w:rsidR="008A7BC2" w:rsidRPr="00B32D59" w:rsidRDefault="008A7BC2" w:rsidP="008A7BC2">
      <w:pPr>
        <w:spacing w:before="0" w:line="240" w:lineRule="auto"/>
        <w:jc w:val="left"/>
        <w:rPr>
          <w:rFonts w:asciiTheme="minorHAnsi" w:hAnsiTheme="minorHAnsi" w:cstheme="minorHAnsi"/>
          <w:sz w:val="24"/>
          <w:szCs w:val="24"/>
          <w:lang w:val="fr-FR"/>
        </w:rPr>
      </w:pPr>
      <w:r w:rsidRPr="00B32D59">
        <w:rPr>
          <w:rFonts w:asciiTheme="minorHAnsi" w:hAnsiTheme="minorHAnsi" w:cstheme="minorHAnsi"/>
          <w:sz w:val="24"/>
          <w:szCs w:val="24"/>
          <w:lang w:val="fr-FR"/>
        </w:rPr>
        <w:t>Director</w:t>
      </w:r>
    </w:p>
    <w:p w:rsidR="008A7BC2" w:rsidRPr="00B32D59" w:rsidRDefault="008A7BC2" w:rsidP="008A7BC2">
      <w:pPr>
        <w:spacing w:before="0" w:line="240" w:lineRule="auto"/>
        <w:jc w:val="left"/>
        <w:rPr>
          <w:rFonts w:asciiTheme="minorHAnsi" w:hAnsiTheme="minorHAnsi" w:cstheme="minorHAnsi"/>
          <w:sz w:val="24"/>
          <w:szCs w:val="24"/>
          <w:lang w:val="fr-FR"/>
        </w:rPr>
      </w:pPr>
    </w:p>
    <w:p w:rsidR="00D406FF" w:rsidRPr="00B32D59" w:rsidRDefault="00D406FF" w:rsidP="008A7BC2">
      <w:pPr>
        <w:spacing w:before="0" w:line="240" w:lineRule="auto"/>
        <w:jc w:val="left"/>
        <w:rPr>
          <w:rFonts w:asciiTheme="minorHAnsi" w:hAnsiTheme="minorHAnsi" w:cstheme="minorHAnsi"/>
          <w:sz w:val="24"/>
          <w:szCs w:val="24"/>
          <w:lang w:val="fr-FR"/>
        </w:rPr>
      </w:pPr>
    </w:p>
    <w:p w:rsidR="008A7BC2" w:rsidRPr="00B32D59" w:rsidRDefault="008A7BC2" w:rsidP="008A7BC2">
      <w:pPr>
        <w:spacing w:before="0" w:line="240" w:lineRule="auto"/>
        <w:jc w:val="left"/>
        <w:rPr>
          <w:rFonts w:asciiTheme="minorHAnsi" w:hAnsiTheme="minorHAnsi" w:cstheme="minorHAnsi"/>
          <w:sz w:val="24"/>
          <w:szCs w:val="24"/>
          <w:lang w:val="fr-FR"/>
        </w:rPr>
      </w:pPr>
      <w:r w:rsidRPr="00B32D59">
        <w:rPr>
          <w:rFonts w:asciiTheme="minorHAnsi" w:hAnsiTheme="minorHAnsi" w:cstheme="minorHAnsi"/>
          <w:sz w:val="24"/>
          <w:szCs w:val="24"/>
          <w:lang w:val="fr-FR"/>
        </w:rPr>
        <w:t xml:space="preserve">Annex :  </w:t>
      </w:r>
      <w:r w:rsidRPr="00B32D59">
        <w:rPr>
          <w:rFonts w:asciiTheme="minorHAnsi" w:hAnsiTheme="minorHAnsi"/>
          <w:sz w:val="24"/>
          <w:szCs w:val="24"/>
          <w:lang w:val="fr-FR" w:eastAsia="zh-CN"/>
        </w:rPr>
        <w:t>Document C14/97-E, Decision 571 (modified 2014)</w:t>
      </w:r>
    </w:p>
    <w:p w:rsidR="00733EA7" w:rsidRPr="00B32D59" w:rsidRDefault="00733EA7" w:rsidP="00DB1B9D">
      <w:pPr>
        <w:spacing w:before="0" w:line="240" w:lineRule="auto"/>
        <w:jc w:val="left"/>
        <w:rPr>
          <w:rFonts w:asciiTheme="minorHAnsi" w:hAnsiTheme="minorHAnsi" w:cstheme="minorHAnsi"/>
          <w:sz w:val="24"/>
          <w:szCs w:val="24"/>
          <w:lang w:val="fr-FR"/>
        </w:rPr>
      </w:pPr>
    </w:p>
    <w:p w:rsidR="002B19CE" w:rsidRPr="00B32D59" w:rsidRDefault="002B19CE" w:rsidP="00D42022">
      <w:pPr>
        <w:spacing w:before="0" w:line="240" w:lineRule="auto"/>
        <w:jc w:val="left"/>
        <w:rPr>
          <w:rFonts w:asciiTheme="minorHAnsi" w:hAnsiTheme="minorHAnsi" w:cstheme="minorHAnsi"/>
          <w:b/>
          <w:bCs/>
          <w:sz w:val="18"/>
          <w:szCs w:val="18"/>
          <w:lang w:val="fr-FR"/>
        </w:rPr>
      </w:pPr>
    </w:p>
    <w:p w:rsidR="00D42022" w:rsidRDefault="00A11D6F" w:rsidP="00D42022">
      <w:pPr>
        <w:spacing w:before="0" w:line="240" w:lineRule="auto"/>
        <w:jc w:val="left"/>
        <w:rPr>
          <w:rFonts w:asciiTheme="minorHAnsi" w:hAnsiTheme="minorHAnsi" w:cstheme="minorHAnsi"/>
          <w:b/>
          <w:bCs/>
          <w:sz w:val="18"/>
          <w:szCs w:val="18"/>
        </w:rPr>
      </w:pPr>
      <w:r w:rsidRPr="00733EA7">
        <w:rPr>
          <w:rFonts w:asciiTheme="minorHAnsi" w:hAnsiTheme="minorHAnsi" w:cstheme="minorHAnsi"/>
          <w:b/>
          <w:bCs/>
          <w:sz w:val="18"/>
          <w:szCs w:val="18"/>
        </w:rPr>
        <w:t>Distribution :</w:t>
      </w:r>
    </w:p>
    <w:p w:rsidR="002B19CE" w:rsidRPr="002B19CE" w:rsidRDefault="002B19CE" w:rsidP="002B19CE">
      <w:pPr>
        <w:tabs>
          <w:tab w:val="clear" w:pos="794"/>
          <w:tab w:val="clear" w:pos="1191"/>
          <w:tab w:val="clear" w:pos="1588"/>
          <w:tab w:val="clear" w:pos="1985"/>
          <w:tab w:val="center" w:pos="6237"/>
        </w:tabs>
        <w:spacing w:before="0" w:line="240" w:lineRule="auto"/>
        <w:rPr>
          <w:sz w:val="18"/>
          <w:szCs w:val="18"/>
          <w:u w:val="single"/>
        </w:rPr>
      </w:pPr>
    </w:p>
    <w:p w:rsidR="002B19CE" w:rsidRPr="00107F3F" w:rsidRDefault="002B19CE" w:rsidP="002B19CE">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t>Administrations of Member States of the ITU</w:t>
      </w:r>
    </w:p>
    <w:p w:rsidR="002B19CE" w:rsidRPr="00107F3F" w:rsidRDefault="002B19CE" w:rsidP="002B19CE">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t>Radiocommunication Sector Members</w:t>
      </w:r>
    </w:p>
    <w:p w:rsidR="002B19CE" w:rsidRPr="00107F3F" w:rsidRDefault="002B19CE" w:rsidP="002B19CE">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Chairmen and Vice-Chairmen of Radiocommunication Study Groups and</w:t>
      </w:r>
    </w:p>
    <w:p w:rsidR="002B19CE" w:rsidRPr="00107F3F" w:rsidRDefault="002B19CE" w:rsidP="002B19CE">
      <w:pPr>
        <w:tabs>
          <w:tab w:val="clear" w:pos="794"/>
          <w:tab w:val="left" w:pos="284"/>
        </w:tabs>
        <w:spacing w:before="0" w:line="240" w:lineRule="auto"/>
        <w:rPr>
          <w:sz w:val="18"/>
          <w:szCs w:val="18"/>
        </w:rPr>
      </w:pPr>
      <w:r w:rsidRPr="00107F3F">
        <w:rPr>
          <w:sz w:val="18"/>
          <w:szCs w:val="18"/>
        </w:rPr>
        <w:tab/>
        <w:t>Special Committee on Regulatory/Procedural Matters</w:t>
      </w:r>
    </w:p>
    <w:p w:rsidR="002B19CE" w:rsidRPr="00107F3F" w:rsidRDefault="002B19CE" w:rsidP="002B19CE">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Chairman and Vice-Chairmen of the Radiocommunication Advisory Group</w:t>
      </w:r>
    </w:p>
    <w:p w:rsidR="002B19CE" w:rsidRPr="00107F3F" w:rsidRDefault="002B19CE" w:rsidP="002B19CE">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t>Chairman and Vice-Chairmen of the Conference Preparatory Meeting</w:t>
      </w:r>
    </w:p>
    <w:p w:rsidR="002B19CE" w:rsidRPr="00107F3F" w:rsidRDefault="002B19CE" w:rsidP="002B19CE">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Members of the Radio Regulations Board</w:t>
      </w:r>
    </w:p>
    <w:p w:rsidR="002B19CE" w:rsidRPr="00107F3F" w:rsidRDefault="002B19CE" w:rsidP="002B19CE">
      <w:pPr>
        <w:pStyle w:val="Footer"/>
        <w:tabs>
          <w:tab w:val="left" w:pos="284"/>
          <w:tab w:val="left" w:pos="1191"/>
          <w:tab w:val="left" w:pos="1588"/>
          <w:tab w:val="left" w:pos="1985"/>
        </w:tabs>
        <w:spacing w:before="0" w:line="240" w:lineRule="auto"/>
        <w:rPr>
          <w:caps/>
          <w:sz w:val="18"/>
          <w:szCs w:val="18"/>
        </w:rPr>
      </w:pPr>
      <w:r w:rsidRPr="00107F3F">
        <w:rPr>
          <w:caps/>
          <w:sz w:val="18"/>
          <w:szCs w:val="18"/>
        </w:rPr>
        <w:sym w:font="Symbol" w:char="F02D"/>
      </w:r>
      <w:r w:rsidRPr="00107F3F">
        <w:rPr>
          <w:caps/>
          <w:sz w:val="18"/>
          <w:szCs w:val="18"/>
        </w:rPr>
        <w:tab/>
      </w:r>
      <w:r w:rsidR="008B6EA9">
        <w:rPr>
          <w:sz w:val="18"/>
          <w:szCs w:val="18"/>
        </w:rPr>
        <w:t>Secretary-General of t</w:t>
      </w:r>
      <w:r w:rsidRPr="00107F3F">
        <w:rPr>
          <w:sz w:val="18"/>
          <w:szCs w:val="18"/>
        </w:rPr>
        <w:t>he ITU, Director of the Telecommunication Standardization Bureau</w:t>
      </w:r>
      <w:r w:rsidRPr="00107F3F">
        <w:rPr>
          <w:caps/>
          <w:sz w:val="18"/>
          <w:szCs w:val="18"/>
        </w:rPr>
        <w:t>,</w:t>
      </w:r>
    </w:p>
    <w:p w:rsidR="006C5ACA" w:rsidRDefault="002B19CE" w:rsidP="006C5ACA">
      <w:pPr>
        <w:tabs>
          <w:tab w:val="clear" w:pos="794"/>
          <w:tab w:val="left" w:pos="284"/>
        </w:tabs>
        <w:spacing w:before="0" w:line="240" w:lineRule="auto"/>
        <w:jc w:val="left"/>
        <w:rPr>
          <w:sz w:val="18"/>
          <w:szCs w:val="18"/>
        </w:rPr>
        <w:sectPr w:rsidR="006C5ACA" w:rsidSect="00246A34">
          <w:headerReference w:type="even" r:id="rId9"/>
          <w:headerReference w:type="default" r:id="rId10"/>
          <w:headerReference w:type="first" r:id="rId11"/>
          <w:footerReference w:type="first" r:id="rId12"/>
          <w:pgSz w:w="11907" w:h="16834" w:code="9"/>
          <w:pgMar w:top="1560" w:right="1134" w:bottom="993" w:left="1134" w:header="567" w:footer="397" w:gutter="0"/>
          <w:cols w:space="720"/>
          <w:titlePg/>
        </w:sectPr>
      </w:pPr>
      <w:r w:rsidRPr="00107F3F">
        <w:rPr>
          <w:sz w:val="18"/>
          <w:szCs w:val="18"/>
        </w:rPr>
        <w:tab/>
        <w:t>Director of the Telecommunication Development Bureau</w:t>
      </w:r>
    </w:p>
    <w:tbl>
      <w:tblPr>
        <w:tblpPr w:leftFromText="180" w:rightFromText="180" w:vertAnchor="page" w:horzAnchor="margin" w:tblpY="1290"/>
        <w:tblW w:w="10031" w:type="dxa"/>
        <w:tblLayout w:type="fixed"/>
        <w:tblLook w:val="0000" w:firstRow="0" w:lastRow="0" w:firstColumn="0" w:lastColumn="0" w:noHBand="0" w:noVBand="0"/>
      </w:tblPr>
      <w:tblGrid>
        <w:gridCol w:w="6911"/>
        <w:gridCol w:w="3120"/>
      </w:tblGrid>
      <w:tr w:rsidR="006C5ACA" w:rsidRPr="006C5ACA" w:rsidTr="006C5ACA">
        <w:trPr>
          <w:cantSplit/>
        </w:trPr>
        <w:tc>
          <w:tcPr>
            <w:tcW w:w="6911" w:type="dxa"/>
          </w:tcPr>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360" w:after="48" w:line="240" w:lineRule="atLeast"/>
              <w:jc w:val="left"/>
              <w:rPr>
                <w:rFonts w:cs="Times New Roman"/>
                <w:position w:val="6"/>
                <w:sz w:val="24"/>
                <w:szCs w:val="20"/>
                <w:lang w:val="en-GB"/>
              </w:rPr>
            </w:pPr>
            <w:bookmarkStart w:id="1" w:name="dc06"/>
            <w:bookmarkEnd w:id="1"/>
            <w:r w:rsidRPr="006C5ACA">
              <w:rPr>
                <w:rFonts w:cs="Times New Roman"/>
                <w:b/>
                <w:bCs/>
                <w:position w:val="6"/>
                <w:sz w:val="30"/>
                <w:szCs w:val="30"/>
                <w:lang w:val="en-GB"/>
              </w:rPr>
              <w:lastRenderedPageBreak/>
              <w:t>Council 2014</w:t>
            </w:r>
            <w:r w:rsidRPr="006C5ACA">
              <w:rPr>
                <w:rFonts w:cs="Times"/>
                <w:b/>
                <w:position w:val="6"/>
                <w:sz w:val="26"/>
                <w:szCs w:val="26"/>
                <w:lang w:val="en-GB"/>
              </w:rPr>
              <w:br/>
            </w:r>
            <w:r w:rsidRPr="006C5ACA">
              <w:rPr>
                <w:rFonts w:cs="Times New Roman"/>
                <w:b/>
                <w:bCs/>
                <w:position w:val="6"/>
                <w:sz w:val="24"/>
                <w:szCs w:val="24"/>
                <w:lang w:val="en-GB"/>
              </w:rPr>
              <w:t>Geneva, 6-15 May 2014</w:t>
            </w:r>
          </w:p>
        </w:tc>
        <w:tc>
          <w:tcPr>
            <w:tcW w:w="3120" w:type="dxa"/>
          </w:tcPr>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0" w:line="240" w:lineRule="atLeast"/>
              <w:jc w:val="left"/>
              <w:rPr>
                <w:rFonts w:cs="Times New Roman"/>
                <w:sz w:val="24"/>
                <w:szCs w:val="20"/>
                <w:lang w:val="en-GB"/>
              </w:rPr>
            </w:pPr>
            <w:bookmarkStart w:id="2" w:name="ditulogo"/>
            <w:bookmarkEnd w:id="2"/>
            <w:r w:rsidRPr="006C5ACA">
              <w:rPr>
                <w:rFonts w:cs="Times New Roman"/>
                <w:noProof/>
                <w:sz w:val="24"/>
                <w:szCs w:val="20"/>
              </w:rPr>
              <w:drawing>
                <wp:inline distT="0" distB="0" distL="0" distR="0" wp14:anchorId="6DDAEEC1" wp14:editId="03064459">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C5ACA" w:rsidRPr="006C5ACA" w:rsidTr="006C5ACA">
        <w:trPr>
          <w:cantSplit/>
        </w:trPr>
        <w:tc>
          <w:tcPr>
            <w:tcW w:w="6911" w:type="dxa"/>
            <w:tcBorders>
              <w:bottom w:val="single" w:sz="12" w:space="0" w:color="auto"/>
            </w:tcBorders>
          </w:tcPr>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0" w:after="48" w:line="240" w:lineRule="atLeast"/>
              <w:jc w:val="left"/>
              <w:rPr>
                <w:rFonts w:cs="Times New Roman"/>
                <w:b/>
                <w:smallCaps/>
                <w:sz w:val="24"/>
                <w:szCs w:val="24"/>
                <w:lang w:val="en-GB"/>
              </w:rPr>
            </w:pPr>
          </w:p>
        </w:tc>
        <w:tc>
          <w:tcPr>
            <w:tcW w:w="3120" w:type="dxa"/>
            <w:tcBorders>
              <w:bottom w:val="single" w:sz="12" w:space="0" w:color="auto"/>
            </w:tcBorders>
          </w:tcPr>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0" w:line="240" w:lineRule="atLeast"/>
              <w:jc w:val="left"/>
              <w:rPr>
                <w:rFonts w:cs="Times New Roman"/>
                <w:sz w:val="24"/>
                <w:szCs w:val="24"/>
                <w:lang w:val="en-GB"/>
              </w:rPr>
            </w:pPr>
          </w:p>
        </w:tc>
      </w:tr>
      <w:tr w:rsidR="006C5ACA" w:rsidRPr="006C5ACA" w:rsidTr="006C5ACA">
        <w:trPr>
          <w:cantSplit/>
        </w:trPr>
        <w:tc>
          <w:tcPr>
            <w:tcW w:w="6911" w:type="dxa"/>
            <w:tcBorders>
              <w:top w:val="single" w:sz="12" w:space="0" w:color="auto"/>
            </w:tcBorders>
          </w:tcPr>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0" w:after="48" w:line="240" w:lineRule="atLeast"/>
              <w:jc w:val="left"/>
              <w:rPr>
                <w:rFonts w:cs="Times New Roman"/>
                <w:b/>
                <w:smallCaps/>
                <w:sz w:val="24"/>
                <w:szCs w:val="24"/>
                <w:lang w:val="en-GB"/>
              </w:rPr>
            </w:pPr>
          </w:p>
        </w:tc>
        <w:tc>
          <w:tcPr>
            <w:tcW w:w="3120" w:type="dxa"/>
            <w:tcBorders>
              <w:top w:val="single" w:sz="12" w:space="0" w:color="auto"/>
            </w:tcBorders>
          </w:tcPr>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0" w:line="240" w:lineRule="atLeast"/>
              <w:jc w:val="left"/>
              <w:rPr>
                <w:rFonts w:cs="Times New Roman"/>
                <w:sz w:val="24"/>
                <w:szCs w:val="24"/>
                <w:lang w:val="en-GB"/>
              </w:rPr>
            </w:pPr>
          </w:p>
        </w:tc>
      </w:tr>
      <w:tr w:rsidR="006C5ACA" w:rsidRPr="006C5ACA" w:rsidTr="006C5ACA">
        <w:trPr>
          <w:cantSplit/>
          <w:trHeight w:val="23"/>
        </w:trPr>
        <w:tc>
          <w:tcPr>
            <w:tcW w:w="6911" w:type="dxa"/>
            <w:vMerge w:val="restart"/>
          </w:tcPr>
          <w:p w:rsidR="006C5ACA" w:rsidRPr="006C5ACA" w:rsidRDefault="006C5ACA" w:rsidP="006C5ACA">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jc w:val="left"/>
              <w:rPr>
                <w:rFonts w:cs="Times New Roman"/>
                <w:b/>
                <w:sz w:val="24"/>
                <w:szCs w:val="20"/>
                <w:lang w:val="en-GB"/>
              </w:rPr>
            </w:pPr>
            <w:bookmarkStart w:id="3" w:name="dmeeting" w:colFirst="0" w:colLast="0"/>
            <w:bookmarkStart w:id="4" w:name="dnum" w:colFirst="1" w:colLast="1"/>
          </w:p>
        </w:tc>
        <w:tc>
          <w:tcPr>
            <w:tcW w:w="3120" w:type="dxa"/>
          </w:tcPr>
          <w:p w:rsidR="006C5ACA" w:rsidRPr="006C5ACA" w:rsidRDefault="006C5ACA" w:rsidP="006C5ACA">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jc w:val="left"/>
              <w:rPr>
                <w:rFonts w:cs="Times New Roman"/>
                <w:b/>
                <w:sz w:val="24"/>
                <w:szCs w:val="20"/>
              </w:rPr>
            </w:pPr>
            <w:r w:rsidRPr="006C5ACA">
              <w:rPr>
                <w:b/>
                <w:sz w:val="24"/>
                <w:szCs w:val="20"/>
              </w:rPr>
              <w:t>Document C14/97-E</w:t>
            </w:r>
          </w:p>
        </w:tc>
      </w:tr>
      <w:tr w:rsidR="006C5ACA" w:rsidRPr="006C5ACA" w:rsidTr="006C5ACA">
        <w:trPr>
          <w:cantSplit/>
          <w:trHeight w:val="23"/>
        </w:trPr>
        <w:tc>
          <w:tcPr>
            <w:tcW w:w="6911" w:type="dxa"/>
            <w:vMerge/>
          </w:tcPr>
          <w:p w:rsidR="006C5ACA" w:rsidRPr="006C5ACA" w:rsidRDefault="006C5ACA" w:rsidP="006C5ACA">
            <w:pPr>
              <w:tabs>
                <w:tab w:val="clear" w:pos="794"/>
                <w:tab w:val="clear" w:pos="1191"/>
                <w:tab w:val="clear" w:pos="1588"/>
                <w:tab w:val="clear" w:pos="1985"/>
                <w:tab w:val="left" w:pos="567"/>
                <w:tab w:val="left" w:pos="851"/>
                <w:tab w:val="left" w:pos="1134"/>
                <w:tab w:val="left" w:pos="1701"/>
                <w:tab w:val="left" w:pos="2268"/>
                <w:tab w:val="left" w:pos="2835"/>
              </w:tabs>
              <w:spacing w:before="120" w:line="240" w:lineRule="atLeast"/>
              <w:jc w:val="left"/>
              <w:rPr>
                <w:rFonts w:cs="Times New Roman"/>
                <w:b/>
                <w:sz w:val="24"/>
                <w:szCs w:val="20"/>
              </w:rPr>
            </w:pPr>
            <w:bookmarkStart w:id="5" w:name="ddate" w:colFirst="1" w:colLast="1"/>
            <w:bookmarkEnd w:id="3"/>
            <w:bookmarkEnd w:id="4"/>
          </w:p>
        </w:tc>
        <w:tc>
          <w:tcPr>
            <w:tcW w:w="3120" w:type="dxa"/>
          </w:tcPr>
          <w:p w:rsidR="006C5ACA" w:rsidRPr="006C5ACA" w:rsidRDefault="006C5ACA" w:rsidP="006C5ACA">
            <w:pPr>
              <w:tabs>
                <w:tab w:val="clear" w:pos="794"/>
                <w:tab w:val="clear" w:pos="1191"/>
                <w:tab w:val="clear" w:pos="1588"/>
                <w:tab w:val="clear" w:pos="1985"/>
                <w:tab w:val="left" w:pos="567"/>
                <w:tab w:val="left" w:pos="993"/>
                <w:tab w:val="left" w:pos="1134"/>
                <w:tab w:val="left" w:pos="1701"/>
                <w:tab w:val="left" w:pos="2268"/>
                <w:tab w:val="left" w:pos="2835"/>
              </w:tabs>
              <w:spacing w:before="0" w:line="240" w:lineRule="auto"/>
              <w:jc w:val="left"/>
              <w:rPr>
                <w:rFonts w:cs="Times New Roman"/>
                <w:b/>
                <w:sz w:val="24"/>
                <w:szCs w:val="20"/>
                <w:lang w:val="en-GB"/>
              </w:rPr>
            </w:pPr>
            <w:r w:rsidRPr="006C5ACA">
              <w:rPr>
                <w:rFonts w:cs="Times New Roman"/>
                <w:b/>
                <w:sz w:val="24"/>
                <w:szCs w:val="20"/>
                <w:lang w:val="en-GB"/>
              </w:rPr>
              <w:t>15 May 2014</w:t>
            </w:r>
          </w:p>
        </w:tc>
      </w:tr>
      <w:tr w:rsidR="006C5ACA" w:rsidRPr="006C5ACA" w:rsidTr="006C5ACA">
        <w:trPr>
          <w:cantSplit/>
          <w:trHeight w:val="23"/>
        </w:trPr>
        <w:tc>
          <w:tcPr>
            <w:tcW w:w="6911" w:type="dxa"/>
            <w:vMerge/>
          </w:tcPr>
          <w:p w:rsidR="006C5ACA" w:rsidRPr="006C5ACA" w:rsidRDefault="006C5ACA" w:rsidP="006C5ACA">
            <w:pPr>
              <w:tabs>
                <w:tab w:val="clear" w:pos="794"/>
                <w:tab w:val="clear" w:pos="1191"/>
                <w:tab w:val="clear" w:pos="1588"/>
                <w:tab w:val="clear" w:pos="1985"/>
                <w:tab w:val="left" w:pos="567"/>
                <w:tab w:val="left" w:pos="851"/>
                <w:tab w:val="left" w:pos="1134"/>
                <w:tab w:val="left" w:pos="1701"/>
                <w:tab w:val="left" w:pos="2268"/>
                <w:tab w:val="left" w:pos="2835"/>
              </w:tabs>
              <w:spacing w:before="120" w:line="240" w:lineRule="atLeast"/>
              <w:jc w:val="left"/>
              <w:rPr>
                <w:rFonts w:cs="Times New Roman"/>
                <w:b/>
                <w:sz w:val="24"/>
                <w:szCs w:val="20"/>
                <w:lang w:val="en-GB"/>
              </w:rPr>
            </w:pPr>
            <w:bookmarkStart w:id="6" w:name="dorlang" w:colFirst="1" w:colLast="1"/>
            <w:bookmarkEnd w:id="5"/>
          </w:p>
        </w:tc>
        <w:tc>
          <w:tcPr>
            <w:tcW w:w="3120" w:type="dxa"/>
          </w:tcPr>
          <w:p w:rsidR="006C5ACA" w:rsidRPr="006C5ACA" w:rsidRDefault="006C5ACA" w:rsidP="006C5ACA">
            <w:pPr>
              <w:tabs>
                <w:tab w:val="clear" w:pos="794"/>
                <w:tab w:val="clear" w:pos="1191"/>
                <w:tab w:val="clear" w:pos="1588"/>
                <w:tab w:val="clear" w:pos="1985"/>
                <w:tab w:val="left" w:pos="567"/>
                <w:tab w:val="left" w:pos="993"/>
                <w:tab w:val="left" w:pos="1134"/>
                <w:tab w:val="left" w:pos="1701"/>
                <w:tab w:val="left" w:pos="2268"/>
                <w:tab w:val="left" w:pos="2835"/>
              </w:tabs>
              <w:spacing w:before="0" w:line="240" w:lineRule="auto"/>
              <w:jc w:val="left"/>
              <w:rPr>
                <w:rFonts w:cs="Times New Roman"/>
                <w:b/>
                <w:sz w:val="24"/>
                <w:szCs w:val="20"/>
                <w:lang w:val="en-GB"/>
              </w:rPr>
            </w:pPr>
            <w:r w:rsidRPr="006C5ACA">
              <w:rPr>
                <w:rFonts w:cs="Times New Roman"/>
                <w:b/>
                <w:sz w:val="24"/>
                <w:szCs w:val="20"/>
                <w:lang w:val="en-GB"/>
              </w:rPr>
              <w:t>Original: English</w:t>
            </w:r>
          </w:p>
        </w:tc>
      </w:tr>
    </w:tbl>
    <w:bookmarkEnd w:id="6"/>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cs="Times New Roman"/>
          <w:caps/>
          <w:sz w:val="28"/>
          <w:szCs w:val="20"/>
          <w:lang w:val="en-GB"/>
        </w:rPr>
      </w:pPr>
      <w:r w:rsidRPr="006C5ACA">
        <w:rPr>
          <w:rFonts w:cs="Times New Roman"/>
          <w:caps/>
          <w:sz w:val="28"/>
          <w:szCs w:val="20"/>
          <w:lang w:val="en-GB"/>
        </w:rPr>
        <w:t>DECISION 571 (MODIFIED 2014)</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cs="Times New Roman"/>
          <w:b/>
          <w:sz w:val="28"/>
          <w:lang w:val="en-GB"/>
        </w:rPr>
      </w:pPr>
      <w:r w:rsidRPr="006C5ACA">
        <w:rPr>
          <w:rFonts w:cs="Times New Roman"/>
          <w:sz w:val="28"/>
          <w:lang w:val="en-GB"/>
        </w:rPr>
        <w:t>(adopted at the seventh Plenary Meeting)</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cs="Times New Roman"/>
          <w:b/>
          <w:sz w:val="28"/>
          <w:szCs w:val="20"/>
          <w:lang w:val="en-GB"/>
        </w:rPr>
      </w:pPr>
      <w:r w:rsidRPr="006C5ACA">
        <w:rPr>
          <w:rFonts w:cs="Times New Roman"/>
          <w:b/>
          <w:sz w:val="28"/>
          <w:szCs w:val="20"/>
          <w:lang w:val="en-GB"/>
        </w:rPr>
        <w:t xml:space="preserve">Free online access to the Administrative Regulations, Council Resolutions </w:t>
      </w:r>
      <w:r w:rsidRPr="006C5ACA">
        <w:rPr>
          <w:rFonts w:cs="Times New Roman"/>
          <w:b/>
          <w:sz w:val="28"/>
          <w:szCs w:val="20"/>
          <w:lang w:val="en-GB"/>
        </w:rPr>
        <w:br/>
        <w:t>and Decisions and other ITU publications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rPr>
          <w:rFonts w:cs="Times New Roman"/>
          <w:sz w:val="24"/>
          <w:szCs w:val="24"/>
          <w:lang w:val="en-GB"/>
        </w:rPr>
      </w:pPr>
      <w:r w:rsidRPr="006C5ACA">
        <w:rPr>
          <w:rFonts w:cs="Times New Roman"/>
          <w:sz w:val="24"/>
          <w:szCs w:val="24"/>
          <w:lang w:val="en-GB"/>
        </w:rPr>
        <w:t>The Council,</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jc w:val="left"/>
        <w:rPr>
          <w:rFonts w:cs="Times New Roman"/>
          <w:i/>
          <w:sz w:val="24"/>
          <w:szCs w:val="24"/>
          <w:lang w:val="en-GB"/>
        </w:rPr>
      </w:pPr>
      <w:r w:rsidRPr="006C5ACA">
        <w:rPr>
          <w:rFonts w:cs="Times New Roman"/>
          <w:i/>
          <w:sz w:val="24"/>
          <w:szCs w:val="24"/>
          <w:lang w:val="en-GB"/>
        </w:rPr>
        <w:t>noting</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a)</w:t>
      </w:r>
      <w:r w:rsidRPr="006C5ACA">
        <w:rPr>
          <w:rFonts w:cs="Times New Roman"/>
          <w:sz w:val="24"/>
          <w:szCs w:val="24"/>
          <w:lang w:val="en-GB"/>
        </w:rPr>
        <w:tab/>
        <w:t>Decision 12 (Guadalajara, 2010) of the Plenipotentiary Conference, on free online access to ITU publications, that approved free online access to ITU-T Recommendations, ITU-R Recommendations, ITU-R Reports, the basic texts of the Union and the final acts of Plenipotentiary Conferences;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b)</w:t>
      </w:r>
      <w:r w:rsidRPr="006C5ACA">
        <w:rPr>
          <w:rFonts w:cs="Times New Roman"/>
          <w:sz w:val="24"/>
          <w:szCs w:val="24"/>
          <w:lang w:val="en-GB"/>
        </w:rPr>
        <w:tab/>
        <w:t>that Decision 12 instructed Council to undertake a holistic study on the costs/benefits of providing other texts of the Union, including the Administrative Regulations of the Union, free online,</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rPr>
          <w:rFonts w:cs="Times New Roman"/>
          <w:i/>
          <w:sz w:val="24"/>
          <w:szCs w:val="24"/>
          <w:lang w:val="en-GB"/>
        </w:rPr>
      </w:pPr>
      <w:r w:rsidRPr="006C5ACA">
        <w:rPr>
          <w:rFonts w:cs="Times New Roman"/>
          <w:i/>
          <w:sz w:val="24"/>
          <w:szCs w:val="24"/>
          <w:lang w:val="en-GB"/>
        </w:rPr>
        <w:t>noting further</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a)</w:t>
      </w:r>
      <w:r w:rsidRPr="006C5ACA">
        <w:rPr>
          <w:rFonts w:cs="Times New Roman"/>
          <w:sz w:val="24"/>
          <w:szCs w:val="24"/>
          <w:lang w:val="en-GB"/>
        </w:rPr>
        <w:tab/>
        <w:t>that Article 4 of the ITU Constitution that defines the Administrative Regulations (i.e. the International Telecommunication Regulations and the Radio Regulations) as instruments of the Union that complement the ITU Constitution and Convention;</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b)</w:t>
      </w:r>
      <w:r w:rsidRPr="006C5ACA">
        <w:rPr>
          <w:rFonts w:cs="Times New Roman"/>
          <w:sz w:val="24"/>
          <w:szCs w:val="24"/>
          <w:lang w:val="en-GB"/>
        </w:rPr>
        <w:tab/>
        <w:t>that Article 6 of the ITU Constitution that determines that Member States are bound to abide by the provisions of the Administrative Regulations;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c)</w:t>
      </w:r>
      <w:r w:rsidRPr="006C5ACA">
        <w:rPr>
          <w:rFonts w:cs="Times New Roman"/>
          <w:sz w:val="24"/>
          <w:szCs w:val="24"/>
          <w:lang w:val="en-GB"/>
        </w:rPr>
        <w:tab/>
        <w:t>that according to Article 10 of the ITU Constitution the Council in the interval between Plenipotentiary Conferences shall act, as governing body of the Union, on behalf of the Plenipotentiary Conference within the limits of the powers delegated to it by the latter and that Council Resolutions and Decisions serve as instruments to ensure the efficient coordination of the work of the Union and exercise effective financial control over the General Secretariat and the three Sectors;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d)</w:t>
      </w:r>
      <w:r w:rsidRPr="006C5ACA">
        <w:rPr>
          <w:rFonts w:cs="Times New Roman"/>
          <w:sz w:val="24"/>
          <w:szCs w:val="24"/>
          <w:lang w:val="en-GB"/>
        </w:rPr>
        <w:tab/>
        <w:t>Resolution 9 (Rev. Dubai, 2014) of the World Telecommunication Development Conference, on the participation of countries, particularly developing countries, in spectrum management, that recognizes the importance of facilitating access to radiocommunication-related documentation in order to facilitate the task of radio-frequency spectrum managers;</w:t>
      </w:r>
    </w:p>
    <w:p w:rsidR="006C5ACA" w:rsidRPr="006C5ACA" w:rsidRDefault="006C5ACA" w:rsidP="006C5ACA">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i/>
          <w:iCs/>
          <w:sz w:val="24"/>
          <w:szCs w:val="24"/>
          <w:lang w:val="en-GB"/>
        </w:rPr>
      </w:pPr>
      <w:r w:rsidRPr="006C5ACA">
        <w:rPr>
          <w:rFonts w:cs="Times New Roman"/>
          <w:i/>
          <w:iCs/>
          <w:sz w:val="24"/>
          <w:szCs w:val="24"/>
          <w:lang w:val="en-GB"/>
        </w:rPr>
        <w:br w:type="page"/>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lastRenderedPageBreak/>
        <w:t>e)</w:t>
      </w:r>
      <w:r w:rsidRPr="006C5ACA">
        <w:rPr>
          <w:rFonts w:cs="Times New Roman"/>
          <w:sz w:val="24"/>
          <w:szCs w:val="24"/>
          <w:lang w:val="en-GB"/>
        </w:rPr>
        <w:tab/>
        <w:t>Resolution 34 (Rev. Dubai, 2014) of the World Telecommunication Development Conference, on the role of telecommunications/information and communication technology in disaster preparedness, early warning, rescue, mitigation, relief and response, which notes the importance for humankind of ITU publications relating to this area of activity,</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rPr>
          <w:rFonts w:cs="Times New Roman"/>
          <w:i/>
          <w:sz w:val="24"/>
          <w:szCs w:val="24"/>
          <w:lang w:val="en-GB"/>
        </w:rPr>
      </w:pPr>
      <w:r w:rsidRPr="006C5ACA">
        <w:rPr>
          <w:rFonts w:cs="Times New Roman"/>
          <w:i/>
          <w:sz w:val="24"/>
          <w:szCs w:val="24"/>
          <w:lang w:val="en-GB"/>
        </w:rPr>
        <w:t>considering</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a)</w:t>
      </w:r>
      <w:r w:rsidRPr="006C5ACA">
        <w:rPr>
          <w:rFonts w:cs="Times New Roman"/>
          <w:sz w:val="24"/>
          <w:szCs w:val="24"/>
          <w:lang w:val="en-GB"/>
        </w:rPr>
        <w:tab/>
        <w:t>that providing free online access to the instruments of the Union helps to fulfil the core purposes of the Union, as defined in Article 1 of the ITU Constitution;</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b)</w:t>
      </w:r>
      <w:r w:rsidRPr="006C5ACA">
        <w:rPr>
          <w:rFonts w:cs="Times New Roman"/>
          <w:sz w:val="24"/>
          <w:szCs w:val="24"/>
          <w:lang w:val="en-GB"/>
        </w:rPr>
        <w:tab/>
        <w:t xml:space="preserve">that, regarding the instruments of ITU that are intended to be incorporated in national law, Member States have </w:t>
      </w:r>
      <w:r w:rsidRPr="006C5ACA">
        <w:rPr>
          <w:rFonts w:cs="Times New Roman"/>
          <w:i/>
          <w:sz w:val="24"/>
          <w:szCs w:val="24"/>
          <w:lang w:val="en-GB"/>
        </w:rPr>
        <w:t>de facto</w:t>
      </w:r>
      <w:r w:rsidRPr="006C5ACA">
        <w:rPr>
          <w:rFonts w:cs="Times New Roman"/>
          <w:sz w:val="24"/>
          <w:szCs w:val="24"/>
          <w:lang w:val="en-GB"/>
        </w:rPr>
        <w:t xml:space="preserve"> freedom to reproduce, translate and publish such texts on official government department websites as well as in official journals or equivalent publications, in accordance with their respective national law;</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c)</w:t>
      </w:r>
      <w:r w:rsidRPr="006C5ACA">
        <w:rPr>
          <w:rFonts w:cs="Times New Roman"/>
          <w:sz w:val="24"/>
          <w:szCs w:val="24"/>
          <w:lang w:val="en-GB"/>
        </w:rPr>
        <w:tab/>
        <w:t>that providing free online access to the Council Resolutions and Decisions helps ITU Member States and Sector Members to obtain information concerning plans, budget and activities of</w:t>
      </w:r>
      <w:r w:rsidRPr="006C5ACA">
        <w:rPr>
          <w:color w:val="231F20"/>
          <w:sz w:val="24"/>
          <w:szCs w:val="24"/>
          <w:lang w:val="en-GB"/>
        </w:rPr>
        <w:t xml:space="preserve"> the General Secretariat and the three Sectors between Plenipotentiary Conferences</w:t>
      </w:r>
      <w:r w:rsidRPr="006C5ACA">
        <w:rPr>
          <w:rFonts w:cs="Times New Roman"/>
          <w:sz w:val="24"/>
          <w:szCs w:val="24"/>
          <w:lang w:val="en-GB"/>
        </w:rPr>
        <w:t>;</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d)</w:t>
      </w:r>
      <w:r w:rsidRPr="006C5ACA">
        <w:rPr>
          <w:rFonts w:cs="Times New Roman"/>
          <w:sz w:val="24"/>
          <w:szCs w:val="24"/>
          <w:lang w:val="en-GB"/>
        </w:rPr>
        <w:tab/>
        <w:t>that increased involvement in ITU activities is a fundamental step towards enhanced capacity-building and Information and Communication Technologies (ICTs) development potential in developing countries, which will lead to a reduction of the digital divide;</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e)</w:t>
      </w:r>
      <w:r w:rsidRPr="006C5ACA">
        <w:rPr>
          <w:rFonts w:cs="Times New Roman"/>
          <w:sz w:val="24"/>
          <w:szCs w:val="24"/>
          <w:lang w:val="en-GB"/>
        </w:rPr>
        <w:tab/>
        <w:t>that in order to facilitate, increase and improve the participation of Member States and Sector Members from developing countries in ITU activities, these members need to be capable of interpreting and implementing ITU technical publications, the basic texts of the Union and the instruments of the Union;</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eastAsia="Calibri" w:cs="Times New Roman"/>
          <w:sz w:val="24"/>
          <w:szCs w:val="24"/>
          <w:lang w:val="en-GB"/>
        </w:rPr>
      </w:pPr>
      <w:r w:rsidRPr="006C5ACA">
        <w:rPr>
          <w:rFonts w:cs="Times New Roman"/>
          <w:i/>
          <w:iCs/>
          <w:sz w:val="24"/>
          <w:szCs w:val="24"/>
          <w:lang w:val="en-GB"/>
        </w:rPr>
        <w:t>f)</w:t>
      </w:r>
      <w:r w:rsidRPr="006C5ACA">
        <w:rPr>
          <w:rFonts w:cs="Times New Roman"/>
          <w:sz w:val="24"/>
          <w:szCs w:val="24"/>
          <w:lang w:val="en-GB"/>
        </w:rPr>
        <w:tab/>
        <w:t xml:space="preserve">that ITU publications concerning the use of telecommunications/ICTs in emergency situations are used </w:t>
      </w:r>
      <w:r w:rsidRPr="006C5ACA">
        <w:rPr>
          <w:rFonts w:eastAsia="Calibri" w:cs="Times New Roman"/>
          <w:sz w:val="24"/>
          <w:szCs w:val="24"/>
          <w:lang w:val="en-GB"/>
        </w:rPr>
        <w:t>in the preparation of national disaster response and relief plans, including consideration of the necessary enabling national regulatory and policy environments to support the development and effective use of telecommunications/ICTs for disaster mitigation, relief and response, should be accessible to the general public;</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g)</w:t>
      </w:r>
      <w:r w:rsidRPr="006C5ACA">
        <w:rPr>
          <w:rFonts w:cs="Times New Roman"/>
          <w:i/>
          <w:iCs/>
          <w:sz w:val="24"/>
          <w:szCs w:val="24"/>
          <w:lang w:val="en-GB"/>
        </w:rPr>
        <w:tab/>
      </w:r>
      <w:r w:rsidRPr="006C5ACA">
        <w:rPr>
          <w:rFonts w:cs="Times New Roman"/>
          <w:sz w:val="24"/>
          <w:szCs w:val="24"/>
          <w:lang w:val="en-GB"/>
        </w:rPr>
        <w:t>that an efficient way to ensure that developing countries have access to ITU publications is to provide them free of charge online,</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rPr>
          <w:rFonts w:cs="Times New Roman"/>
          <w:i/>
          <w:sz w:val="24"/>
          <w:szCs w:val="24"/>
          <w:lang w:val="en-GB"/>
        </w:rPr>
      </w:pPr>
      <w:r w:rsidRPr="006C5ACA">
        <w:rPr>
          <w:rFonts w:cs="Times New Roman"/>
          <w:i/>
          <w:sz w:val="24"/>
          <w:szCs w:val="24"/>
          <w:lang w:val="en-GB"/>
        </w:rPr>
        <w:t>considering further</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that providing free online access to ITU publications may reduce the demand for paper copies of these documents, in alignment with the current ITU trend of soft format and of organizing paperless meetings, and with the overall goal of the United Nations to reduce paper usage and greenhouse gas (GHG) emissions,</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rPr>
          <w:rFonts w:cs="Times New Roman"/>
          <w:i/>
          <w:sz w:val="24"/>
          <w:szCs w:val="24"/>
          <w:lang w:val="en-GB"/>
        </w:rPr>
      </w:pPr>
      <w:r w:rsidRPr="006C5ACA">
        <w:rPr>
          <w:rFonts w:cs="Times New Roman"/>
          <w:i/>
          <w:sz w:val="24"/>
          <w:szCs w:val="24"/>
          <w:lang w:val="en-GB"/>
        </w:rPr>
        <w:t>taking into account</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a)</w:t>
      </w:r>
      <w:r w:rsidRPr="006C5ACA">
        <w:rPr>
          <w:rFonts w:cs="Times New Roman"/>
          <w:sz w:val="24"/>
          <w:szCs w:val="24"/>
          <w:lang w:val="en-GB"/>
        </w:rPr>
        <w:tab/>
        <w:t>that, free online access to the Radio Regulations to the general public as indicated in Documents C13/21, C13/81 and C14/21 had no negative financial impact in 2012 and 2013;</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i/>
          <w:iCs/>
          <w:sz w:val="24"/>
          <w:szCs w:val="24"/>
          <w:lang w:val="en-GB"/>
        </w:rPr>
        <w:t>b)</w:t>
      </w:r>
      <w:r w:rsidRPr="006C5ACA">
        <w:rPr>
          <w:rFonts w:cs="Times New Roman"/>
          <w:sz w:val="24"/>
          <w:szCs w:val="24"/>
          <w:lang w:val="en-GB"/>
        </w:rPr>
        <w:tab/>
        <w:t>that, according to Document C13/81, during the open free online access trial period, the income from sales of the Radio Regulations in paper and DVD format in 2012 increased by more than 60% comparing with sales in all formats (including online purchases) during the same time interval in 2008 – the year when the previous edition of the Radio Regulations was published,</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rPr>
          <w:rFonts w:cs="Times New Roman"/>
          <w:i/>
          <w:sz w:val="24"/>
          <w:szCs w:val="24"/>
          <w:lang w:val="en-GB"/>
        </w:rPr>
      </w:pPr>
      <w:r w:rsidRPr="006C5ACA">
        <w:rPr>
          <w:rFonts w:cs="Times New Roman"/>
          <w:i/>
          <w:sz w:val="24"/>
          <w:szCs w:val="24"/>
          <w:lang w:val="en-GB"/>
        </w:rPr>
        <w:lastRenderedPageBreak/>
        <w:t>decides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1</w:t>
      </w:r>
      <w:r w:rsidRPr="006C5ACA">
        <w:rPr>
          <w:rFonts w:cs="Times New Roman"/>
          <w:sz w:val="24"/>
          <w:szCs w:val="24"/>
          <w:lang w:val="en-GB"/>
        </w:rPr>
        <w:tab/>
        <w:t>to provide free online access to the International Telecommunication Regulations to the general public on a permanent basis;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2</w:t>
      </w:r>
      <w:r w:rsidRPr="006C5ACA">
        <w:rPr>
          <w:rFonts w:cs="Times New Roman"/>
          <w:sz w:val="24"/>
          <w:szCs w:val="24"/>
          <w:lang w:val="en-GB"/>
        </w:rPr>
        <w:tab/>
        <w:t>to provide free online access to the Radio Regulations to the general public on a permanent basis;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3</w:t>
      </w:r>
      <w:r w:rsidRPr="006C5ACA">
        <w:rPr>
          <w:rFonts w:cs="Times New Roman"/>
          <w:sz w:val="24"/>
          <w:szCs w:val="24"/>
          <w:lang w:val="en-GB"/>
        </w:rPr>
        <w:tab/>
        <w:t>to provide free online access to the Rules of Procedure to the general public on a permanent basis;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4</w:t>
      </w:r>
      <w:r w:rsidRPr="006C5ACA">
        <w:rPr>
          <w:rFonts w:cs="Times New Roman"/>
          <w:sz w:val="24"/>
          <w:szCs w:val="24"/>
          <w:lang w:val="en-GB"/>
        </w:rPr>
        <w:tab/>
        <w:t>to provide free online access to Council Resolutions and Decisions to the general public on a permanent basis;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5</w:t>
      </w:r>
      <w:r w:rsidRPr="006C5ACA">
        <w:rPr>
          <w:rFonts w:cs="Times New Roman"/>
          <w:sz w:val="24"/>
          <w:szCs w:val="24"/>
          <w:lang w:val="en-GB"/>
        </w:rPr>
        <w:tab/>
        <w:t>to provide free online access to the ITU-R Handbooks on radio-frequency spectrum management</w:t>
      </w:r>
      <w:r w:rsidRPr="006C5ACA">
        <w:rPr>
          <w:rFonts w:cs="Times New Roman"/>
          <w:position w:val="6"/>
          <w:sz w:val="24"/>
          <w:szCs w:val="24"/>
          <w:lang w:val="en-GB"/>
        </w:rPr>
        <w:footnoteReference w:customMarkFollows="1" w:id="1"/>
        <w:t>1</w:t>
      </w:r>
      <w:r w:rsidRPr="006C5ACA">
        <w:rPr>
          <w:rFonts w:cs="Times New Roman"/>
          <w:sz w:val="24"/>
          <w:szCs w:val="24"/>
          <w:lang w:val="en-GB"/>
        </w:rPr>
        <w:t xml:space="preserve"> to the general public on a permanent basis;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6</w:t>
      </w:r>
      <w:r w:rsidRPr="006C5ACA">
        <w:rPr>
          <w:rFonts w:cs="Times New Roman"/>
          <w:sz w:val="24"/>
          <w:szCs w:val="24"/>
          <w:lang w:val="en-GB"/>
        </w:rPr>
        <w:tab/>
        <w:t>to provide free online access to ITU publications concerning the use of telecommunications/ICTs for ensuring disaster preparedness, early warning, rescue, mitigation, relief and response to the general public on a permanent basis;</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7</w:t>
      </w:r>
      <w:r w:rsidRPr="006C5ACA">
        <w:rPr>
          <w:rFonts w:cs="Times New Roman"/>
          <w:sz w:val="24"/>
          <w:szCs w:val="24"/>
          <w:lang w:val="en-GB"/>
        </w:rPr>
        <w:tab/>
        <w:t>that paper copies of the International Telecommunication Regulations, Radio Regulations and Rules of Procedure will continue to be charged for on the basis of a two-tier pricing policy, whereby Member States, Sector Members and Associates and Academia pay a price based on cost recovery, whereas all others, i.e. non-members, pay a "market price"</w:t>
      </w:r>
      <w:r w:rsidRPr="006C5ACA">
        <w:rPr>
          <w:rFonts w:cs="Times New Roman"/>
          <w:position w:val="6"/>
          <w:sz w:val="24"/>
          <w:szCs w:val="24"/>
          <w:lang w:val="en-GB"/>
        </w:rPr>
        <w:footnoteReference w:customMarkFollows="1" w:id="2"/>
        <w:t>2</w:t>
      </w:r>
      <w:r w:rsidRPr="006C5ACA">
        <w:rPr>
          <w:rFonts w:cs="Times New Roman"/>
          <w:sz w:val="24"/>
          <w:szCs w:val="24"/>
          <w:lang w:val="en-GB"/>
        </w:rPr>
        <w:t>;</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8</w:t>
      </w:r>
      <w:r w:rsidRPr="006C5ACA">
        <w:rPr>
          <w:rFonts w:cs="Times New Roman"/>
          <w:sz w:val="24"/>
          <w:szCs w:val="24"/>
          <w:lang w:val="en-GB"/>
        </w:rPr>
        <w:tab/>
        <w:t>that paper copies of the ITU-R Handbooks on radio-frequency spectrum management and ITU publications concerning the use of telecommunications/ICTs for ensuring disaster preparedness, early warning, rescue, mitigation, relief and response will continue to be charged for on the basis of a two-tier pricing policy, whereby Member States, Sector Members and Associates and Academia pay a price based on cost recovery, whereas all others, i.e. non-members, pay a "market price"</w:t>
      </w:r>
      <w:r w:rsidRPr="006C5ACA">
        <w:rPr>
          <w:rFonts w:cs="Times New Roman"/>
          <w:position w:val="6"/>
          <w:sz w:val="24"/>
          <w:szCs w:val="24"/>
          <w:lang w:val="en-GB"/>
        </w:rPr>
        <w:t>2</w:t>
      </w:r>
      <w:r w:rsidRPr="006C5ACA">
        <w:rPr>
          <w:rFonts w:cs="Times New Roman"/>
          <w:sz w:val="24"/>
          <w:szCs w:val="24"/>
          <w:lang w:val="en-GB"/>
        </w:rPr>
        <w:t>,</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rPr>
          <w:rFonts w:cs="Times New Roman"/>
          <w:i/>
          <w:sz w:val="24"/>
          <w:szCs w:val="24"/>
          <w:lang w:val="en-GB"/>
        </w:rPr>
      </w:pPr>
      <w:r w:rsidRPr="006C5ACA">
        <w:rPr>
          <w:rFonts w:cs="Times New Roman"/>
          <w:i/>
          <w:sz w:val="24"/>
          <w:szCs w:val="24"/>
          <w:lang w:val="en-GB"/>
        </w:rPr>
        <w:t>instructs the Directors of the Bureaux</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to draw up lists of the important publications proposed to be made available for free online access, with assistance of the Sector Advisory Groups,</w:t>
      </w:r>
    </w:p>
    <w:p w:rsidR="006C5ACA" w:rsidRPr="006C5ACA" w:rsidRDefault="006C5ACA" w:rsidP="006C5ACA">
      <w:pPr>
        <w:keepNext/>
        <w:keepLines/>
        <w:tabs>
          <w:tab w:val="clear" w:pos="794"/>
          <w:tab w:val="clear" w:pos="1191"/>
          <w:tab w:val="clear" w:pos="1588"/>
          <w:tab w:val="clear" w:pos="1985"/>
          <w:tab w:val="left" w:pos="567"/>
        </w:tabs>
        <w:spacing w:line="240" w:lineRule="auto"/>
        <w:ind w:left="567"/>
        <w:rPr>
          <w:rFonts w:cs="Times New Roman"/>
          <w:i/>
          <w:sz w:val="24"/>
          <w:szCs w:val="24"/>
          <w:lang w:val="en-GB"/>
        </w:rPr>
      </w:pPr>
      <w:r w:rsidRPr="006C5ACA">
        <w:rPr>
          <w:rFonts w:cs="Times New Roman"/>
          <w:i/>
          <w:sz w:val="24"/>
          <w:szCs w:val="24"/>
          <w:lang w:val="en-GB"/>
        </w:rPr>
        <w:t>instructs the Secretary-General</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cs="Times New Roman"/>
          <w:sz w:val="24"/>
          <w:szCs w:val="24"/>
          <w:lang w:val="en-GB"/>
        </w:rPr>
      </w:pPr>
      <w:r w:rsidRPr="006C5ACA">
        <w:rPr>
          <w:rFonts w:cs="Times New Roman"/>
          <w:sz w:val="24"/>
          <w:szCs w:val="24"/>
          <w:lang w:val="en-GB"/>
        </w:rPr>
        <w:t xml:space="preserve">to report to the 2014 Plenipotentiary Conference and Council-15 on the impact on revenues of the implementation of decides 2, 3, 4, 5 and 6 and proposals for free online access to publications submitted in accordance with </w:t>
      </w:r>
      <w:r w:rsidRPr="006C5ACA">
        <w:rPr>
          <w:rFonts w:cs="Times New Roman"/>
          <w:i/>
          <w:sz w:val="24"/>
          <w:szCs w:val="24"/>
          <w:lang w:val="en-GB"/>
        </w:rPr>
        <w:t>instructs the Directors of the Bureaux</w:t>
      </w:r>
      <w:r w:rsidRPr="006C5ACA">
        <w:rPr>
          <w:rFonts w:cs="Times New Roman"/>
          <w:sz w:val="24"/>
          <w:szCs w:val="24"/>
          <w:lang w:val="en-GB"/>
        </w:rPr>
        <w:t xml:space="preserve"> above, on means for balancing the financial impacts, with the assistance of the Bureaux Directors and the Sector Advisory Groups if any are identified.</w:t>
      </w:r>
    </w:p>
    <w:p w:rsidR="006C5ACA" w:rsidRPr="006C5ACA" w:rsidRDefault="006C5ACA" w:rsidP="006C5ACA">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cs="Times New Roman"/>
          <w:sz w:val="24"/>
          <w:szCs w:val="20"/>
          <w:lang w:val="en-GB"/>
        </w:rPr>
      </w:pPr>
      <w:r w:rsidRPr="006C5ACA">
        <w:rPr>
          <w:rFonts w:cs="Times New Roman"/>
          <w:sz w:val="24"/>
          <w:szCs w:val="20"/>
          <w:lang w:val="en-GB"/>
        </w:rPr>
        <w:t>______________</w:t>
      </w:r>
    </w:p>
    <w:p w:rsidR="002B19CE" w:rsidRPr="00107F3F" w:rsidRDefault="002B19CE" w:rsidP="002B19CE">
      <w:pPr>
        <w:tabs>
          <w:tab w:val="clear" w:pos="794"/>
          <w:tab w:val="left" w:pos="284"/>
        </w:tabs>
        <w:spacing w:before="0" w:line="240" w:lineRule="auto"/>
        <w:rPr>
          <w:sz w:val="18"/>
          <w:szCs w:val="18"/>
        </w:rPr>
      </w:pPr>
    </w:p>
    <w:sectPr w:rsidR="002B19CE" w:rsidRPr="00107F3F" w:rsidSect="006C5ACA">
      <w:headerReference w:type="default" r:id="rId14"/>
      <w:headerReference w:type="first" r:id="rId15"/>
      <w:footerReference w:type="first" r:id="rId16"/>
      <w:footnotePr>
        <w:numFmt w:val="chicago"/>
      </w:footnotePr>
      <w:pgSz w:w="11907" w:h="16834" w:code="9"/>
      <w:pgMar w:top="1418" w:right="1134" w:bottom="1418" w:left="1134" w:header="454"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B2" w:rsidRDefault="00A427B2">
      <w:r>
        <w:separator/>
      </w:r>
    </w:p>
  </w:endnote>
  <w:endnote w:type="continuationSeparator" w:id="0">
    <w:p w:rsidR="00A427B2" w:rsidRDefault="00A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98" w:rsidRDefault="006C5AC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B2" w:rsidRDefault="00A427B2">
      <w:r>
        <w:t>____________________</w:t>
      </w:r>
    </w:p>
  </w:footnote>
  <w:footnote w:type="continuationSeparator" w:id="0">
    <w:p w:rsidR="00A427B2" w:rsidRDefault="00A427B2">
      <w:r>
        <w:continuationSeparator/>
      </w:r>
    </w:p>
  </w:footnote>
  <w:footnote w:id="1">
    <w:p w:rsidR="006C5ACA" w:rsidRPr="00572397" w:rsidRDefault="006C5ACA" w:rsidP="006C5ACA">
      <w:pPr>
        <w:pStyle w:val="FootnoteText"/>
        <w:rPr>
          <w:sz w:val="22"/>
        </w:rPr>
      </w:pPr>
      <w:r w:rsidRPr="00572397">
        <w:rPr>
          <w:rStyle w:val="FootnoteReference"/>
          <w:sz w:val="14"/>
        </w:rPr>
        <w:t>1</w:t>
      </w:r>
      <w:r w:rsidRPr="00572397">
        <w:rPr>
          <w:sz w:val="22"/>
        </w:rPr>
        <w:t xml:space="preserve"> </w:t>
      </w:r>
      <w:r w:rsidRPr="00572397">
        <w:rPr>
          <w:sz w:val="22"/>
        </w:rPr>
        <w:tab/>
        <w:t>These include the ITU</w:t>
      </w:r>
      <w:r w:rsidRPr="00572397">
        <w:rPr>
          <w:sz w:val="22"/>
        </w:rPr>
        <w:noBreakHyphen/>
        <w:t>R Handbooks on National Spectrum Management, Computer Aided Techniques for Spectrum Management, and Spectrum Monitoring.</w:t>
      </w:r>
    </w:p>
  </w:footnote>
  <w:footnote w:id="2">
    <w:p w:rsidR="006C5ACA" w:rsidRPr="00572397" w:rsidRDefault="006C5ACA" w:rsidP="006C5ACA">
      <w:pPr>
        <w:pStyle w:val="FootnoteText"/>
        <w:rPr>
          <w:sz w:val="22"/>
        </w:rPr>
      </w:pPr>
      <w:r w:rsidRPr="00572397">
        <w:rPr>
          <w:rStyle w:val="FootnoteReference"/>
          <w:sz w:val="14"/>
        </w:rPr>
        <w:t>2</w:t>
      </w:r>
      <w:r w:rsidRPr="00572397">
        <w:rPr>
          <w:sz w:val="22"/>
        </w:rPr>
        <w:tab/>
        <w:t>The term "market price" is defined in Resolution 66 (Rev. Guadalajara, 2010) as the price determined by the Sales and Marketing Division, which is established to maximize revenues without being so high as to discourage sales.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CA" w:rsidRPr="006C5ACA" w:rsidRDefault="006C5ACA" w:rsidP="006C5ACA">
    <w:pPr>
      <w:pStyle w:val="Header"/>
      <w:jc w:val="center"/>
      <w:rPr>
        <w:sz w:val="18"/>
        <w:szCs w:val="18"/>
      </w:rPr>
    </w:pPr>
    <w:r w:rsidRPr="006C5ACA">
      <w:rPr>
        <w:sz w:val="18"/>
        <w:szCs w:val="18"/>
      </w:rPr>
      <w:fldChar w:fldCharType="begin"/>
    </w:r>
    <w:r w:rsidRPr="006C5ACA">
      <w:rPr>
        <w:sz w:val="18"/>
        <w:szCs w:val="18"/>
      </w:rPr>
      <w:instrText>PAGE</w:instrText>
    </w:r>
    <w:r w:rsidRPr="006C5ACA">
      <w:rPr>
        <w:sz w:val="18"/>
        <w:szCs w:val="18"/>
      </w:rPr>
      <w:fldChar w:fldCharType="separate"/>
    </w:r>
    <w:r>
      <w:rPr>
        <w:noProof/>
        <w:sz w:val="18"/>
        <w:szCs w:val="18"/>
      </w:rPr>
      <w:t>4</w:t>
    </w:r>
    <w:r w:rsidRPr="006C5ACA">
      <w:rPr>
        <w:noProof/>
        <w:sz w:val="18"/>
        <w:szCs w:val="18"/>
      </w:rPr>
      <w:fldChar w:fldCharType="end"/>
    </w:r>
  </w:p>
  <w:p w:rsidR="00A427B2" w:rsidRPr="006C5ACA" w:rsidRDefault="00A427B2" w:rsidP="006C5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3E20EA">
      <w:rPr>
        <w:rStyle w:val="PageNumber"/>
        <w:noProof/>
        <w:sz w:val="18"/>
        <w:szCs w:val="18"/>
      </w:rPr>
      <w:t>3</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B2" w:rsidRPr="00EA15B3" w:rsidRDefault="00A427B2" w:rsidP="00EA15B3">
    <w:pPr>
      <w:pStyle w:val="Header"/>
      <w:spacing w:line="360" w:lineRule="auto"/>
    </w:pPr>
    <w:r>
      <w:tab/>
    </w:r>
    <w:r>
      <w:tab/>
    </w:r>
    <w:r>
      <w:rPr>
        <w:b/>
        <w:bCs/>
        <w:noProof/>
      </w:rPr>
      <w:drawing>
        <wp:inline distT="0" distB="0" distL="0" distR="0" wp14:anchorId="0DF128F8" wp14:editId="77BD69C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98" w:rsidRPr="006C5ACA" w:rsidRDefault="006C5ACA" w:rsidP="006C5ACA">
    <w:pPr>
      <w:pStyle w:val="Header"/>
      <w:jc w:val="center"/>
      <w:rPr>
        <w:sz w:val="18"/>
        <w:szCs w:val="18"/>
      </w:rPr>
    </w:pPr>
    <w:r w:rsidRPr="006C5ACA">
      <w:rPr>
        <w:sz w:val="18"/>
        <w:szCs w:val="18"/>
      </w:rPr>
      <w:fldChar w:fldCharType="begin"/>
    </w:r>
    <w:r w:rsidRPr="006C5ACA">
      <w:rPr>
        <w:sz w:val="18"/>
        <w:szCs w:val="18"/>
      </w:rPr>
      <w:instrText>PAGE</w:instrText>
    </w:r>
    <w:r w:rsidRPr="006C5ACA">
      <w:rPr>
        <w:sz w:val="18"/>
        <w:szCs w:val="18"/>
      </w:rPr>
      <w:fldChar w:fldCharType="separate"/>
    </w:r>
    <w:r>
      <w:rPr>
        <w:noProof/>
        <w:sz w:val="18"/>
        <w:szCs w:val="18"/>
      </w:rPr>
      <w:t>3</w:t>
    </w:r>
    <w:r w:rsidRPr="006C5ACA">
      <w:rPr>
        <w:noProof/>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CA" w:rsidRDefault="006C5ACA" w:rsidP="006C5ACA">
    <w:pPr>
      <w:pStyle w:val="Header"/>
      <w:jc w:val="center"/>
      <w:rPr>
        <w:noProof/>
        <w:sz w:val="18"/>
        <w:szCs w:val="18"/>
      </w:rPr>
    </w:pPr>
    <w:r w:rsidRPr="006C5ACA">
      <w:rPr>
        <w:sz w:val="18"/>
        <w:szCs w:val="18"/>
      </w:rPr>
      <w:fldChar w:fldCharType="begin"/>
    </w:r>
    <w:r w:rsidRPr="006C5ACA">
      <w:rPr>
        <w:sz w:val="18"/>
        <w:szCs w:val="18"/>
      </w:rPr>
      <w:instrText>PAGE</w:instrText>
    </w:r>
    <w:r w:rsidRPr="006C5ACA">
      <w:rPr>
        <w:sz w:val="18"/>
        <w:szCs w:val="18"/>
      </w:rPr>
      <w:fldChar w:fldCharType="separate"/>
    </w:r>
    <w:r>
      <w:rPr>
        <w:noProof/>
        <w:sz w:val="18"/>
        <w:szCs w:val="18"/>
      </w:rPr>
      <w:t>2</w:t>
    </w:r>
    <w:r w:rsidRPr="006C5ACA">
      <w:rPr>
        <w:noProof/>
        <w:sz w:val="18"/>
        <w:szCs w:val="18"/>
      </w:rPr>
      <w:fldChar w:fldCharType="end"/>
    </w:r>
  </w:p>
  <w:p w:rsidR="006C5ACA" w:rsidRPr="006C5ACA" w:rsidRDefault="006C5ACA" w:rsidP="006C5ACA">
    <w:pPr>
      <w:pStyle w:val="Header"/>
      <w:jc w:val="center"/>
      <w:rPr>
        <w:sz w:val="18"/>
        <w:szCs w:val="18"/>
      </w:rPr>
    </w:pPr>
  </w:p>
  <w:p w:rsidR="006C5ACA" w:rsidRPr="006C5ACA" w:rsidRDefault="006C5ACA" w:rsidP="006C5ACA">
    <w:pPr>
      <w:pStyle w:val="Header"/>
      <w:jc w:val="cent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2">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0"/>
  </w:num>
  <w:num w:numId="5">
    <w:abstractNumId w:val="25"/>
  </w:num>
  <w:num w:numId="6">
    <w:abstractNumId w:val="28"/>
  </w:num>
  <w:num w:numId="7">
    <w:abstractNumId w:val="24"/>
  </w:num>
  <w:num w:numId="8">
    <w:abstractNumId w:val="15"/>
  </w:num>
  <w:num w:numId="9">
    <w:abstractNumId w:val="9"/>
  </w:num>
  <w:num w:numId="10">
    <w:abstractNumId w:val="11"/>
  </w:num>
  <w:num w:numId="11">
    <w:abstractNumId w:val="20"/>
  </w:num>
  <w:num w:numId="12">
    <w:abstractNumId w:val="30"/>
  </w:num>
  <w:num w:numId="13">
    <w:abstractNumId w:val="8"/>
  </w:num>
  <w:num w:numId="14">
    <w:abstractNumId w:val="26"/>
  </w:num>
  <w:num w:numId="15">
    <w:abstractNumId w:val="13"/>
  </w:num>
  <w:num w:numId="16">
    <w:abstractNumId w:val="32"/>
  </w:num>
  <w:num w:numId="17">
    <w:abstractNumId w:val="29"/>
  </w:num>
  <w:num w:numId="18">
    <w:abstractNumId w:val="21"/>
  </w:num>
  <w:num w:numId="19">
    <w:abstractNumId w:val="14"/>
  </w:num>
  <w:num w:numId="20">
    <w:abstractNumId w:val="12"/>
  </w:num>
  <w:num w:numId="21">
    <w:abstractNumId w:val="22"/>
  </w:num>
  <w:num w:numId="22">
    <w:abstractNumId w:val="23"/>
  </w:num>
  <w:num w:numId="23">
    <w:abstractNumId w:val="6"/>
  </w:num>
  <w:num w:numId="24">
    <w:abstractNumId w:val="18"/>
  </w:num>
  <w:num w:numId="25">
    <w:abstractNumId w:val="0"/>
  </w:num>
  <w:num w:numId="26">
    <w:abstractNumId w:val="27"/>
  </w:num>
  <w:num w:numId="27">
    <w:abstractNumId w:val="7"/>
  </w:num>
  <w:num w:numId="28">
    <w:abstractNumId w:val="17"/>
  </w:num>
  <w:num w:numId="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23A0"/>
    <w:rsid w:val="00054E5D"/>
    <w:rsid w:val="00070258"/>
    <w:rsid w:val="0007323C"/>
    <w:rsid w:val="00086D03"/>
    <w:rsid w:val="000A096A"/>
    <w:rsid w:val="000A375E"/>
    <w:rsid w:val="000A7051"/>
    <w:rsid w:val="000B0AF6"/>
    <w:rsid w:val="000B0E9B"/>
    <w:rsid w:val="000B2CAE"/>
    <w:rsid w:val="000B43C7"/>
    <w:rsid w:val="000C03C7"/>
    <w:rsid w:val="000C295E"/>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2E30"/>
    <w:rsid w:val="001F3948"/>
    <w:rsid w:val="001F5A49"/>
    <w:rsid w:val="00201097"/>
    <w:rsid w:val="00201B6E"/>
    <w:rsid w:val="002302B3"/>
    <w:rsid w:val="00230C66"/>
    <w:rsid w:val="00235A29"/>
    <w:rsid w:val="00241526"/>
    <w:rsid w:val="002443A2"/>
    <w:rsid w:val="00246A34"/>
    <w:rsid w:val="00266E74"/>
    <w:rsid w:val="00283C3B"/>
    <w:rsid w:val="002861E6"/>
    <w:rsid w:val="00287D18"/>
    <w:rsid w:val="002A2618"/>
    <w:rsid w:val="002A5DD7"/>
    <w:rsid w:val="002B0CAC"/>
    <w:rsid w:val="002B19CE"/>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20EA"/>
    <w:rsid w:val="003E504F"/>
    <w:rsid w:val="003E78D6"/>
    <w:rsid w:val="00400573"/>
    <w:rsid w:val="004007A3"/>
    <w:rsid w:val="00406D71"/>
    <w:rsid w:val="004326DB"/>
    <w:rsid w:val="0043682E"/>
    <w:rsid w:val="00443C5F"/>
    <w:rsid w:val="00447ECB"/>
    <w:rsid w:val="004623F7"/>
    <w:rsid w:val="00467892"/>
    <w:rsid w:val="00480F51"/>
    <w:rsid w:val="00481124"/>
    <w:rsid w:val="004815EB"/>
    <w:rsid w:val="00483725"/>
    <w:rsid w:val="00487569"/>
    <w:rsid w:val="00487705"/>
    <w:rsid w:val="00496864"/>
    <w:rsid w:val="00496920"/>
    <w:rsid w:val="004A4496"/>
    <w:rsid w:val="004B11AB"/>
    <w:rsid w:val="004B1972"/>
    <w:rsid w:val="004B49CC"/>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6101"/>
    <w:rsid w:val="00553DD7"/>
    <w:rsid w:val="005638CF"/>
    <w:rsid w:val="005663A0"/>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305CF"/>
    <w:rsid w:val="0064371D"/>
    <w:rsid w:val="00650B2A"/>
    <w:rsid w:val="00651777"/>
    <w:rsid w:val="006550F8"/>
    <w:rsid w:val="006829F3"/>
    <w:rsid w:val="006A518B"/>
    <w:rsid w:val="006B0590"/>
    <w:rsid w:val="006B49DA"/>
    <w:rsid w:val="006C53F8"/>
    <w:rsid w:val="006C5ACA"/>
    <w:rsid w:val="006C7CDE"/>
    <w:rsid w:val="006F3B02"/>
    <w:rsid w:val="00713281"/>
    <w:rsid w:val="007234B1"/>
    <w:rsid w:val="00723D08"/>
    <w:rsid w:val="00725FDA"/>
    <w:rsid w:val="00727816"/>
    <w:rsid w:val="00730B9A"/>
    <w:rsid w:val="00733EA7"/>
    <w:rsid w:val="00747FD2"/>
    <w:rsid w:val="00750CFA"/>
    <w:rsid w:val="007553DA"/>
    <w:rsid w:val="007637CF"/>
    <w:rsid w:val="0078158B"/>
    <w:rsid w:val="00782354"/>
    <w:rsid w:val="00786C71"/>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7BC2"/>
    <w:rsid w:val="008B35A3"/>
    <w:rsid w:val="008B37E1"/>
    <w:rsid w:val="008B45F8"/>
    <w:rsid w:val="008B6EA9"/>
    <w:rsid w:val="008C2E74"/>
    <w:rsid w:val="008D5409"/>
    <w:rsid w:val="008E006D"/>
    <w:rsid w:val="008E38B4"/>
    <w:rsid w:val="008E49C4"/>
    <w:rsid w:val="008F4F21"/>
    <w:rsid w:val="00904D4A"/>
    <w:rsid w:val="009151BA"/>
    <w:rsid w:val="00923562"/>
    <w:rsid w:val="00925023"/>
    <w:rsid w:val="009265BC"/>
    <w:rsid w:val="009277BC"/>
    <w:rsid w:val="00927D57"/>
    <w:rsid w:val="00931A51"/>
    <w:rsid w:val="00947185"/>
    <w:rsid w:val="009518B3"/>
    <w:rsid w:val="00963D9D"/>
    <w:rsid w:val="0098013E"/>
    <w:rsid w:val="00981B54"/>
    <w:rsid w:val="009842C3"/>
    <w:rsid w:val="009A009A"/>
    <w:rsid w:val="009A20B4"/>
    <w:rsid w:val="009A2515"/>
    <w:rsid w:val="009A6BB6"/>
    <w:rsid w:val="009B3F43"/>
    <w:rsid w:val="009B4832"/>
    <w:rsid w:val="009B5CFA"/>
    <w:rsid w:val="009C161F"/>
    <w:rsid w:val="009C56B4"/>
    <w:rsid w:val="009D51A2"/>
    <w:rsid w:val="009E04A8"/>
    <w:rsid w:val="009E4AEC"/>
    <w:rsid w:val="009E5BD8"/>
    <w:rsid w:val="009E681E"/>
    <w:rsid w:val="00A119E6"/>
    <w:rsid w:val="00A11D6F"/>
    <w:rsid w:val="00A20FBC"/>
    <w:rsid w:val="00A31370"/>
    <w:rsid w:val="00A34D6F"/>
    <w:rsid w:val="00A41F91"/>
    <w:rsid w:val="00A427B2"/>
    <w:rsid w:val="00A51E2A"/>
    <w:rsid w:val="00A63355"/>
    <w:rsid w:val="00A7596D"/>
    <w:rsid w:val="00A878BB"/>
    <w:rsid w:val="00A963DF"/>
    <w:rsid w:val="00AC0C22"/>
    <w:rsid w:val="00AC3896"/>
    <w:rsid w:val="00AD2CF2"/>
    <w:rsid w:val="00AE2D88"/>
    <w:rsid w:val="00AE6F6F"/>
    <w:rsid w:val="00AF3325"/>
    <w:rsid w:val="00AF34D9"/>
    <w:rsid w:val="00AF70DA"/>
    <w:rsid w:val="00B019D3"/>
    <w:rsid w:val="00B32D59"/>
    <w:rsid w:val="00B34CF9"/>
    <w:rsid w:val="00B37559"/>
    <w:rsid w:val="00B4054B"/>
    <w:rsid w:val="00B451AF"/>
    <w:rsid w:val="00B53CE0"/>
    <w:rsid w:val="00B579B0"/>
    <w:rsid w:val="00B57D11"/>
    <w:rsid w:val="00B649D7"/>
    <w:rsid w:val="00B656A2"/>
    <w:rsid w:val="00B81C2F"/>
    <w:rsid w:val="00B90743"/>
    <w:rsid w:val="00B90C45"/>
    <w:rsid w:val="00B91A17"/>
    <w:rsid w:val="00B933BE"/>
    <w:rsid w:val="00BD6738"/>
    <w:rsid w:val="00BD7E5E"/>
    <w:rsid w:val="00BE63DB"/>
    <w:rsid w:val="00BE6574"/>
    <w:rsid w:val="00BF797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5CF"/>
    <w:rsid w:val="00D10BA0"/>
    <w:rsid w:val="00D14A53"/>
    <w:rsid w:val="00D21694"/>
    <w:rsid w:val="00D24EB5"/>
    <w:rsid w:val="00D35AB9"/>
    <w:rsid w:val="00D406FF"/>
    <w:rsid w:val="00D41571"/>
    <w:rsid w:val="00D416A0"/>
    <w:rsid w:val="00D42022"/>
    <w:rsid w:val="00D47672"/>
    <w:rsid w:val="00D5123C"/>
    <w:rsid w:val="00D55560"/>
    <w:rsid w:val="00D61C5A"/>
    <w:rsid w:val="00D6790C"/>
    <w:rsid w:val="00D73277"/>
    <w:rsid w:val="00D76586"/>
    <w:rsid w:val="00D82657"/>
    <w:rsid w:val="00D867F4"/>
    <w:rsid w:val="00D87E20"/>
    <w:rsid w:val="00DA4037"/>
    <w:rsid w:val="00DB1B9D"/>
    <w:rsid w:val="00DE66A5"/>
    <w:rsid w:val="00DF2B50"/>
    <w:rsid w:val="00E04C86"/>
    <w:rsid w:val="00E17344"/>
    <w:rsid w:val="00E2001F"/>
    <w:rsid w:val="00E20F30"/>
    <w:rsid w:val="00E2189C"/>
    <w:rsid w:val="00E25BB1"/>
    <w:rsid w:val="00E27BBA"/>
    <w:rsid w:val="00E30E3F"/>
    <w:rsid w:val="00E35E8F"/>
    <w:rsid w:val="00E428AB"/>
    <w:rsid w:val="00E438E8"/>
    <w:rsid w:val="00E4493E"/>
    <w:rsid w:val="00E453A3"/>
    <w:rsid w:val="00E520E2"/>
    <w:rsid w:val="00E530C4"/>
    <w:rsid w:val="00E55996"/>
    <w:rsid w:val="00E64254"/>
    <w:rsid w:val="00E67928"/>
    <w:rsid w:val="00E70FB5"/>
    <w:rsid w:val="00E915AF"/>
    <w:rsid w:val="00E96415"/>
    <w:rsid w:val="00EA15B3"/>
    <w:rsid w:val="00EB2358"/>
    <w:rsid w:val="00EB3EB8"/>
    <w:rsid w:val="00EC02FE"/>
    <w:rsid w:val="00EC17C9"/>
    <w:rsid w:val="00EC4A96"/>
    <w:rsid w:val="00F15D95"/>
    <w:rsid w:val="00F379A6"/>
    <w:rsid w:val="00F424BF"/>
    <w:rsid w:val="00F44FC3"/>
    <w:rsid w:val="00F46107"/>
    <w:rsid w:val="00F468C5"/>
    <w:rsid w:val="00F52B83"/>
    <w:rsid w:val="00F52F39"/>
    <w:rsid w:val="00F6184F"/>
    <w:rsid w:val="00F634B7"/>
    <w:rsid w:val="00F8310E"/>
    <w:rsid w:val="00F914DD"/>
    <w:rsid w:val="00FA2358"/>
    <w:rsid w:val="00FB2592"/>
    <w:rsid w:val="00FB2810"/>
    <w:rsid w:val="00FB7A2C"/>
    <w:rsid w:val="00FC2947"/>
    <w:rsid w:val="00FC4422"/>
    <w:rsid w:val="00FE0818"/>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C874A621-C9B2-4268-94E0-DB44D2B5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uiPriority w:val="99"/>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A427B2"/>
    <w:rPr>
      <w:rFonts w:ascii="Times New Roman" w:hAnsi="Times New Roman"/>
      <w:b/>
    </w:rPr>
  </w:style>
  <w:style w:type="character" w:customStyle="1" w:styleId="Appref">
    <w:name w:val="App_ref"/>
    <w:basedOn w:val="DefaultParagraphFont"/>
    <w:uiPriority w:val="99"/>
    <w:rsid w:val="00A427B2"/>
  </w:style>
  <w:style w:type="paragraph" w:customStyle="1" w:styleId="AppendixNotitle0">
    <w:name w:val="Appendix_No &amp; title"/>
    <w:basedOn w:val="AnnexNotitle0"/>
    <w:next w:val="Normalaftertitle"/>
    <w:uiPriority w:val="99"/>
    <w:rsid w:val="00A427B2"/>
  </w:style>
  <w:style w:type="character" w:customStyle="1" w:styleId="Artdef">
    <w:name w:val="Art_def"/>
    <w:basedOn w:val="DefaultParagraphFont"/>
    <w:uiPriority w:val="99"/>
    <w:rsid w:val="00A427B2"/>
    <w:rPr>
      <w:rFonts w:ascii="Times New Roman" w:hAnsi="Times New Roman"/>
      <w:b/>
    </w:rPr>
  </w:style>
  <w:style w:type="character" w:customStyle="1" w:styleId="Artref">
    <w:name w:val="Art_ref"/>
    <w:basedOn w:val="DefaultParagraphFont"/>
    <w:uiPriority w:val="99"/>
    <w:rsid w:val="00A427B2"/>
  </w:style>
  <w:style w:type="paragraph" w:customStyle="1" w:styleId="RecNoBR">
    <w:name w:val="Rec_No_BR"/>
    <w:basedOn w:val="Normal"/>
    <w:next w:val="Rectitle"/>
    <w:uiPriority w:val="99"/>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A427B2"/>
    <w:rPr>
      <w:vertAlign w:val="superscript"/>
    </w:rPr>
  </w:style>
  <w:style w:type="paragraph" w:customStyle="1" w:styleId="QuestionNoBR">
    <w:name w:val="Question_No_BR"/>
    <w:basedOn w:val="RecNoBR"/>
    <w:next w:val="Questiontitle"/>
    <w:uiPriority w:val="99"/>
    <w:rsid w:val="00A427B2"/>
  </w:style>
  <w:style w:type="paragraph" w:customStyle="1" w:styleId="RepNoBR">
    <w:name w:val="Rep_No_BR"/>
    <w:basedOn w:val="RecNoBR"/>
    <w:next w:val="Reptitle"/>
    <w:uiPriority w:val="99"/>
    <w:rsid w:val="00A427B2"/>
  </w:style>
  <w:style w:type="paragraph" w:customStyle="1" w:styleId="ResNoBR">
    <w:name w:val="Res_No_BR"/>
    <w:basedOn w:val="RecNoBR"/>
    <w:next w:val="Restitle"/>
    <w:uiPriority w:val="99"/>
    <w:rsid w:val="00A427B2"/>
  </w:style>
  <w:style w:type="paragraph" w:customStyle="1" w:styleId="TableNotitle0">
    <w:name w:val="Table_No &amp; title"/>
    <w:basedOn w:val="Normal"/>
    <w:next w:val="Tablehead"/>
    <w:uiPriority w:val="99"/>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A427B2"/>
    <w:rPr>
      <w:b/>
    </w:rPr>
  </w:style>
  <w:style w:type="character" w:customStyle="1" w:styleId="Resdef">
    <w:name w:val="Res_def"/>
    <w:basedOn w:val="DefaultParagraphFont"/>
    <w:uiPriority w:val="99"/>
    <w:rsid w:val="00A427B2"/>
    <w:rPr>
      <w:rFonts w:ascii="Times New Roman" w:hAnsi="Times New Roman"/>
      <w:b/>
    </w:rPr>
  </w:style>
  <w:style w:type="character" w:customStyle="1" w:styleId="Tablefreq">
    <w:name w:val="Table_freq"/>
    <w:basedOn w:val="DefaultParagraphFont"/>
    <w:uiPriority w:val="99"/>
    <w:rsid w:val="00A427B2"/>
    <w:rPr>
      <w:b/>
      <w:color w:val="auto"/>
    </w:rPr>
  </w:style>
  <w:style w:type="paragraph" w:customStyle="1" w:styleId="Tableref">
    <w:name w:val="Table_ref"/>
    <w:basedOn w:val="Normal"/>
    <w:next w:val="TabletitleBR"/>
    <w:uiPriority w:val="99"/>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A427B2"/>
    <w:pPr>
      <w:keepNext w:val="0"/>
      <w:spacing w:after="480"/>
    </w:pPr>
  </w:style>
  <w:style w:type="paragraph" w:customStyle="1" w:styleId="FigureNoBR">
    <w:name w:val="Figure_No_BR"/>
    <w:basedOn w:val="Normal"/>
    <w:next w:val="FiguretitleBR"/>
    <w:uiPriority w:val="99"/>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uiPriority w:val="99"/>
    <w:rsid w:val="00A427B2"/>
    <w:rPr>
      <w:b/>
      <w:sz w:val="24"/>
      <w:szCs w:val="22"/>
      <w:lang w:val="en-US" w:eastAsia="en-US"/>
    </w:rPr>
  </w:style>
  <w:style w:type="character" w:customStyle="1" w:styleId="Heading2Char">
    <w:name w:val="Heading 2 Char"/>
    <w:link w:val="Heading2"/>
    <w:uiPriority w:val="99"/>
    <w:rsid w:val="00A427B2"/>
    <w:rPr>
      <w:b/>
      <w:sz w:val="24"/>
      <w:szCs w:val="22"/>
      <w:lang w:val="en-US" w:eastAsia="en-US"/>
    </w:rPr>
  </w:style>
  <w:style w:type="character" w:customStyle="1" w:styleId="Heading3Char">
    <w:name w:val="Heading 3 Char"/>
    <w:link w:val="Heading3"/>
    <w:uiPriority w:val="99"/>
    <w:rsid w:val="00A427B2"/>
    <w:rPr>
      <w:b/>
      <w:sz w:val="24"/>
      <w:szCs w:val="22"/>
      <w:lang w:val="en-US" w:eastAsia="en-US"/>
    </w:rPr>
  </w:style>
  <w:style w:type="character" w:customStyle="1" w:styleId="Heading4Char">
    <w:name w:val="Heading 4 Char"/>
    <w:link w:val="Heading4"/>
    <w:uiPriority w:val="99"/>
    <w:rsid w:val="00A427B2"/>
    <w:rPr>
      <w:b/>
      <w:sz w:val="24"/>
      <w:szCs w:val="22"/>
      <w:lang w:val="en-US" w:eastAsia="en-US"/>
    </w:rPr>
  </w:style>
  <w:style w:type="character" w:customStyle="1" w:styleId="Heading6Char">
    <w:name w:val="Heading 6 Char"/>
    <w:link w:val="Heading6"/>
    <w:uiPriority w:val="99"/>
    <w:rsid w:val="00A427B2"/>
    <w:rPr>
      <w:b/>
      <w:sz w:val="24"/>
      <w:szCs w:val="22"/>
      <w:lang w:val="en-US" w:eastAsia="en-US"/>
    </w:rPr>
  </w:style>
  <w:style w:type="character" w:customStyle="1" w:styleId="Heading7Char">
    <w:name w:val="Heading 7 Char"/>
    <w:link w:val="Heading7"/>
    <w:uiPriority w:val="99"/>
    <w:rsid w:val="00A427B2"/>
    <w:rPr>
      <w:b/>
      <w:sz w:val="24"/>
      <w:szCs w:val="22"/>
      <w:lang w:val="en-US" w:eastAsia="en-US"/>
    </w:rPr>
  </w:style>
  <w:style w:type="character" w:customStyle="1" w:styleId="Heading8Char">
    <w:name w:val="Heading 8 Char"/>
    <w:link w:val="Heading8"/>
    <w:uiPriority w:val="99"/>
    <w:rsid w:val="00A427B2"/>
    <w:rPr>
      <w:b/>
      <w:sz w:val="24"/>
      <w:szCs w:val="22"/>
      <w:lang w:val="en-US" w:eastAsia="en-US"/>
    </w:rPr>
  </w:style>
  <w:style w:type="character" w:customStyle="1" w:styleId="Heading9Char">
    <w:name w:val="Heading 9 Char"/>
    <w:link w:val="Heading9"/>
    <w:uiPriority w:val="9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8A7BC2"/>
    <w:pPr>
      <w:tabs>
        <w:tab w:val="clear" w:pos="794"/>
        <w:tab w:val="clear" w:pos="1191"/>
        <w:tab w:val="clear" w:pos="1588"/>
        <w:tab w:val="clear" w:pos="1985"/>
      </w:tabs>
      <w:adjustRightInd/>
      <w:spacing w:before="0" w:line="240" w:lineRule="auto"/>
      <w:jc w:val="left"/>
      <w:textAlignment w:val="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387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G-ROP/en"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10C7-791D-4F55-8153-33A7CB16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8</TotalTime>
  <Pages>4</Pages>
  <Words>1367</Words>
  <Characters>7797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Murphy, Margaret</cp:lastModifiedBy>
  <cp:revision>10</cp:revision>
  <cp:lastPrinted>2014-07-16T12:15:00Z</cp:lastPrinted>
  <dcterms:created xsi:type="dcterms:W3CDTF">2014-07-10T14:22:00Z</dcterms:created>
  <dcterms:modified xsi:type="dcterms:W3CDTF">2014-07-23T12:44:00Z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