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276"/>
        <w:gridCol w:w="4077"/>
        <w:gridCol w:w="4536"/>
      </w:tblGrid>
      <w:tr w:rsidR="00EA15B3" w:rsidRPr="00F42C8C" w:rsidTr="00EA15B3">
        <w:tc>
          <w:tcPr>
            <w:tcW w:w="9889" w:type="dxa"/>
            <w:gridSpan w:val="3"/>
            <w:shd w:val="clear" w:color="auto" w:fill="auto"/>
          </w:tcPr>
          <w:p w:rsidR="00EA15B3" w:rsidRPr="007B1E33" w:rsidRDefault="007B1E33" w:rsidP="00F914DD">
            <w:pPr>
              <w:jc w:val="left"/>
              <w:rPr>
                <w:b/>
                <w:bCs/>
                <w:color w:val="808080"/>
                <w:sz w:val="28"/>
                <w:szCs w:val="28"/>
              </w:rPr>
            </w:pPr>
            <w:bookmarkStart w:id="0" w:name="Logo"/>
            <w:bookmarkStart w:id="1" w:name="Origine"/>
            <w:bookmarkEnd w:id="0"/>
            <w:bookmarkEnd w:id="1"/>
            <w:r w:rsidRPr="007B1E33">
              <w:rPr>
                <w:b/>
                <w:bCs/>
                <w:color w:val="808080"/>
                <w:sz w:val="28"/>
                <w:szCs w:val="28"/>
              </w:rPr>
              <w:t>Oficina de Radiocomunicaciones (BR)</w:t>
            </w:r>
          </w:p>
        </w:tc>
      </w:tr>
      <w:tr w:rsidR="00EA15B3" w:rsidRPr="00F42C8C" w:rsidTr="00EA15B3">
        <w:tc>
          <w:tcPr>
            <w:tcW w:w="9889" w:type="dxa"/>
            <w:gridSpan w:val="3"/>
            <w:shd w:val="clear" w:color="auto" w:fill="auto"/>
          </w:tcPr>
          <w:p w:rsidR="00EA15B3" w:rsidRPr="00F42C8C" w:rsidRDefault="00EA15B3" w:rsidP="00EA15B3">
            <w:pPr>
              <w:jc w:val="left"/>
            </w:pPr>
          </w:p>
        </w:tc>
      </w:tr>
      <w:tr w:rsidR="00651777" w:rsidRPr="004675AE" w:rsidTr="00651777">
        <w:tc>
          <w:tcPr>
            <w:tcW w:w="5353" w:type="dxa"/>
            <w:gridSpan w:val="2"/>
            <w:shd w:val="clear" w:color="auto" w:fill="auto"/>
          </w:tcPr>
          <w:p w:rsidR="00651777" w:rsidRPr="004675AE" w:rsidRDefault="004675AE" w:rsidP="004675AE">
            <w:pPr>
              <w:spacing w:before="0"/>
              <w:jc w:val="left"/>
              <w:rPr>
                <w:sz w:val="24"/>
                <w:szCs w:val="24"/>
              </w:rPr>
            </w:pPr>
            <w:r w:rsidRPr="004675AE">
              <w:rPr>
                <w:sz w:val="24"/>
                <w:szCs w:val="24"/>
                <w:lang w:val="es-ES"/>
              </w:rPr>
              <w:t>Carta Circular</w:t>
            </w:r>
            <w:r w:rsidRPr="004675AE">
              <w:rPr>
                <w:sz w:val="24"/>
                <w:szCs w:val="24"/>
                <w:lang w:val="es-ES"/>
              </w:rPr>
              <w:br/>
            </w:r>
            <w:r w:rsidRPr="004675AE">
              <w:rPr>
                <w:b/>
                <w:bCs/>
                <w:sz w:val="24"/>
                <w:szCs w:val="24"/>
                <w:lang w:val="es-ES"/>
              </w:rPr>
              <w:t>CR/366</w:t>
            </w:r>
          </w:p>
        </w:tc>
        <w:tc>
          <w:tcPr>
            <w:tcW w:w="4536" w:type="dxa"/>
            <w:shd w:val="clear" w:color="auto" w:fill="auto"/>
          </w:tcPr>
          <w:p w:rsidR="00651777" w:rsidRPr="004675AE" w:rsidRDefault="00D36292" w:rsidP="004675AE">
            <w:pPr>
              <w:jc w:val="right"/>
              <w:rPr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alias w:val="Date"/>
                <w:tag w:val="Date"/>
                <w:id w:val="20922293"/>
                <w:lock w:val="sdtLocked"/>
                <w:placeholder>
                  <w:docPart w:val="630E2BF8D81E498CA26BDFDD166314D7"/>
                </w:placeholder>
                <w:date>
                  <w:dateFormat w:val="d' de 'MMMM' de 'yyyy"/>
                  <w:lid w:val="es-ES_tradnl"/>
                  <w:storeMappedDataAs w:val="date"/>
                  <w:calendar w:val="gregorian"/>
                </w:date>
              </w:sdtPr>
              <w:sdtEndPr/>
              <w:sdtContent>
                <w:r>
                  <w:rPr>
                    <w:rFonts w:cs="Arial"/>
                    <w:sz w:val="24"/>
                    <w:szCs w:val="24"/>
                  </w:rPr>
                  <w:t xml:space="preserve">19 </w:t>
                </w:r>
                <w:r w:rsidR="007B1E33" w:rsidRPr="004675AE">
                  <w:rPr>
                    <w:rFonts w:cs="Arial"/>
                    <w:sz w:val="24"/>
                    <w:szCs w:val="24"/>
                  </w:rPr>
                  <w:t>junio de 2014</w:t>
                </w:r>
              </w:sdtContent>
            </w:sdt>
          </w:p>
        </w:tc>
      </w:tr>
      <w:tr w:rsidR="00651777" w:rsidRPr="004675AE" w:rsidTr="00651777">
        <w:tc>
          <w:tcPr>
            <w:tcW w:w="5353" w:type="dxa"/>
            <w:gridSpan w:val="2"/>
            <w:shd w:val="clear" w:color="auto" w:fill="auto"/>
          </w:tcPr>
          <w:p w:rsidR="00651777" w:rsidRPr="004675AE" w:rsidRDefault="00651777" w:rsidP="0065177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51777" w:rsidRPr="004675AE" w:rsidRDefault="00651777" w:rsidP="00651777">
            <w:pPr>
              <w:jc w:val="left"/>
              <w:rPr>
                <w:rFonts w:cs="Arial"/>
                <w:sz w:val="24"/>
                <w:szCs w:val="24"/>
              </w:rPr>
            </w:pPr>
          </w:p>
        </w:tc>
      </w:tr>
      <w:tr w:rsidR="004675AE" w:rsidRPr="004675AE" w:rsidTr="004675AE">
        <w:tc>
          <w:tcPr>
            <w:tcW w:w="9889" w:type="dxa"/>
            <w:gridSpan w:val="3"/>
            <w:shd w:val="clear" w:color="auto" w:fill="auto"/>
          </w:tcPr>
          <w:p w:rsidR="004675AE" w:rsidRPr="004675AE" w:rsidRDefault="004675AE" w:rsidP="00D65D87">
            <w:pPr>
              <w:spacing w:before="0"/>
              <w:jc w:val="left"/>
              <w:rPr>
                <w:b/>
                <w:bCs/>
                <w:sz w:val="24"/>
                <w:szCs w:val="24"/>
                <w:lang w:val="es-ES"/>
              </w:rPr>
            </w:pPr>
            <w:r w:rsidRPr="004675AE">
              <w:rPr>
                <w:b/>
                <w:sz w:val="24"/>
                <w:szCs w:val="24"/>
                <w:lang w:val="es-ES"/>
              </w:rPr>
              <w:t>A las Administraciones de los Estados Miembros de la UIT</w:t>
            </w:r>
          </w:p>
          <w:p w:rsidR="004675AE" w:rsidRPr="004675AE" w:rsidRDefault="004675AE" w:rsidP="00651777">
            <w:pPr>
              <w:spacing w:before="0"/>
              <w:rPr>
                <w:sz w:val="24"/>
                <w:szCs w:val="24"/>
                <w:lang w:val="es-ES"/>
              </w:rPr>
            </w:pPr>
          </w:p>
        </w:tc>
      </w:tr>
      <w:tr w:rsidR="004675AE" w:rsidRPr="004675AE" w:rsidTr="00EA15B3">
        <w:tc>
          <w:tcPr>
            <w:tcW w:w="9889" w:type="dxa"/>
            <w:gridSpan w:val="3"/>
            <w:shd w:val="clear" w:color="auto" w:fill="auto"/>
          </w:tcPr>
          <w:p w:rsidR="004675AE" w:rsidRPr="004675AE" w:rsidRDefault="004675AE" w:rsidP="00EA15B3">
            <w:pPr>
              <w:rPr>
                <w:sz w:val="24"/>
                <w:szCs w:val="24"/>
              </w:rPr>
            </w:pPr>
          </w:p>
        </w:tc>
      </w:tr>
      <w:tr w:rsidR="004675AE" w:rsidRPr="004675AE" w:rsidTr="004675AE">
        <w:tc>
          <w:tcPr>
            <w:tcW w:w="1276" w:type="dxa"/>
            <w:shd w:val="clear" w:color="auto" w:fill="auto"/>
          </w:tcPr>
          <w:p w:rsidR="004675AE" w:rsidRPr="004675AE" w:rsidRDefault="004675AE" w:rsidP="004675A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675AE">
              <w:rPr>
                <w:sz w:val="24"/>
                <w:szCs w:val="24"/>
              </w:rPr>
              <w:t>Asunto:</w:t>
            </w:r>
          </w:p>
        </w:tc>
        <w:tc>
          <w:tcPr>
            <w:tcW w:w="8613" w:type="dxa"/>
            <w:gridSpan w:val="2"/>
            <w:shd w:val="clear" w:color="auto" w:fill="auto"/>
            <w:vAlign w:val="center"/>
          </w:tcPr>
          <w:p w:rsidR="004675AE" w:rsidRPr="004675AE" w:rsidRDefault="004675AE" w:rsidP="00F13E62">
            <w:pPr>
              <w:tabs>
                <w:tab w:val="clear" w:pos="1588"/>
                <w:tab w:val="left" w:pos="1560"/>
              </w:tabs>
              <w:spacing w:line="240" w:lineRule="auto"/>
              <w:jc w:val="left"/>
              <w:rPr>
                <w:b/>
                <w:bCs/>
                <w:sz w:val="24"/>
                <w:szCs w:val="24"/>
                <w:lang w:val="es-ES"/>
              </w:rPr>
            </w:pPr>
            <w:bookmarkStart w:id="2" w:name="Subject"/>
            <w:bookmarkEnd w:id="2"/>
            <w:r w:rsidRPr="004675AE">
              <w:rPr>
                <w:b/>
                <w:bCs/>
                <w:sz w:val="24"/>
                <w:szCs w:val="24"/>
                <w:lang w:val="es-ES"/>
              </w:rPr>
              <w:t xml:space="preserve">Dirección </w:t>
            </w:r>
            <w:r w:rsidR="00F13E62" w:rsidRPr="004675AE">
              <w:rPr>
                <w:b/>
                <w:bCs/>
                <w:sz w:val="24"/>
                <w:szCs w:val="24"/>
                <w:lang w:val="es-ES"/>
              </w:rPr>
              <w:t xml:space="preserve">oficial </w:t>
            </w:r>
            <w:r w:rsidRPr="004675AE">
              <w:rPr>
                <w:b/>
                <w:bCs/>
                <w:sz w:val="24"/>
                <w:szCs w:val="24"/>
                <w:lang w:val="es-ES"/>
              </w:rPr>
              <w:t>de correo electrónico para recibir comunicaciones de la Oficina de Radiocomunicaciones acerca de la aplicación del Reglamento de Radiocomunicaciones</w:t>
            </w:r>
          </w:p>
          <w:p w:rsidR="004675AE" w:rsidRPr="004675AE" w:rsidRDefault="004675AE" w:rsidP="004675AE">
            <w:pPr>
              <w:tabs>
                <w:tab w:val="clear" w:pos="1588"/>
                <w:tab w:val="left" w:pos="1560"/>
              </w:tabs>
              <w:spacing w:line="240" w:lineRule="auto"/>
              <w:jc w:val="left"/>
              <w:rPr>
                <w:b/>
                <w:bCs/>
                <w:sz w:val="24"/>
                <w:szCs w:val="24"/>
                <w:lang w:val="es-ES"/>
              </w:rPr>
            </w:pPr>
          </w:p>
        </w:tc>
      </w:tr>
    </w:tbl>
    <w:p w:rsidR="004675AE" w:rsidRPr="004675AE" w:rsidRDefault="004675AE" w:rsidP="00F13E62">
      <w:pPr>
        <w:spacing w:line="240" w:lineRule="auto"/>
        <w:rPr>
          <w:sz w:val="24"/>
          <w:szCs w:val="24"/>
          <w:lang w:val="es-ES"/>
        </w:rPr>
      </w:pPr>
      <w:r w:rsidRPr="004675AE">
        <w:rPr>
          <w:sz w:val="24"/>
          <w:szCs w:val="24"/>
          <w:lang w:val="es-ES"/>
        </w:rPr>
        <w:t xml:space="preserve">La Oficina de Radiocomunicaciones </w:t>
      </w:r>
      <w:r w:rsidR="00F13E62">
        <w:rPr>
          <w:sz w:val="24"/>
          <w:szCs w:val="24"/>
          <w:lang w:val="es-ES"/>
        </w:rPr>
        <w:t>tiene</w:t>
      </w:r>
      <w:r w:rsidRPr="004675AE">
        <w:rPr>
          <w:sz w:val="24"/>
          <w:szCs w:val="24"/>
          <w:lang w:val="es-ES"/>
        </w:rPr>
        <w:t xml:space="preserve"> dificultades para informar por telefax a las </w:t>
      </w:r>
      <w:r w:rsidR="00F13E62">
        <w:rPr>
          <w:sz w:val="24"/>
          <w:szCs w:val="24"/>
          <w:lang w:val="es-ES"/>
        </w:rPr>
        <w:t>A</w:t>
      </w:r>
      <w:r w:rsidRPr="004675AE">
        <w:rPr>
          <w:sz w:val="24"/>
          <w:szCs w:val="24"/>
          <w:lang w:val="es-ES"/>
        </w:rPr>
        <w:t xml:space="preserve">dministraciones acerca de las medidas adoptadas en </w:t>
      </w:r>
      <w:r w:rsidR="00F13E62">
        <w:rPr>
          <w:sz w:val="24"/>
          <w:szCs w:val="24"/>
          <w:lang w:val="es-ES"/>
        </w:rPr>
        <w:t>cumplimiento</w:t>
      </w:r>
      <w:r w:rsidRPr="004675AE">
        <w:rPr>
          <w:sz w:val="24"/>
          <w:szCs w:val="24"/>
          <w:lang w:val="es-ES"/>
        </w:rPr>
        <w:t xml:space="preserve"> del Reglamento de Radiocomunicaciones.</w:t>
      </w:r>
      <w:r w:rsidRPr="004675AE">
        <w:rPr>
          <w:sz w:val="24"/>
          <w:szCs w:val="24"/>
        </w:rPr>
        <w:t xml:space="preserve"> No se han podido enviar telefaxes</w:t>
      </w:r>
      <w:r w:rsidRPr="004675AE">
        <w:rPr>
          <w:sz w:val="24"/>
          <w:szCs w:val="24"/>
          <w:lang w:val="es-ES"/>
        </w:rPr>
        <w:t xml:space="preserve"> a algunas Administraciones a través de los números proporcionado</w:t>
      </w:r>
      <w:r w:rsidR="00F13E62">
        <w:rPr>
          <w:sz w:val="24"/>
          <w:szCs w:val="24"/>
          <w:lang w:val="es-ES"/>
        </w:rPr>
        <w:t>s</w:t>
      </w:r>
      <w:r w:rsidRPr="004675AE">
        <w:rPr>
          <w:sz w:val="24"/>
          <w:szCs w:val="24"/>
          <w:lang w:val="es-ES"/>
        </w:rPr>
        <w:t xml:space="preserve"> </w:t>
      </w:r>
      <w:r w:rsidR="00F13E62">
        <w:rPr>
          <w:sz w:val="24"/>
          <w:szCs w:val="24"/>
          <w:lang w:val="es-ES"/>
        </w:rPr>
        <w:t xml:space="preserve">oficialmente </w:t>
      </w:r>
      <w:r w:rsidRPr="004675AE">
        <w:rPr>
          <w:sz w:val="24"/>
          <w:szCs w:val="24"/>
          <w:lang w:val="es-ES"/>
        </w:rPr>
        <w:t xml:space="preserve">a la Oficina. Por consiguiente, la Oficina no tiene más </w:t>
      </w:r>
      <w:proofErr w:type="gramStart"/>
      <w:r w:rsidRPr="004675AE">
        <w:rPr>
          <w:sz w:val="24"/>
          <w:szCs w:val="24"/>
          <w:lang w:val="es-ES"/>
        </w:rPr>
        <w:t>opción</w:t>
      </w:r>
      <w:proofErr w:type="gramEnd"/>
      <w:r w:rsidRPr="004675AE">
        <w:rPr>
          <w:sz w:val="24"/>
          <w:szCs w:val="24"/>
          <w:lang w:val="es-ES"/>
        </w:rPr>
        <w:t xml:space="preserve"> que enviar la misma información por correo postal. </w:t>
      </w:r>
    </w:p>
    <w:p w:rsidR="004675AE" w:rsidRPr="004675AE" w:rsidRDefault="004675AE" w:rsidP="00F13E62">
      <w:pPr>
        <w:spacing w:line="240" w:lineRule="auto"/>
        <w:rPr>
          <w:sz w:val="24"/>
          <w:szCs w:val="24"/>
          <w:lang w:val="es-ES"/>
        </w:rPr>
      </w:pPr>
      <w:r w:rsidRPr="004675AE">
        <w:rPr>
          <w:sz w:val="24"/>
          <w:szCs w:val="24"/>
          <w:lang w:val="es-ES"/>
        </w:rPr>
        <w:t xml:space="preserve">No obstante, el envío por correo postal podría dar lugar a demoras en la recepción de la información por las Administraciones y, </w:t>
      </w:r>
      <w:r w:rsidR="00F13E62">
        <w:rPr>
          <w:sz w:val="24"/>
          <w:szCs w:val="24"/>
          <w:lang w:val="es-ES"/>
        </w:rPr>
        <w:t>sobre todo</w:t>
      </w:r>
      <w:r w:rsidRPr="004675AE">
        <w:rPr>
          <w:sz w:val="24"/>
          <w:szCs w:val="24"/>
          <w:lang w:val="es-ES"/>
        </w:rPr>
        <w:t xml:space="preserve">, en sus respuestas. Esta situación podría tener consecuencias reglamentarias </w:t>
      </w:r>
      <w:r w:rsidR="00F13E62">
        <w:rPr>
          <w:sz w:val="24"/>
          <w:szCs w:val="24"/>
          <w:lang w:val="es-ES"/>
        </w:rPr>
        <w:t xml:space="preserve">negativas </w:t>
      </w:r>
      <w:r w:rsidRPr="004675AE">
        <w:rPr>
          <w:sz w:val="24"/>
          <w:szCs w:val="24"/>
          <w:lang w:val="es-ES"/>
        </w:rPr>
        <w:t>para sus asignaciones y atribuciones de frecuencias.</w:t>
      </w:r>
    </w:p>
    <w:p w:rsidR="004675AE" w:rsidRPr="004675AE" w:rsidRDefault="004675AE" w:rsidP="00F13E62">
      <w:pPr>
        <w:spacing w:line="240" w:lineRule="auto"/>
        <w:rPr>
          <w:sz w:val="24"/>
          <w:szCs w:val="24"/>
          <w:lang w:val="es-ES"/>
        </w:rPr>
      </w:pPr>
      <w:r w:rsidRPr="004675AE">
        <w:rPr>
          <w:sz w:val="24"/>
          <w:szCs w:val="24"/>
          <w:lang w:val="es-ES"/>
        </w:rPr>
        <w:t xml:space="preserve">El Director de la Oficina de Radiocomunicaciones </w:t>
      </w:r>
      <w:r w:rsidR="00F13E62">
        <w:rPr>
          <w:sz w:val="24"/>
          <w:szCs w:val="24"/>
          <w:lang w:val="es-ES"/>
        </w:rPr>
        <w:t xml:space="preserve">señaló esas </w:t>
      </w:r>
      <w:r w:rsidRPr="004675AE">
        <w:rPr>
          <w:sz w:val="24"/>
          <w:szCs w:val="24"/>
          <w:lang w:val="es-ES"/>
        </w:rPr>
        <w:t>dificultades en su informe a la Conferencia Mundial de Radiocomunicaciones (CMR-12) (</w:t>
      </w:r>
      <w:r w:rsidR="00F13E62">
        <w:rPr>
          <w:sz w:val="24"/>
          <w:szCs w:val="24"/>
          <w:lang w:val="es-ES"/>
        </w:rPr>
        <w:t xml:space="preserve">punto </w:t>
      </w:r>
      <w:r w:rsidRPr="004675AE">
        <w:rPr>
          <w:sz w:val="24"/>
          <w:szCs w:val="24"/>
          <w:lang w:val="es-ES"/>
        </w:rPr>
        <w:t xml:space="preserve">2.1.1 del Documento 4 (Add2)) y, en </w:t>
      </w:r>
      <w:r w:rsidR="00F13E62">
        <w:rPr>
          <w:sz w:val="24"/>
          <w:szCs w:val="24"/>
          <w:lang w:val="es-ES"/>
        </w:rPr>
        <w:t>consecuencia</w:t>
      </w:r>
      <w:r w:rsidRPr="004675AE">
        <w:rPr>
          <w:sz w:val="24"/>
          <w:szCs w:val="24"/>
          <w:lang w:val="es-ES"/>
        </w:rPr>
        <w:t xml:space="preserve">, la Conferencia adoptó la Resolución 907, en la que encarga a la Oficina que facilite a las </w:t>
      </w:r>
      <w:r w:rsidR="00F13E62">
        <w:rPr>
          <w:sz w:val="24"/>
          <w:szCs w:val="24"/>
          <w:lang w:val="es-ES"/>
        </w:rPr>
        <w:t>A</w:t>
      </w:r>
      <w:r w:rsidRPr="004675AE">
        <w:rPr>
          <w:sz w:val="24"/>
          <w:szCs w:val="24"/>
          <w:lang w:val="es-ES"/>
        </w:rPr>
        <w:t xml:space="preserve">dministraciones los medios técnicos necesarios para garantizar la seguridad de la correspondencia electrónica moderna entre las Administraciones y la Oficina de Radiocomunicaciones. La Oficina, en colaboración con la Secretaría General, ha empezado a desarrollar un nuevo sistema </w:t>
      </w:r>
      <w:r w:rsidR="00F13E62" w:rsidRPr="004675AE">
        <w:rPr>
          <w:sz w:val="24"/>
          <w:szCs w:val="24"/>
          <w:lang w:val="es-ES"/>
        </w:rPr>
        <w:t xml:space="preserve">seguro </w:t>
      </w:r>
      <w:r w:rsidRPr="004675AE">
        <w:rPr>
          <w:sz w:val="24"/>
          <w:szCs w:val="24"/>
          <w:lang w:val="es-ES"/>
        </w:rPr>
        <w:t xml:space="preserve">de comunicaciones electrónicas. </w:t>
      </w:r>
      <w:r w:rsidR="00F13E62">
        <w:rPr>
          <w:sz w:val="24"/>
          <w:szCs w:val="24"/>
          <w:lang w:val="es-ES"/>
        </w:rPr>
        <w:t>Ahora bien</w:t>
      </w:r>
      <w:r w:rsidRPr="004675AE">
        <w:rPr>
          <w:sz w:val="24"/>
          <w:szCs w:val="24"/>
          <w:lang w:val="es-ES"/>
        </w:rPr>
        <w:t xml:space="preserve">, antes de </w:t>
      </w:r>
      <w:r w:rsidR="00F13E62">
        <w:rPr>
          <w:sz w:val="24"/>
          <w:szCs w:val="24"/>
          <w:lang w:val="es-ES"/>
        </w:rPr>
        <w:t xml:space="preserve">adoptar </w:t>
      </w:r>
      <w:r w:rsidRPr="004675AE">
        <w:rPr>
          <w:sz w:val="24"/>
          <w:szCs w:val="24"/>
          <w:lang w:val="es-ES"/>
        </w:rPr>
        <w:t>este nuevo sistema de correspondencia electrónica entre las Administraciones y la Oficina,</w:t>
      </w:r>
      <w:r w:rsidRPr="004675AE">
        <w:rPr>
          <w:sz w:val="24"/>
          <w:szCs w:val="24"/>
        </w:rPr>
        <w:t xml:space="preserve"> </w:t>
      </w:r>
      <w:r w:rsidR="00F13E62">
        <w:rPr>
          <w:sz w:val="24"/>
          <w:szCs w:val="24"/>
        </w:rPr>
        <w:t xml:space="preserve">deben </w:t>
      </w:r>
      <w:r w:rsidRPr="004675AE">
        <w:rPr>
          <w:sz w:val="24"/>
          <w:szCs w:val="24"/>
        </w:rPr>
        <w:t>adoptar</w:t>
      </w:r>
      <w:r w:rsidR="00F13E62">
        <w:rPr>
          <w:sz w:val="24"/>
          <w:szCs w:val="24"/>
        </w:rPr>
        <w:t>se</w:t>
      </w:r>
      <w:r w:rsidRPr="004675AE">
        <w:rPr>
          <w:sz w:val="24"/>
          <w:szCs w:val="24"/>
        </w:rPr>
        <w:t xml:space="preserve"> </w:t>
      </w:r>
      <w:r w:rsidRPr="004675AE">
        <w:rPr>
          <w:sz w:val="24"/>
          <w:szCs w:val="24"/>
          <w:lang w:val="es-ES"/>
        </w:rPr>
        <w:t xml:space="preserve">medidas </w:t>
      </w:r>
      <w:r w:rsidR="00F13E62">
        <w:rPr>
          <w:sz w:val="24"/>
          <w:szCs w:val="24"/>
          <w:lang w:val="es-ES"/>
        </w:rPr>
        <w:t xml:space="preserve">provisionales para </w:t>
      </w:r>
      <w:r w:rsidRPr="004675AE">
        <w:rPr>
          <w:sz w:val="24"/>
          <w:szCs w:val="24"/>
          <w:lang w:val="es-ES"/>
        </w:rPr>
        <w:t>mejorar la correspondencia entre la Oficina y las Administraciones.</w:t>
      </w:r>
    </w:p>
    <w:p w:rsidR="004675AE" w:rsidRPr="004675AE" w:rsidRDefault="004675AE" w:rsidP="00F13E62">
      <w:pPr>
        <w:spacing w:line="240" w:lineRule="auto"/>
        <w:rPr>
          <w:sz w:val="24"/>
          <w:szCs w:val="24"/>
          <w:lang w:val="es-ES"/>
        </w:rPr>
      </w:pPr>
      <w:r w:rsidRPr="004675AE">
        <w:rPr>
          <w:sz w:val="24"/>
          <w:szCs w:val="24"/>
          <w:lang w:val="es-ES"/>
        </w:rPr>
        <w:t xml:space="preserve">En este contexto y habida cuenta de que la Junta del Reglamento de Radiocomunicaciones (RRB) recomendó a la Oficina </w:t>
      </w:r>
      <w:r w:rsidR="00F13E62">
        <w:rPr>
          <w:sz w:val="24"/>
          <w:szCs w:val="24"/>
          <w:lang w:val="es-ES"/>
        </w:rPr>
        <w:t>que siguiera</w:t>
      </w:r>
      <w:r w:rsidRPr="004675AE">
        <w:rPr>
          <w:sz w:val="24"/>
          <w:szCs w:val="24"/>
          <w:lang w:val="es-ES"/>
        </w:rPr>
        <w:t xml:space="preserve"> estudiando todos los medios posibles de comunicación para ponerse en contacto con una Administración cuando surgen dificultades de comunicación (Documento 16 de la 65ª reunión de la RRB), la Oficina </w:t>
      </w:r>
      <w:r w:rsidR="00F13E62">
        <w:rPr>
          <w:sz w:val="24"/>
          <w:szCs w:val="24"/>
          <w:lang w:val="es-ES"/>
        </w:rPr>
        <w:t xml:space="preserve">tiene el gusto de </w:t>
      </w:r>
      <w:r w:rsidRPr="004675AE">
        <w:rPr>
          <w:sz w:val="24"/>
          <w:szCs w:val="24"/>
          <w:lang w:val="es-ES"/>
        </w:rPr>
        <w:t xml:space="preserve">anunciar que está en condiciones de remitir, además del correo postal, un correo electrónico con los documentos adjuntos en formato PDF (telefax escaneado) a todas las Administraciones que hayan facilitado su dirección oficial de correo electrónico a la Oficina, cuando no tenga éxito la comunicación </w:t>
      </w:r>
      <w:r w:rsidR="00F13E62">
        <w:rPr>
          <w:sz w:val="24"/>
          <w:szCs w:val="24"/>
          <w:lang w:val="es-ES"/>
        </w:rPr>
        <w:t xml:space="preserve">por </w:t>
      </w:r>
      <w:r w:rsidRPr="004675AE">
        <w:rPr>
          <w:sz w:val="24"/>
          <w:szCs w:val="24"/>
          <w:lang w:val="es-ES"/>
        </w:rPr>
        <w:t xml:space="preserve">telefax. La Oficina espera que esta nueva medida ayude a paliar las dificultades </w:t>
      </w:r>
      <w:r w:rsidR="00F13E62">
        <w:rPr>
          <w:sz w:val="24"/>
          <w:szCs w:val="24"/>
          <w:lang w:val="es-ES"/>
        </w:rPr>
        <w:t xml:space="preserve">de </w:t>
      </w:r>
      <w:r w:rsidRPr="004675AE">
        <w:rPr>
          <w:sz w:val="24"/>
          <w:szCs w:val="24"/>
          <w:lang w:val="es-ES"/>
        </w:rPr>
        <w:t xml:space="preserve">comunicación con las Administraciones y facilite la </w:t>
      </w:r>
      <w:r w:rsidR="00F13E62">
        <w:rPr>
          <w:sz w:val="24"/>
          <w:szCs w:val="24"/>
          <w:lang w:val="es-ES"/>
        </w:rPr>
        <w:t xml:space="preserve">pronta </w:t>
      </w:r>
      <w:r w:rsidRPr="004675AE">
        <w:rPr>
          <w:sz w:val="24"/>
          <w:szCs w:val="24"/>
          <w:lang w:val="es-ES"/>
        </w:rPr>
        <w:t>respuesta de las mismas a las comunicaciones de la Oficina.</w:t>
      </w:r>
    </w:p>
    <w:p w:rsidR="004675AE" w:rsidRPr="004675AE" w:rsidRDefault="004675AE" w:rsidP="005262E9">
      <w:pPr>
        <w:spacing w:line="240" w:lineRule="auto"/>
        <w:rPr>
          <w:rFonts w:cs="Arial"/>
          <w:sz w:val="24"/>
          <w:szCs w:val="24"/>
          <w:lang w:val="es-ES"/>
        </w:rPr>
      </w:pPr>
      <w:r w:rsidRPr="004675AE">
        <w:rPr>
          <w:rFonts w:cs="Arial"/>
          <w:sz w:val="24"/>
          <w:szCs w:val="24"/>
          <w:lang w:val="es-ES"/>
        </w:rPr>
        <w:lastRenderedPageBreak/>
        <w:t xml:space="preserve">En consecuencia, se ruega </w:t>
      </w:r>
      <w:r w:rsidR="00F13E62">
        <w:rPr>
          <w:rFonts w:cs="Arial"/>
          <w:sz w:val="24"/>
          <w:szCs w:val="24"/>
          <w:lang w:val="es-ES"/>
        </w:rPr>
        <w:t>a las</w:t>
      </w:r>
      <w:r w:rsidRPr="004675AE">
        <w:rPr>
          <w:rFonts w:cs="Arial"/>
          <w:sz w:val="24"/>
          <w:szCs w:val="24"/>
          <w:lang w:val="es-ES"/>
        </w:rPr>
        <w:t xml:space="preserve"> Administraciones </w:t>
      </w:r>
      <w:r w:rsidR="00F13E62">
        <w:rPr>
          <w:rFonts w:cs="Arial"/>
          <w:sz w:val="24"/>
          <w:szCs w:val="24"/>
          <w:lang w:val="es-ES"/>
        </w:rPr>
        <w:t xml:space="preserve">que </w:t>
      </w:r>
      <w:r w:rsidRPr="004675AE">
        <w:rPr>
          <w:rFonts w:cs="Arial"/>
          <w:sz w:val="24"/>
          <w:szCs w:val="24"/>
          <w:lang w:val="es-ES"/>
        </w:rPr>
        <w:t>confirmen la dirección de correo electrónico que han proporcionado a la UIT</w:t>
      </w:r>
      <w:r w:rsidR="00F13E62">
        <w:rPr>
          <w:rFonts w:cs="Arial"/>
          <w:sz w:val="24"/>
          <w:szCs w:val="24"/>
          <w:lang w:val="es-ES"/>
        </w:rPr>
        <w:t>,</w:t>
      </w:r>
      <w:r w:rsidRPr="004675AE">
        <w:rPr>
          <w:rFonts w:cs="Arial"/>
          <w:sz w:val="24"/>
          <w:szCs w:val="24"/>
          <w:lang w:val="es-ES"/>
        </w:rPr>
        <w:t xml:space="preserve"> o faciliten a la Oficina una dirección de correo electrónico oficial </w:t>
      </w:r>
      <w:r w:rsidR="005262E9">
        <w:rPr>
          <w:rFonts w:cs="Arial"/>
          <w:sz w:val="24"/>
          <w:szCs w:val="24"/>
          <w:lang w:val="es-ES"/>
        </w:rPr>
        <w:t xml:space="preserve">(no más de tres) por </w:t>
      </w:r>
      <w:r w:rsidRPr="004675AE">
        <w:rPr>
          <w:rFonts w:cs="Arial"/>
          <w:sz w:val="24"/>
          <w:szCs w:val="24"/>
          <w:lang w:val="es-ES"/>
        </w:rPr>
        <w:t xml:space="preserve">carta </w:t>
      </w:r>
      <w:r w:rsidR="005262E9" w:rsidRPr="004675AE">
        <w:rPr>
          <w:rFonts w:cs="Arial"/>
          <w:sz w:val="24"/>
          <w:szCs w:val="24"/>
          <w:lang w:val="es-ES"/>
        </w:rPr>
        <w:t xml:space="preserve">debidamente firmada </w:t>
      </w:r>
      <w:r w:rsidRPr="004675AE">
        <w:rPr>
          <w:rFonts w:cs="Arial"/>
          <w:sz w:val="24"/>
          <w:szCs w:val="24"/>
          <w:lang w:val="es-ES"/>
        </w:rPr>
        <w:t>(o telefax). A este respecto, se recomienda evitar el uso de una dirección de correo electrónico personal, debido al carácter permanente y oficial de la dirección utilizada para la comunicación entre las Administraciones y la Oficina.</w:t>
      </w:r>
    </w:p>
    <w:p w:rsidR="00E66A2C" w:rsidRDefault="004675AE" w:rsidP="00B6667E">
      <w:pPr>
        <w:spacing w:line="240" w:lineRule="auto"/>
        <w:rPr>
          <w:sz w:val="24"/>
          <w:szCs w:val="24"/>
          <w:lang w:val="es-ES"/>
        </w:rPr>
      </w:pPr>
      <w:r w:rsidRPr="004675AE">
        <w:rPr>
          <w:sz w:val="24"/>
          <w:szCs w:val="24"/>
          <w:lang w:val="es-ES"/>
        </w:rPr>
        <w:t xml:space="preserve">Hasta que se informe de lo contrario, toda correspondencia entre las Administraciones y la Oficina deberá seguir remitiéndose </w:t>
      </w:r>
      <w:r w:rsidR="005E3C94">
        <w:rPr>
          <w:sz w:val="24"/>
          <w:szCs w:val="24"/>
          <w:lang w:val="es-ES"/>
        </w:rPr>
        <w:t xml:space="preserve">por </w:t>
      </w:r>
      <w:r w:rsidRPr="004675AE">
        <w:rPr>
          <w:sz w:val="24"/>
          <w:szCs w:val="24"/>
          <w:lang w:val="es-ES"/>
        </w:rPr>
        <w:t xml:space="preserve">telefax o correo postal, </w:t>
      </w:r>
      <w:r w:rsidR="005E3C94">
        <w:rPr>
          <w:sz w:val="24"/>
          <w:szCs w:val="24"/>
          <w:lang w:val="es-ES"/>
        </w:rPr>
        <w:t xml:space="preserve">salvo cuando </w:t>
      </w:r>
      <w:r w:rsidRPr="004675AE">
        <w:rPr>
          <w:sz w:val="24"/>
          <w:szCs w:val="24"/>
          <w:lang w:val="es-ES"/>
        </w:rPr>
        <w:t xml:space="preserve">en el Reglamento de Radiocomunicaciones o las Reglas de Procedimiento relativas a la admisibilidad de formularios de notificación </w:t>
      </w:r>
      <w:r w:rsidR="005E3C94">
        <w:rPr>
          <w:sz w:val="24"/>
          <w:szCs w:val="24"/>
          <w:lang w:val="es-ES"/>
        </w:rPr>
        <w:t xml:space="preserve">se estipule </w:t>
      </w:r>
      <w:r w:rsidRPr="004675AE">
        <w:rPr>
          <w:sz w:val="24"/>
          <w:szCs w:val="24"/>
          <w:lang w:val="es-ES"/>
        </w:rPr>
        <w:t>que las comunicaciones se realicen en formato electrónico.</w:t>
      </w:r>
    </w:p>
    <w:p w:rsidR="004675AE" w:rsidRPr="004675AE" w:rsidRDefault="004675AE" w:rsidP="005E3C94">
      <w:pPr>
        <w:spacing w:line="240" w:lineRule="auto"/>
        <w:rPr>
          <w:sz w:val="24"/>
          <w:szCs w:val="24"/>
          <w:lang w:val="es-ES"/>
        </w:rPr>
      </w:pPr>
      <w:r w:rsidRPr="004675AE">
        <w:rPr>
          <w:sz w:val="24"/>
          <w:szCs w:val="24"/>
          <w:lang w:val="es-ES"/>
        </w:rPr>
        <w:t xml:space="preserve">La Oficina se mantiene a disposición de </w:t>
      </w:r>
      <w:r w:rsidR="005E3C94">
        <w:rPr>
          <w:sz w:val="24"/>
          <w:szCs w:val="24"/>
          <w:lang w:val="es-ES"/>
        </w:rPr>
        <w:t xml:space="preserve">esa </w:t>
      </w:r>
      <w:r w:rsidRPr="004675AE">
        <w:rPr>
          <w:sz w:val="24"/>
          <w:szCs w:val="24"/>
          <w:lang w:val="es-ES"/>
        </w:rPr>
        <w:t xml:space="preserve">Administración </w:t>
      </w:r>
      <w:r w:rsidR="005E3C94">
        <w:rPr>
          <w:sz w:val="24"/>
          <w:szCs w:val="24"/>
          <w:lang w:val="es-ES"/>
        </w:rPr>
        <w:t xml:space="preserve">en </w:t>
      </w:r>
      <w:r w:rsidRPr="004675AE">
        <w:rPr>
          <w:sz w:val="24"/>
          <w:szCs w:val="24"/>
          <w:lang w:val="es-ES"/>
        </w:rPr>
        <w:t xml:space="preserve">la dirección </w:t>
      </w:r>
      <w:hyperlink r:id="rId8" w:history="1">
        <w:r w:rsidRPr="004675AE">
          <w:rPr>
            <w:rStyle w:val="Hyperlink"/>
            <w:rFonts w:asciiTheme="minorHAnsi" w:hAnsiTheme="minorHAnsi" w:cstheme="majorBidi"/>
            <w:sz w:val="24"/>
            <w:szCs w:val="24"/>
            <w:lang w:val="es-ES"/>
          </w:rPr>
          <w:t>brmail@itu.int</w:t>
        </w:r>
      </w:hyperlink>
      <w:r w:rsidRPr="004675AE">
        <w:rPr>
          <w:sz w:val="24"/>
          <w:szCs w:val="24"/>
          <w:lang w:val="es-ES"/>
        </w:rPr>
        <w:t xml:space="preserve"> para facilitarle cualquier aclaración que desee respecto de los temas tratados en </w:t>
      </w:r>
      <w:r w:rsidR="005E3C94">
        <w:rPr>
          <w:sz w:val="24"/>
          <w:szCs w:val="24"/>
          <w:lang w:val="es-ES"/>
        </w:rPr>
        <w:t xml:space="preserve">la </w:t>
      </w:r>
      <w:r w:rsidR="00B6667E">
        <w:rPr>
          <w:sz w:val="24"/>
          <w:szCs w:val="24"/>
          <w:lang w:val="es-ES"/>
        </w:rPr>
        <w:t xml:space="preserve">presente </w:t>
      </w:r>
      <w:r w:rsidRPr="004675AE">
        <w:rPr>
          <w:sz w:val="24"/>
          <w:szCs w:val="24"/>
          <w:lang w:val="es-ES"/>
        </w:rPr>
        <w:t>Carta Circular.</w:t>
      </w:r>
    </w:p>
    <w:p w:rsidR="004675AE" w:rsidRPr="004675AE" w:rsidRDefault="004675AE" w:rsidP="004675AE">
      <w:pPr>
        <w:spacing w:before="1080" w:line="240" w:lineRule="auto"/>
        <w:jc w:val="left"/>
        <w:rPr>
          <w:rFonts w:asciiTheme="minorHAnsi" w:hAnsiTheme="minorHAnsi" w:cstheme="minorHAnsi"/>
          <w:sz w:val="24"/>
          <w:szCs w:val="24"/>
          <w:lang w:val="es-ES"/>
        </w:rPr>
      </w:pPr>
      <w:r w:rsidRPr="004675AE">
        <w:rPr>
          <w:rFonts w:asciiTheme="minorHAnsi" w:hAnsiTheme="minorHAnsi" w:cstheme="minorHAnsi"/>
          <w:sz w:val="24"/>
          <w:szCs w:val="24"/>
          <w:lang w:val="es-ES"/>
        </w:rPr>
        <w:t>François Rancy</w:t>
      </w:r>
      <w:r w:rsidRPr="004675AE">
        <w:rPr>
          <w:rFonts w:asciiTheme="minorHAnsi" w:hAnsiTheme="minorHAnsi" w:cstheme="minorHAnsi"/>
          <w:sz w:val="24"/>
          <w:szCs w:val="24"/>
          <w:lang w:val="es-ES"/>
        </w:rPr>
        <w:br/>
        <w:t>Director</w:t>
      </w:r>
    </w:p>
    <w:p w:rsidR="004675AE" w:rsidRPr="005268E8" w:rsidRDefault="004675AE" w:rsidP="004675AE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5760" w:line="240" w:lineRule="auto"/>
        <w:jc w:val="both"/>
        <w:rPr>
          <w:bCs/>
          <w:sz w:val="18"/>
          <w:szCs w:val="18"/>
          <w:u w:val="single"/>
          <w:lang w:val="es-ES"/>
        </w:rPr>
      </w:pPr>
      <w:bookmarkStart w:id="3" w:name="ddistribution"/>
      <w:bookmarkEnd w:id="3"/>
      <w:r w:rsidRPr="005268E8">
        <w:rPr>
          <w:bCs/>
          <w:sz w:val="18"/>
          <w:szCs w:val="18"/>
          <w:u w:val="single"/>
          <w:lang w:val="es-ES"/>
        </w:rPr>
        <w:t>Distribución:</w:t>
      </w:r>
    </w:p>
    <w:p w:rsidR="004675AE" w:rsidRPr="005268E8" w:rsidRDefault="004675AE" w:rsidP="004675AE">
      <w:pPr>
        <w:pStyle w:val="enumlev1"/>
        <w:tabs>
          <w:tab w:val="clear" w:pos="794"/>
          <w:tab w:val="left" w:pos="284"/>
        </w:tabs>
        <w:spacing w:line="240" w:lineRule="auto"/>
        <w:rPr>
          <w:sz w:val="18"/>
          <w:szCs w:val="18"/>
          <w:lang w:val="es-ES"/>
        </w:rPr>
      </w:pPr>
      <w:r w:rsidRPr="005268E8">
        <w:rPr>
          <w:sz w:val="18"/>
          <w:szCs w:val="18"/>
          <w:lang w:val="es-ES"/>
        </w:rPr>
        <w:t>–</w:t>
      </w:r>
      <w:r w:rsidRPr="005268E8">
        <w:rPr>
          <w:sz w:val="18"/>
          <w:szCs w:val="18"/>
          <w:lang w:val="es-ES"/>
        </w:rPr>
        <w:tab/>
        <w:t>Administraciones de los Estados Miembros de la UIT</w:t>
      </w:r>
    </w:p>
    <w:p w:rsidR="004675AE" w:rsidRPr="005268E8" w:rsidRDefault="004675AE" w:rsidP="004675AE">
      <w:pPr>
        <w:pStyle w:val="enumlev1"/>
        <w:tabs>
          <w:tab w:val="clear" w:pos="794"/>
          <w:tab w:val="left" w:pos="284"/>
        </w:tabs>
        <w:spacing w:before="0" w:line="240" w:lineRule="auto"/>
        <w:rPr>
          <w:sz w:val="18"/>
          <w:szCs w:val="18"/>
          <w:lang w:val="es-ES"/>
        </w:rPr>
      </w:pPr>
      <w:r w:rsidRPr="005268E8">
        <w:rPr>
          <w:sz w:val="18"/>
          <w:szCs w:val="18"/>
          <w:lang w:val="es-ES"/>
        </w:rPr>
        <w:t>–</w:t>
      </w:r>
      <w:r w:rsidRPr="005268E8">
        <w:rPr>
          <w:sz w:val="18"/>
          <w:szCs w:val="18"/>
          <w:lang w:val="es-ES"/>
        </w:rPr>
        <w:tab/>
        <w:t>Miembros de la Junta del Reglamento de Radiocomunicaciones</w:t>
      </w:r>
    </w:p>
    <w:sectPr w:rsidR="004675AE" w:rsidRPr="005268E8" w:rsidSect="00E66A2C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1134" w:left="1134" w:header="567" w:footer="567" w:gutter="0"/>
      <w:paperSrc w:first="4" w:other="4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E33" w:rsidRDefault="007B1E33">
      <w:r>
        <w:separator/>
      </w:r>
    </w:p>
  </w:endnote>
  <w:endnote w:type="continuationSeparator" w:id="0">
    <w:p w:rsidR="007B1E33" w:rsidRDefault="007B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F8" w:rsidRPr="00F42C8C" w:rsidRDefault="00F42C8C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F42C8C">
      <w:rPr>
        <w:sz w:val="18"/>
        <w:szCs w:val="18"/>
      </w:rPr>
      <w:t>Unión Internacional de Telecomunicaciones • Place des Nations • CH</w:t>
    </w:r>
    <w:r w:rsidRPr="00F42C8C">
      <w:rPr>
        <w:sz w:val="18"/>
        <w:szCs w:val="18"/>
      </w:rPr>
      <w:noBreakHyphen/>
      <w:t>1211 Ginebra 20 • Suiza</w:t>
    </w:r>
    <w:r w:rsidRPr="00F42C8C">
      <w:rPr>
        <w:sz w:val="18"/>
        <w:szCs w:val="18"/>
      </w:rPr>
      <w:br/>
      <w:t xml:space="preserve">Tel: +41 22 730 5111 • Fax: +41 22 733 7256 • Correo-e: </w:t>
    </w:r>
    <w:hyperlink r:id="rId1" w:history="1">
      <w:r w:rsidRPr="00F42C8C">
        <w:rPr>
          <w:rStyle w:val="Hyperlink"/>
          <w:sz w:val="18"/>
          <w:szCs w:val="18"/>
        </w:rPr>
        <w:t>itumail@itu.int</w:t>
      </w:r>
    </w:hyperlink>
    <w:r w:rsidRPr="00F42C8C">
      <w:rPr>
        <w:sz w:val="18"/>
        <w:szCs w:val="18"/>
      </w:rPr>
      <w:t xml:space="preserve"> • </w:t>
    </w:r>
    <w:hyperlink r:id="rId2" w:history="1">
      <w:r w:rsidRPr="00F42C8C">
        <w:rPr>
          <w:rStyle w:val="Hyperlink"/>
          <w:sz w:val="18"/>
          <w:szCs w:val="18"/>
        </w:rPr>
        <w:t>www.itu.int</w:t>
      </w:r>
    </w:hyperlink>
    <w:r w:rsidR="00F55EAB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E33" w:rsidRDefault="007B1E33">
      <w:r>
        <w:t>____________________</w:t>
      </w:r>
    </w:p>
  </w:footnote>
  <w:footnote w:type="continuationSeparator" w:id="0">
    <w:p w:rsidR="007B1E33" w:rsidRDefault="007B1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F8" w:rsidRPr="00235A29" w:rsidRDefault="00E66A2C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F8" w:rsidRPr="00E66A2C" w:rsidRDefault="00E66A2C" w:rsidP="00E66A2C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36292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F8" w:rsidRPr="00EA15B3" w:rsidRDefault="00026CF8" w:rsidP="00EA15B3">
    <w:pPr>
      <w:pStyle w:val="Header"/>
      <w:spacing w:line="360" w:lineRule="auto"/>
    </w:pPr>
    <w:r>
      <w:tab/>
    </w:r>
    <w:r>
      <w:tab/>
    </w:r>
    <w:r w:rsidR="003C4471">
      <w:rPr>
        <w:b/>
        <w:bCs/>
        <w:noProof/>
        <w:lang w:val="en-US" w:eastAsia="zh-CN"/>
      </w:rPr>
      <w:drawing>
        <wp:inline distT="0" distB="0" distL="0" distR="0" wp14:anchorId="6D0B940B" wp14:editId="703B6E3E">
          <wp:extent cx="638175" cy="72390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7B1E33"/>
    <w:rsid w:val="00010E30"/>
    <w:rsid w:val="00026CF8"/>
    <w:rsid w:val="00070258"/>
    <w:rsid w:val="00072B9B"/>
    <w:rsid w:val="00072E16"/>
    <w:rsid w:val="0007323C"/>
    <w:rsid w:val="00086D03"/>
    <w:rsid w:val="000A7051"/>
    <w:rsid w:val="000C03C7"/>
    <w:rsid w:val="000D786F"/>
    <w:rsid w:val="000E3DEE"/>
    <w:rsid w:val="00103C76"/>
    <w:rsid w:val="0011265F"/>
    <w:rsid w:val="0012385E"/>
    <w:rsid w:val="0016308F"/>
    <w:rsid w:val="00196710"/>
    <w:rsid w:val="00197324"/>
    <w:rsid w:val="001B1CE8"/>
    <w:rsid w:val="001D7070"/>
    <w:rsid w:val="001F5A49"/>
    <w:rsid w:val="00200936"/>
    <w:rsid w:val="00201097"/>
    <w:rsid w:val="00201B6E"/>
    <w:rsid w:val="002240B2"/>
    <w:rsid w:val="00235A29"/>
    <w:rsid w:val="002861E6"/>
    <w:rsid w:val="002A2700"/>
    <w:rsid w:val="002D6688"/>
    <w:rsid w:val="002F0890"/>
    <w:rsid w:val="003370B8"/>
    <w:rsid w:val="003666FF"/>
    <w:rsid w:val="003741EE"/>
    <w:rsid w:val="003A7C13"/>
    <w:rsid w:val="003B2BDA"/>
    <w:rsid w:val="003B55EC"/>
    <w:rsid w:val="003C4471"/>
    <w:rsid w:val="003E504F"/>
    <w:rsid w:val="004326DB"/>
    <w:rsid w:val="0043682E"/>
    <w:rsid w:val="004675AE"/>
    <w:rsid w:val="004815EB"/>
    <w:rsid w:val="00496920"/>
    <w:rsid w:val="004B7C9A"/>
    <w:rsid w:val="004E0DC4"/>
    <w:rsid w:val="004E0FB5"/>
    <w:rsid w:val="004E43BB"/>
    <w:rsid w:val="004F178E"/>
    <w:rsid w:val="00505309"/>
    <w:rsid w:val="0050789B"/>
    <w:rsid w:val="00515771"/>
    <w:rsid w:val="005262E9"/>
    <w:rsid w:val="00542A47"/>
    <w:rsid w:val="00543DF8"/>
    <w:rsid w:val="00546101"/>
    <w:rsid w:val="00553DD7"/>
    <w:rsid w:val="0057469A"/>
    <w:rsid w:val="00580814"/>
    <w:rsid w:val="005A03A3"/>
    <w:rsid w:val="005A7A3A"/>
    <w:rsid w:val="005B214C"/>
    <w:rsid w:val="005E3C94"/>
    <w:rsid w:val="00602D53"/>
    <w:rsid w:val="00651777"/>
    <w:rsid w:val="006B0590"/>
    <w:rsid w:val="006B49DA"/>
    <w:rsid w:val="00707216"/>
    <w:rsid w:val="007234B1"/>
    <w:rsid w:val="00730B9A"/>
    <w:rsid w:val="007921A7"/>
    <w:rsid w:val="007A5C27"/>
    <w:rsid w:val="007B1E33"/>
    <w:rsid w:val="007B3DB1"/>
    <w:rsid w:val="007D183E"/>
    <w:rsid w:val="007E3F13"/>
    <w:rsid w:val="00800012"/>
    <w:rsid w:val="0081513E"/>
    <w:rsid w:val="00823210"/>
    <w:rsid w:val="00843445"/>
    <w:rsid w:val="00847D46"/>
    <w:rsid w:val="00854131"/>
    <w:rsid w:val="0085652D"/>
    <w:rsid w:val="0087694B"/>
    <w:rsid w:val="008F4F21"/>
    <w:rsid w:val="00904D4A"/>
    <w:rsid w:val="009151BA"/>
    <w:rsid w:val="009277BC"/>
    <w:rsid w:val="00927D57"/>
    <w:rsid w:val="00941D23"/>
    <w:rsid w:val="0095010C"/>
    <w:rsid w:val="00963D9D"/>
    <w:rsid w:val="00981B54"/>
    <w:rsid w:val="009842C3"/>
    <w:rsid w:val="00995D80"/>
    <w:rsid w:val="009A6BB6"/>
    <w:rsid w:val="009C161F"/>
    <w:rsid w:val="009E4AEC"/>
    <w:rsid w:val="009E5BD8"/>
    <w:rsid w:val="009E681E"/>
    <w:rsid w:val="00A34D6F"/>
    <w:rsid w:val="00A41F91"/>
    <w:rsid w:val="00A963DF"/>
    <w:rsid w:val="00AC3896"/>
    <w:rsid w:val="00AE6CFA"/>
    <w:rsid w:val="00AF3325"/>
    <w:rsid w:val="00B34CF9"/>
    <w:rsid w:val="00B6667E"/>
    <w:rsid w:val="00B67004"/>
    <w:rsid w:val="00B90C45"/>
    <w:rsid w:val="00B933BE"/>
    <w:rsid w:val="00BB4069"/>
    <w:rsid w:val="00BD7E5E"/>
    <w:rsid w:val="00BE6574"/>
    <w:rsid w:val="00C57E2C"/>
    <w:rsid w:val="00C608B7"/>
    <w:rsid w:val="00C66F24"/>
    <w:rsid w:val="00C9291E"/>
    <w:rsid w:val="00CA3F44"/>
    <w:rsid w:val="00CA4E58"/>
    <w:rsid w:val="00CB3771"/>
    <w:rsid w:val="00CB5153"/>
    <w:rsid w:val="00CC0DA0"/>
    <w:rsid w:val="00CF6752"/>
    <w:rsid w:val="00D10BA0"/>
    <w:rsid w:val="00D24EB5"/>
    <w:rsid w:val="00D36292"/>
    <w:rsid w:val="00D41571"/>
    <w:rsid w:val="00D416A0"/>
    <w:rsid w:val="00D47672"/>
    <w:rsid w:val="00D5123C"/>
    <w:rsid w:val="00D51C9E"/>
    <w:rsid w:val="00D55560"/>
    <w:rsid w:val="00D61C5A"/>
    <w:rsid w:val="00DE66A5"/>
    <w:rsid w:val="00DF2B50"/>
    <w:rsid w:val="00E003F5"/>
    <w:rsid w:val="00E04C86"/>
    <w:rsid w:val="00E20F30"/>
    <w:rsid w:val="00E27BBA"/>
    <w:rsid w:val="00E34CD1"/>
    <w:rsid w:val="00E35E8F"/>
    <w:rsid w:val="00E438E8"/>
    <w:rsid w:val="00E520E2"/>
    <w:rsid w:val="00E64254"/>
    <w:rsid w:val="00E66A2C"/>
    <w:rsid w:val="00EA15B3"/>
    <w:rsid w:val="00EB2358"/>
    <w:rsid w:val="00EB3EB8"/>
    <w:rsid w:val="00F13E62"/>
    <w:rsid w:val="00F42C8C"/>
    <w:rsid w:val="00F468C5"/>
    <w:rsid w:val="00F52F39"/>
    <w:rsid w:val="00F55EAB"/>
    <w:rsid w:val="00F914DD"/>
    <w:rsid w:val="00FA2358"/>
    <w:rsid w:val="00FB2592"/>
    <w:rsid w:val="00FB2810"/>
    <w:rsid w:val="00FC2947"/>
    <w:rsid w:val="00FE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30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s-ES_tradnl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30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s-ES_tradnl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mail@itu.in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ITU\Letter-Fax-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30E2BF8D81E498CA26BDFDD16631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134C3-760D-498A-85CF-9821F0573D13}"/>
      </w:docPartPr>
      <w:docPartBody>
        <w:p w:rsidR="00C139B7" w:rsidRDefault="00C139B7">
          <w:pPr>
            <w:pStyle w:val="630E2BF8D81E498CA26BDFDD166314D7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9B7"/>
    <w:rsid w:val="00C1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30E2BF8D81E498CA26BDFDD166314D7">
    <w:name w:val="630E2BF8D81E498CA26BDFDD166314D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30E2BF8D81E498CA26BDFDD166314D7">
    <w:name w:val="630E2BF8D81E498CA26BDFDD166314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Letter-Fax-S.dotm</Template>
  <TotalTime>0</TotalTime>
  <Pages>2</Pages>
  <Words>571</Words>
  <Characters>3386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(Spanish)</vt:lpstr>
      <vt:lpstr>ITU-T Rec. Book 1 Resolutions ITU-T Series A Recommendations:</vt:lpstr>
    </vt:vector>
  </TitlesOfParts>
  <Company>International Telecommunication Union (ITU)</Company>
  <LinksUpToDate>false</LinksUpToDate>
  <CharactersWithSpaces>3950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(Spanish)</dc:title>
  <dc:creator>Christe-Baldan, Susana</dc:creator>
  <cp:lastModifiedBy>Marchetti, Caroline</cp:lastModifiedBy>
  <cp:revision>3</cp:revision>
  <cp:lastPrinted>2014-06-18T06:12:00Z</cp:lastPrinted>
  <dcterms:created xsi:type="dcterms:W3CDTF">2014-06-18T06:11:00Z</dcterms:created>
  <dcterms:modified xsi:type="dcterms:W3CDTF">2014-06-18T06:12:00Z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