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1951"/>
        <w:gridCol w:w="8069"/>
      </w:tblGrid>
      <w:tr w:rsidR="00FA7B4D">
        <w:trPr>
          <w:cantSplit/>
        </w:trPr>
        <w:tc>
          <w:tcPr>
            <w:tcW w:w="1951" w:type="dxa"/>
          </w:tcPr>
          <w:p w:rsidR="00FA7B4D" w:rsidRPr="0016677B" w:rsidRDefault="0016677B" w:rsidP="00E25073">
            <w:pPr>
              <w:tabs>
                <w:tab w:val="left" w:pos="7513"/>
              </w:tabs>
              <w:jc w:val="center"/>
              <w:rPr>
                <w:b/>
              </w:rPr>
            </w:pPr>
            <w:bookmarkStart w:id="0" w:name="dletter"/>
            <w:bookmarkEnd w:id="0"/>
            <w:r>
              <w:t>Lettre circulaire</w:t>
            </w:r>
          </w:p>
          <w:p w:rsidR="00FA7B4D" w:rsidRPr="0016677B" w:rsidRDefault="0016677B" w:rsidP="00E25073">
            <w:pPr>
              <w:tabs>
                <w:tab w:val="clear" w:pos="794"/>
                <w:tab w:val="clear" w:pos="1191"/>
              </w:tabs>
              <w:spacing w:before="0"/>
              <w:jc w:val="center"/>
              <w:rPr>
                <w:b/>
                <w:bCs/>
              </w:rPr>
            </w:pPr>
            <w:bookmarkStart w:id="1" w:name="dnum"/>
            <w:bookmarkEnd w:id="1"/>
            <w:r>
              <w:rPr>
                <w:b/>
                <w:bCs/>
              </w:rPr>
              <w:t>CR/336</w:t>
            </w:r>
          </w:p>
        </w:tc>
        <w:tc>
          <w:tcPr>
            <w:tcW w:w="8069" w:type="dxa"/>
          </w:tcPr>
          <w:p w:rsidR="00FA7B4D" w:rsidRPr="0016677B" w:rsidRDefault="00CB743B" w:rsidP="0027576C">
            <w:pPr>
              <w:tabs>
                <w:tab w:val="left" w:pos="7513"/>
              </w:tabs>
              <w:jc w:val="right"/>
            </w:pPr>
            <w:r w:rsidRPr="00FF764B">
              <w:t xml:space="preserve">le </w:t>
            </w:r>
            <w:bookmarkStart w:id="2" w:name="ddate"/>
            <w:bookmarkEnd w:id="2"/>
            <w:r w:rsidR="0016677B">
              <w:t>1</w:t>
            </w:r>
            <w:r w:rsidR="0027576C">
              <w:t>7</w:t>
            </w:r>
            <w:r w:rsidR="0016677B">
              <w:t xml:space="preserve"> juillet 2012</w:t>
            </w:r>
          </w:p>
        </w:tc>
      </w:tr>
    </w:tbl>
    <w:p w:rsidR="00FA7B4D" w:rsidRPr="00FE1623" w:rsidRDefault="00FE1623" w:rsidP="00FA7B4D">
      <w:pPr>
        <w:tabs>
          <w:tab w:val="left" w:pos="7513"/>
        </w:tabs>
        <w:spacing w:before="480"/>
        <w:jc w:val="center"/>
        <w:rPr>
          <w:b/>
          <w:bCs/>
        </w:rPr>
      </w:pPr>
      <w:r>
        <w:rPr>
          <w:b/>
        </w:rPr>
        <w:t>Aux Administrations des Etats Membres de l'UIT</w:t>
      </w:r>
    </w:p>
    <w:p w:rsidR="003203D8" w:rsidRPr="0016677B" w:rsidRDefault="00FE1623" w:rsidP="00FE1623">
      <w:pPr>
        <w:tabs>
          <w:tab w:val="clear" w:pos="794"/>
          <w:tab w:val="clear" w:pos="1191"/>
          <w:tab w:val="clear" w:pos="1588"/>
          <w:tab w:val="clear" w:pos="1985"/>
          <w:tab w:val="left" w:pos="709"/>
        </w:tabs>
        <w:spacing w:before="720"/>
        <w:ind w:left="709" w:hanging="709"/>
      </w:pPr>
      <w:r>
        <w:rPr>
          <w:b/>
        </w:rPr>
        <w:t>Objet</w:t>
      </w:r>
      <w:r>
        <w:t>:</w:t>
      </w:r>
      <w:r>
        <w:tab/>
      </w:r>
      <w:r>
        <w:tab/>
      </w:r>
      <w:bookmarkStart w:id="3" w:name="dtitle1"/>
      <w:bookmarkEnd w:id="3"/>
      <w:r w:rsidR="00564971">
        <w:t xml:space="preserve">Mise en </w:t>
      </w:r>
      <w:proofErr w:type="spellStart"/>
      <w:r w:rsidR="00564971">
        <w:t>oeuvre</w:t>
      </w:r>
      <w:proofErr w:type="spellEnd"/>
      <w:r w:rsidR="00564971">
        <w:t xml:space="preserve"> des décisions de la Conférence mondiale d</w:t>
      </w:r>
      <w:r w:rsidR="009C7330">
        <w:t>es radiocommunications (Genève, </w:t>
      </w:r>
      <w:r w:rsidR="00564971">
        <w:t xml:space="preserve">2012) (CMR-12) et des dispositions </w:t>
      </w:r>
      <w:r w:rsidR="009C7330">
        <w:t>transitoires</w:t>
      </w:r>
      <w:r w:rsidR="00564971">
        <w:t xml:space="preserve"> associées qui sont entrée</w:t>
      </w:r>
      <w:r w:rsidR="00FE3F01">
        <w:t>s en vigueur le 18 février 2012</w:t>
      </w:r>
    </w:p>
    <w:p w:rsidR="003203D8" w:rsidRPr="00FE1623" w:rsidRDefault="00FE1623" w:rsidP="003203D8">
      <w:pPr>
        <w:tabs>
          <w:tab w:val="clear" w:pos="794"/>
          <w:tab w:val="clear" w:pos="1191"/>
          <w:tab w:val="clear" w:pos="1588"/>
          <w:tab w:val="clear" w:pos="1985"/>
          <w:tab w:val="left" w:pos="709"/>
        </w:tabs>
        <w:spacing w:before="480"/>
        <w:ind w:left="709" w:hanging="709"/>
      </w:pPr>
      <w:r>
        <w:rPr>
          <w:b/>
          <w:bCs/>
        </w:rPr>
        <w:t>A l'attention du Directeur général</w:t>
      </w:r>
    </w:p>
    <w:p w:rsidR="003203D8" w:rsidRPr="00FE1623" w:rsidRDefault="00FE1623" w:rsidP="003203D8">
      <w:pPr>
        <w:tabs>
          <w:tab w:val="clear" w:pos="794"/>
          <w:tab w:val="clear" w:pos="1191"/>
          <w:tab w:val="clear" w:pos="1588"/>
          <w:tab w:val="clear" w:pos="1985"/>
          <w:tab w:val="left" w:pos="709"/>
        </w:tabs>
        <w:spacing w:before="480"/>
        <w:ind w:left="709" w:hanging="709"/>
      </w:pPr>
      <w:r>
        <w:t>Madame, Monsieur,</w:t>
      </w:r>
    </w:p>
    <w:p w:rsidR="003203D8" w:rsidRDefault="006D7D44" w:rsidP="006D7D44">
      <w:pPr>
        <w:pStyle w:val="Normalaftertitle"/>
      </w:pPr>
      <w:r>
        <w:t>1</w:t>
      </w:r>
      <w:r>
        <w:tab/>
        <w:t xml:space="preserve">La Conférence mondiale des radiocommunications (Genève, 2012) (CMR-12) a adopté une révision partielle du </w:t>
      </w:r>
      <w:r w:rsidRPr="006D7D44">
        <w:t>Règlement des radiocommunications</w:t>
      </w:r>
      <w:r>
        <w:t xml:space="preserve"> et décidé que les dispositions révisées entreraient en vigueur le 1er janvier 2013, à l'exception des dispositions pour lesquelles une autre date a été expressément indiquée. La présente Lettre circulaire a pour objet de mettre en lumière les décisions les plus importantes de la Conférence en vue de faciliter leur mise en </w:t>
      </w:r>
      <w:proofErr w:type="spellStart"/>
      <w:r>
        <w:t>oeuvre</w:t>
      </w:r>
      <w:proofErr w:type="spellEnd"/>
      <w:r>
        <w:t>, en gardant avant tout à l'esprit les dispositions transitoires et d'autres décisions qui sont entrées en vigueur le 18 février 2012. Pour obtenir la liste complète des décisions, vous voudrez bien vous reporter aux Actes finals de la Conférence. La présente Lettre circulaire doit être lue conjointement avec les Lettres circulaires CR/331 du 16 mars 2012, CR/333 du 2 mai 2012 et CR 334 du 18 mai 2012.</w:t>
      </w:r>
    </w:p>
    <w:p w:rsidR="006D7D44" w:rsidRDefault="006D7D44" w:rsidP="006D7D44">
      <w:r>
        <w:t>2</w:t>
      </w:r>
      <w:r>
        <w:tab/>
        <w:t>La Conférence a décidé qu'à compter du 18 février 2012 les attributions modifiées suivantes entreraient en vigueur, assorties des conditions d'exploitation des services concernés dans les bandes de fréquences respectives:</w:t>
      </w:r>
    </w:p>
    <w:p w:rsidR="00D7340D" w:rsidRDefault="00CC0B00" w:rsidP="0027576C">
      <w:pPr>
        <w:pStyle w:val="enumlev1"/>
      </w:pPr>
      <w:r>
        <w:t>•</w:t>
      </w:r>
      <w:r>
        <w:tab/>
        <w:t xml:space="preserve">attribution modifiée dans la bande 2 483,5-2 500 MHz, à savoir introduction d'une attribution à titre primaire au service de radiorepérage par satellite dans les conditions prescrites dans les numéros </w:t>
      </w:r>
      <w:r w:rsidR="009C7330">
        <w:rPr>
          <w:b/>
        </w:rPr>
        <w:t>5.</w:t>
      </w:r>
      <w:r>
        <w:rPr>
          <w:b/>
        </w:rPr>
        <w:t>401</w:t>
      </w:r>
      <w:r>
        <w:t xml:space="preserve">, </w:t>
      </w:r>
      <w:r>
        <w:rPr>
          <w:b/>
        </w:rPr>
        <w:t>5.371</w:t>
      </w:r>
      <w:r>
        <w:t xml:space="preserve">, </w:t>
      </w:r>
      <w:r>
        <w:rPr>
          <w:b/>
        </w:rPr>
        <w:t>5.399</w:t>
      </w:r>
      <w:r>
        <w:t xml:space="preserve"> et </w:t>
      </w:r>
      <w:r>
        <w:rPr>
          <w:b/>
        </w:rPr>
        <w:t xml:space="preserve">5.446 </w:t>
      </w:r>
      <w:r>
        <w:t xml:space="preserve">ainsi que dans l'Annexe 1 de l'Appendice 5 et relèvement du statut du service de radiorepérage dans les pays énumérés dans le numéro </w:t>
      </w:r>
      <w:r>
        <w:rPr>
          <w:b/>
        </w:rPr>
        <w:t>5.398A</w:t>
      </w:r>
      <w:r>
        <w:t xml:space="preserve">, sous réserve de certaines limitations </w:t>
      </w:r>
      <w:r w:rsidR="00D7340D">
        <w:t>énoncées dans cette disposition;</w:t>
      </w:r>
    </w:p>
    <w:p w:rsidR="006D7D44" w:rsidRDefault="00D7340D" w:rsidP="0027576C">
      <w:pPr>
        <w:pStyle w:val="enumlev1"/>
      </w:pPr>
      <w:r>
        <w:t>•</w:t>
      </w:r>
      <w:r>
        <w:tab/>
        <w:t>nouveaux critères de partage pour l'utilisation de la bande 21,4-22 GH</w:t>
      </w:r>
      <w:r w:rsidR="009C7330">
        <w:t>z</w:t>
      </w:r>
      <w:r>
        <w:t xml:space="preserve"> par le service de radiodiffusion par satellite auquel cette bande est attribuée</w:t>
      </w:r>
      <w:r w:rsidR="00FE3F01">
        <w:t>,</w:t>
      </w:r>
      <w:r>
        <w:t xml:space="preserve"> d'une part</w:t>
      </w:r>
      <w:r w:rsidR="009C7330">
        <w:t>,</w:t>
      </w:r>
      <w:r>
        <w:t xml:space="preserve"> et les services fixe et mobile</w:t>
      </w:r>
      <w:r w:rsidR="009C7330">
        <w:t>,</w:t>
      </w:r>
      <w:r>
        <w:t xml:space="preserve"> d'autre part, comme indiqué dans le</w:t>
      </w:r>
      <w:r w:rsidR="009C7330">
        <w:t>s</w:t>
      </w:r>
      <w:r>
        <w:t xml:space="preserve"> numéro</w:t>
      </w:r>
      <w:r w:rsidR="009C7330">
        <w:t>s</w:t>
      </w:r>
      <w:r>
        <w:t xml:space="preserve"> </w:t>
      </w:r>
      <w:r w:rsidRPr="00D7340D">
        <w:rPr>
          <w:b/>
          <w:bCs/>
        </w:rPr>
        <w:t>5.530B</w:t>
      </w:r>
      <w:r w:rsidRPr="00D7340D">
        <w:rPr>
          <w:bCs/>
        </w:rPr>
        <w:t>,</w:t>
      </w:r>
      <w:r w:rsidRPr="00D7340D">
        <w:t xml:space="preserve"> </w:t>
      </w:r>
      <w:r w:rsidRPr="00D7340D">
        <w:rPr>
          <w:b/>
          <w:bCs/>
        </w:rPr>
        <w:t>5.530C</w:t>
      </w:r>
      <w:r w:rsidRPr="00D7340D">
        <w:t xml:space="preserve">, </w:t>
      </w:r>
      <w:r w:rsidRPr="00D7340D">
        <w:rPr>
          <w:b/>
          <w:bCs/>
        </w:rPr>
        <w:t>5.530A</w:t>
      </w:r>
      <w:r w:rsidRPr="00D7340D">
        <w:t xml:space="preserve">, </w:t>
      </w:r>
      <w:r w:rsidRPr="00D7340D">
        <w:rPr>
          <w:b/>
          <w:bCs/>
        </w:rPr>
        <w:t>5.530D</w:t>
      </w:r>
      <w:r w:rsidRPr="00D7340D">
        <w:t>,</w:t>
      </w:r>
      <w:r w:rsidRPr="00D7340D">
        <w:rPr>
          <w:b/>
          <w:bCs/>
        </w:rPr>
        <w:t xml:space="preserve"> A.9.8, A.11.7, 11.37, 11.37.2, 21.2, 21.2.1, Table</w:t>
      </w:r>
      <w:r w:rsidR="009C7330">
        <w:rPr>
          <w:b/>
          <w:bCs/>
        </w:rPr>
        <w:t>au </w:t>
      </w:r>
      <w:r>
        <w:rPr>
          <w:b/>
          <w:bCs/>
        </w:rPr>
        <w:t>21-4 (Ré</w:t>
      </w:r>
      <w:r w:rsidRPr="00D7340D">
        <w:rPr>
          <w:b/>
          <w:bCs/>
        </w:rPr>
        <w:t>v.</w:t>
      </w:r>
      <w:r>
        <w:rPr>
          <w:b/>
          <w:bCs/>
        </w:rPr>
        <w:t>CMR</w:t>
      </w:r>
      <w:r w:rsidRPr="00D7340D">
        <w:rPr>
          <w:b/>
          <w:bCs/>
        </w:rPr>
        <w:t>-12)</w:t>
      </w:r>
      <w:r w:rsidRPr="00D7340D">
        <w:rPr>
          <w:bCs/>
        </w:rPr>
        <w:t>,</w:t>
      </w:r>
      <w:r>
        <w:rPr>
          <w:bCs/>
        </w:rPr>
        <w:t xml:space="preserve"> dans les paragraphe </w:t>
      </w:r>
      <w:r w:rsidRPr="00D7340D">
        <w:rPr>
          <w:bCs/>
        </w:rPr>
        <w:t>6</w:t>
      </w:r>
      <w:r w:rsidRPr="00D7340D">
        <w:rPr>
          <w:bCs/>
          <w:i/>
        </w:rPr>
        <w:t>bis</w:t>
      </w:r>
      <w:r w:rsidRPr="00D7340D">
        <w:rPr>
          <w:bCs/>
        </w:rPr>
        <w:t>, 8 et 9 du Tableau 5-1 de l'Appendice</w:t>
      </w:r>
      <w:r>
        <w:rPr>
          <w:b/>
          <w:bCs/>
        </w:rPr>
        <w:t> 5</w:t>
      </w:r>
      <w:r>
        <w:rPr>
          <w:bCs/>
        </w:rPr>
        <w:t xml:space="preserve">, et dans la Résolution </w:t>
      </w:r>
      <w:r>
        <w:rPr>
          <w:b/>
          <w:bCs/>
        </w:rPr>
        <w:t>755</w:t>
      </w:r>
      <w:r>
        <w:t xml:space="preserve">, </w:t>
      </w:r>
      <w:r w:rsidR="00FC2FDC">
        <w:t xml:space="preserve">la </w:t>
      </w:r>
      <w:r w:rsidRPr="00D7340D">
        <w:lastRenderedPageBreak/>
        <w:t>Résolution </w:t>
      </w:r>
      <w:r w:rsidRPr="00D7340D">
        <w:rPr>
          <w:b/>
          <w:bCs/>
        </w:rPr>
        <w:t>553</w:t>
      </w:r>
      <w:r w:rsidRPr="00D7340D">
        <w:t xml:space="preserve">, </w:t>
      </w:r>
      <w:r w:rsidR="00FC2FDC">
        <w:t xml:space="preserve">la </w:t>
      </w:r>
      <w:r w:rsidRPr="00D7340D">
        <w:t>Résolution </w:t>
      </w:r>
      <w:r w:rsidRPr="00D7340D">
        <w:rPr>
          <w:b/>
          <w:bCs/>
        </w:rPr>
        <w:t>554</w:t>
      </w:r>
      <w:r w:rsidRPr="00D7340D">
        <w:t xml:space="preserve">  </w:t>
      </w:r>
      <w:r>
        <w:t>et</w:t>
      </w:r>
      <w:r w:rsidRPr="00D7340D">
        <w:t xml:space="preserve"> </w:t>
      </w:r>
      <w:r>
        <w:t xml:space="preserve">la </w:t>
      </w:r>
      <w:r w:rsidRPr="00D7340D">
        <w:t>Résolution </w:t>
      </w:r>
      <w:r w:rsidRPr="00D7340D">
        <w:rPr>
          <w:b/>
          <w:bCs/>
        </w:rPr>
        <w:t>555</w:t>
      </w:r>
      <w:r w:rsidRPr="00D7340D">
        <w:t xml:space="preserve">. </w:t>
      </w:r>
      <w:r>
        <w:t xml:space="preserve">Il convient de noter qu'à la suite de l'abrogation de la </w:t>
      </w:r>
      <w:r w:rsidRPr="00D7340D">
        <w:t>Résolution </w:t>
      </w:r>
      <w:r w:rsidRPr="00D7340D">
        <w:rPr>
          <w:b/>
          <w:bCs/>
        </w:rPr>
        <w:t>525 (Rév.CMR-07)</w:t>
      </w:r>
      <w:r w:rsidRPr="00D7340D">
        <w:t xml:space="preserve"> et </w:t>
      </w:r>
      <w:r>
        <w:t xml:space="preserve">de la </w:t>
      </w:r>
      <w:r w:rsidRPr="00D7340D">
        <w:t xml:space="preserve">suppression </w:t>
      </w:r>
      <w:r>
        <w:t>du numéro</w:t>
      </w:r>
      <w:r w:rsidRPr="00D7340D">
        <w:t xml:space="preserve"> </w:t>
      </w:r>
      <w:r w:rsidRPr="00D7340D">
        <w:rPr>
          <w:b/>
          <w:bCs/>
        </w:rPr>
        <w:t>5.530</w:t>
      </w:r>
      <w:r w:rsidRPr="00D7340D">
        <w:t>,</w:t>
      </w:r>
      <w:r>
        <w:t xml:space="preserve"> le statut dont bénéficiaient les se</w:t>
      </w:r>
      <w:r w:rsidR="00FC2FDC">
        <w:t>rvices fixe et mobile dans les R</w:t>
      </w:r>
      <w:r>
        <w:t xml:space="preserve">égions 1 et 3 – à savoir que ces services pouvaient être exploités à condition de ne pas causer de brouillage et de ne pas demander de protection – a été remplacé par une obligation de respect de la limite de puissance surfacique prescrite au numéro </w:t>
      </w:r>
      <w:r>
        <w:rPr>
          <w:b/>
        </w:rPr>
        <w:t>5.530A</w:t>
      </w:r>
      <w:r w:rsidR="006C78C7">
        <w:t>;</w:t>
      </w:r>
    </w:p>
    <w:p w:rsidR="006C78C7" w:rsidRPr="006C78C7" w:rsidRDefault="006C78C7" w:rsidP="0027576C">
      <w:pPr>
        <w:pStyle w:val="enumlev1"/>
        <w:rPr>
          <w:bCs/>
        </w:rPr>
      </w:pPr>
      <w:r>
        <w:t>•</w:t>
      </w:r>
      <w:r>
        <w:tab/>
        <w:t xml:space="preserve">nouveaux renseignements relatifs au principe de diligence </w:t>
      </w:r>
      <w:r w:rsidR="00FC2FDC">
        <w:t xml:space="preserve">due </w:t>
      </w:r>
      <w:r>
        <w:t xml:space="preserve">à soumettre pour tous les réseaux à satellite géostationnaire du SRS exploités dans la bande 21,4-22 GHz, comme indiqué dans les numéros </w:t>
      </w:r>
      <w:r w:rsidR="00FC2FDC">
        <w:rPr>
          <w:b/>
          <w:bCs/>
        </w:rPr>
        <w:t>A.9.4, A.11.2, 11.</w:t>
      </w:r>
      <w:r w:rsidRPr="006C78C7">
        <w:rPr>
          <w:b/>
          <w:bCs/>
        </w:rPr>
        <w:t xml:space="preserve">44.1 </w:t>
      </w:r>
      <w:r w:rsidRPr="006C78C7">
        <w:t xml:space="preserve">et </w:t>
      </w:r>
      <w:r w:rsidRPr="006C78C7">
        <w:rPr>
          <w:b/>
          <w:bCs/>
        </w:rPr>
        <w:t>11.48</w:t>
      </w:r>
      <w:r w:rsidRPr="006C78C7">
        <w:t xml:space="preserve"> ainsi que dans la </w:t>
      </w:r>
      <w:r w:rsidR="00FC2FDC" w:rsidRPr="006C78C7">
        <w:t>Résolution</w:t>
      </w:r>
      <w:r w:rsidRPr="006C78C7">
        <w:t xml:space="preserve"> </w:t>
      </w:r>
      <w:r w:rsidRPr="006C78C7">
        <w:rPr>
          <w:b/>
          <w:bCs/>
        </w:rPr>
        <w:t>552</w:t>
      </w:r>
      <w:r w:rsidRPr="006C78C7">
        <w:rPr>
          <w:bCs/>
        </w:rPr>
        <w:t>;</w:t>
      </w:r>
    </w:p>
    <w:p w:rsidR="006C78C7" w:rsidRDefault="006C78C7" w:rsidP="0027576C">
      <w:pPr>
        <w:pStyle w:val="enumlev1"/>
        <w:rPr>
          <w:bCs/>
        </w:rPr>
      </w:pPr>
      <w:r w:rsidRPr="006C78C7">
        <w:rPr>
          <w:b/>
          <w:bCs/>
        </w:rPr>
        <w:t>•</w:t>
      </w:r>
      <w:r w:rsidRPr="006C78C7">
        <w:rPr>
          <w:b/>
          <w:bCs/>
        </w:rPr>
        <w:tab/>
      </w:r>
      <w:r w:rsidRPr="006C78C7">
        <w:rPr>
          <w:bCs/>
        </w:rPr>
        <w:t xml:space="preserve">attribution modifiée dans </w:t>
      </w:r>
      <w:r w:rsidRPr="006C78C7">
        <w:t xml:space="preserve">bande </w:t>
      </w:r>
      <w:r>
        <w:t>24,</w:t>
      </w:r>
      <w:r w:rsidRPr="006C78C7">
        <w:t>65</w:t>
      </w:r>
      <w:r>
        <w:t>-24,</w:t>
      </w:r>
      <w:r w:rsidRPr="006C78C7">
        <w:t>75 MHz, à savoir introduction d'une attribution</w:t>
      </w:r>
      <w:r>
        <w:t xml:space="preserve"> à titre primaire a</w:t>
      </w:r>
      <w:r w:rsidRPr="006C78C7">
        <w:t xml:space="preserve">u SFS (Terre vers espace) (attribution dans cette bande uniquement dans les Régions 1 et 3) et attribution modifiée dans la bande 24,75-25,25 MHz, à savoir introduction d'une attribution à titre primaire au SFS (Terre vers espace) (attribution dans cette bande uniquement dans les Régions 1 </w:t>
      </w:r>
      <w:r>
        <w:t xml:space="preserve">et 3) et précision des conditions d'utilisation de ces bandes par le SFS dans les </w:t>
      </w:r>
      <w:r w:rsidRPr="006C78C7">
        <w:t xml:space="preserve">Régions 1 </w:t>
      </w:r>
      <w:r>
        <w:t>e</w:t>
      </w:r>
      <w:r w:rsidR="00FC2FDC">
        <w:t>t</w:t>
      </w:r>
      <w:r w:rsidRPr="006C78C7">
        <w:t xml:space="preserve"> 3</w:t>
      </w:r>
      <w:r>
        <w:t>, comme indiqué dans le numéro </w:t>
      </w:r>
      <w:r w:rsidRPr="006C78C7">
        <w:rPr>
          <w:b/>
          <w:bCs/>
        </w:rPr>
        <w:t xml:space="preserve">5.532B </w:t>
      </w:r>
      <w:r>
        <w:t>et le</w:t>
      </w:r>
      <w:r w:rsidRPr="006C78C7">
        <w:t xml:space="preserve"> Table</w:t>
      </w:r>
      <w:r>
        <w:t>au</w:t>
      </w:r>
      <w:r w:rsidRPr="006C78C7">
        <w:t xml:space="preserve"> 7c </w:t>
      </w:r>
      <w:r>
        <w:t>de l'</w:t>
      </w:r>
      <w:r w:rsidRPr="006C78C7">
        <w:t>Annex</w:t>
      </w:r>
      <w:r>
        <w:t>e</w:t>
      </w:r>
      <w:r w:rsidRPr="006C78C7">
        <w:t xml:space="preserve"> 7 </w:t>
      </w:r>
      <w:r>
        <w:t>de</w:t>
      </w:r>
      <w:r w:rsidRPr="006C78C7">
        <w:t xml:space="preserve"> </w:t>
      </w:r>
      <w:r>
        <w:t>l'Appendice</w:t>
      </w:r>
      <w:r>
        <w:rPr>
          <w:b/>
          <w:bCs/>
        </w:rPr>
        <w:t xml:space="preserve"> 7 (Ré</w:t>
      </w:r>
      <w:r w:rsidRPr="006C78C7">
        <w:rPr>
          <w:b/>
          <w:bCs/>
        </w:rPr>
        <w:t>v.</w:t>
      </w:r>
      <w:r w:rsidR="00FC2FDC">
        <w:rPr>
          <w:b/>
          <w:bCs/>
        </w:rPr>
        <w:t>CMR</w:t>
      </w:r>
      <w:r w:rsidRPr="006C78C7">
        <w:rPr>
          <w:b/>
          <w:bCs/>
        </w:rPr>
        <w:t>-12</w:t>
      </w:r>
      <w:r w:rsidR="00FE3F01">
        <w:rPr>
          <w:b/>
          <w:bCs/>
        </w:rPr>
        <w:t>)</w:t>
      </w:r>
      <w:r>
        <w:rPr>
          <w:b/>
          <w:bCs/>
        </w:rPr>
        <w:t xml:space="preserve"> </w:t>
      </w:r>
      <w:r>
        <w:rPr>
          <w:bCs/>
        </w:rPr>
        <w:t>(préciser le diamètre minimal de l'antenne pour assurer le partage avec les services fixe et mobile);</w:t>
      </w:r>
    </w:p>
    <w:p w:rsidR="006C78C7" w:rsidRDefault="006C78C7" w:rsidP="0027576C">
      <w:pPr>
        <w:pStyle w:val="enumlev1"/>
      </w:pPr>
      <w:r w:rsidRPr="006C78C7">
        <w:rPr>
          <w:bCs/>
        </w:rPr>
        <w:t>•</w:t>
      </w:r>
      <w:r w:rsidRPr="006C78C7">
        <w:rPr>
          <w:bCs/>
        </w:rPr>
        <w:tab/>
        <w:t xml:space="preserve">attribution modifiée dans la bande </w:t>
      </w:r>
      <w:r w:rsidR="009330C6">
        <w:t>22,55-</w:t>
      </w:r>
      <w:r w:rsidRPr="006C78C7">
        <w:t xml:space="preserve">23,15 GHz, à savoir introduction d'une attribution à titre primaire </w:t>
      </w:r>
      <w:r w:rsidR="006F4E80" w:rsidRPr="006C78C7">
        <w:t>au</w:t>
      </w:r>
      <w:r w:rsidRPr="006C78C7">
        <w:t xml:space="preserve"> service de recherche spatiale dans cette bande, dans les conditions fixées dans le numéro </w:t>
      </w:r>
      <w:r w:rsidRPr="006C78C7">
        <w:rPr>
          <w:b/>
          <w:bCs/>
        </w:rPr>
        <w:t xml:space="preserve">5.532A </w:t>
      </w:r>
      <w:r w:rsidR="006F4E80">
        <w:t>et dans le</w:t>
      </w:r>
      <w:r w:rsidRPr="006C78C7">
        <w:t xml:space="preserve"> </w:t>
      </w:r>
      <w:r w:rsidRPr="006C78C7">
        <w:rPr>
          <w:b/>
          <w:bCs/>
        </w:rPr>
        <w:t>Table</w:t>
      </w:r>
      <w:r w:rsidR="006F4E80">
        <w:rPr>
          <w:b/>
          <w:bCs/>
        </w:rPr>
        <w:t>au</w:t>
      </w:r>
      <w:r w:rsidRPr="006C78C7">
        <w:rPr>
          <w:b/>
          <w:bCs/>
        </w:rPr>
        <w:t xml:space="preserve"> 21-3</w:t>
      </w:r>
      <w:r w:rsidRPr="006C78C7">
        <w:t xml:space="preserve"> (</w:t>
      </w:r>
      <w:r w:rsidR="006F4E80">
        <w:t>préciser les conditions de partage avec les services fixe et mobile).</w:t>
      </w:r>
    </w:p>
    <w:p w:rsidR="006F4E80" w:rsidRDefault="006F4E80" w:rsidP="006F4E80">
      <w:pPr>
        <w:rPr>
          <w:bCs/>
        </w:rPr>
      </w:pPr>
      <w:r>
        <w:t>3</w:t>
      </w:r>
      <w:r>
        <w:tab/>
        <w:t xml:space="preserve">La Conférence a décidé qu'à compter du 18 février 2012, les dispositions suivantes du </w:t>
      </w:r>
      <w:r w:rsidRPr="006D7D44">
        <w:t>Règlement des radiocommunications</w:t>
      </w:r>
      <w:r>
        <w:t xml:space="preserve"> seraient abrogées: numéros </w:t>
      </w:r>
      <w:r w:rsidRPr="006F4E80">
        <w:rPr>
          <w:b/>
        </w:rPr>
        <w:t>5</w:t>
      </w:r>
      <w:r w:rsidRPr="006F4E80">
        <w:rPr>
          <w:b/>
          <w:bCs/>
        </w:rPr>
        <w:t>.397</w:t>
      </w:r>
      <w:r w:rsidRPr="009330C6">
        <w:rPr>
          <w:bCs/>
        </w:rPr>
        <w:t>,</w:t>
      </w:r>
      <w:r w:rsidRPr="006F4E80">
        <w:rPr>
          <w:b/>
          <w:bCs/>
        </w:rPr>
        <w:t xml:space="preserve"> 5.400 </w:t>
      </w:r>
      <w:r>
        <w:t>et</w:t>
      </w:r>
      <w:r w:rsidRPr="006F4E80">
        <w:rPr>
          <w:b/>
          <w:bCs/>
        </w:rPr>
        <w:t xml:space="preserve"> 5.530</w:t>
      </w:r>
      <w:r>
        <w:rPr>
          <w:bCs/>
        </w:rPr>
        <w:t>.</w:t>
      </w:r>
    </w:p>
    <w:p w:rsidR="0027576C" w:rsidRDefault="0027576C" w:rsidP="0027576C">
      <w:pPr>
        <w:rPr>
          <w:bCs/>
        </w:rPr>
      </w:pPr>
      <w:r>
        <w:rPr>
          <w:bCs/>
        </w:rPr>
        <w:t>4</w:t>
      </w:r>
      <w:r>
        <w:rPr>
          <w:bCs/>
        </w:rPr>
        <w:tab/>
        <w:t>La Conférence a également décidé d'attribuer la bande de fréquences 694-790 MHz, dans la Région 1, au service mobile, sauf mobile aéronautique, à titre primaire avec égalité des droits, en partage avec les autres services auxquels cette bande est attribuée à titre primaire et de l'identifier pour les IMT. Cette décision prendra effet immédiatement après la CMR-15, sous réserve des dispositions de la Résolution 232 (CMR-12) (voir également la Résolution 224 (CMR-12).</w:t>
      </w:r>
    </w:p>
    <w:p w:rsidR="006F4E80" w:rsidRDefault="0027576C" w:rsidP="0027576C">
      <w:pPr>
        <w:rPr>
          <w:bCs/>
        </w:rPr>
      </w:pPr>
      <w:r>
        <w:t>5</w:t>
      </w:r>
      <w:r w:rsidR="009330C6">
        <w:tab/>
        <w:t>La C</w:t>
      </w:r>
      <w:r w:rsidR="006F4E80">
        <w:t xml:space="preserve">onférence a apporté quelques modifications, peu nombreuses, aux dispositions réglementaires </w:t>
      </w:r>
      <w:r w:rsidR="006F4E80" w:rsidRPr="006F4E80">
        <w:rPr>
          <w:b/>
          <w:bCs/>
        </w:rPr>
        <w:t xml:space="preserve">11.44.1 </w:t>
      </w:r>
      <w:r w:rsidR="006F4E80">
        <w:t>et</w:t>
      </w:r>
      <w:r w:rsidR="006F4E80" w:rsidRPr="006F4E80">
        <w:t xml:space="preserve"> </w:t>
      </w:r>
      <w:r w:rsidR="006F4E80" w:rsidRPr="006F4E80">
        <w:rPr>
          <w:b/>
          <w:bCs/>
        </w:rPr>
        <w:t>11.48</w:t>
      </w:r>
      <w:r w:rsidR="006F4E80">
        <w:rPr>
          <w:b/>
          <w:bCs/>
        </w:rPr>
        <w:t xml:space="preserve"> </w:t>
      </w:r>
      <w:r w:rsidRPr="0027576C">
        <w:t>qui sont</w:t>
      </w:r>
      <w:r>
        <w:t xml:space="preserve"> </w:t>
      </w:r>
      <w:r w:rsidR="006F4E80">
        <w:rPr>
          <w:bCs/>
        </w:rPr>
        <w:t>entrées en vigueur le 18 février 2012</w:t>
      </w:r>
      <w:r>
        <w:rPr>
          <w:bCs/>
        </w:rPr>
        <w:t>,</w:t>
      </w:r>
      <w:r w:rsidR="006F4E80">
        <w:rPr>
          <w:bCs/>
        </w:rPr>
        <w:t xml:space="preserve"> relatives à la suppression de sections spéciales pour lesquelles les renseignements de notification ou les renseignements relatifs au principe de diligence due ne sont pas soumis dans le délai réglementaire spécifié dans le </w:t>
      </w:r>
      <w:r w:rsidR="006F4E80" w:rsidRPr="006F4E80">
        <w:rPr>
          <w:bCs/>
        </w:rPr>
        <w:t>Règlement des radiocommunications</w:t>
      </w:r>
      <w:r w:rsidR="006F4E80">
        <w:rPr>
          <w:bCs/>
        </w:rPr>
        <w:t>.</w:t>
      </w:r>
    </w:p>
    <w:p w:rsidR="006F4E80" w:rsidRDefault="0027576C" w:rsidP="006F4E80">
      <w:pPr>
        <w:rPr>
          <w:bCs/>
        </w:rPr>
      </w:pPr>
      <w:r>
        <w:rPr>
          <w:bCs/>
        </w:rPr>
        <w:t>6</w:t>
      </w:r>
      <w:r w:rsidR="006F4E80">
        <w:rPr>
          <w:bCs/>
        </w:rPr>
        <w:tab/>
        <w:t xml:space="preserve">La CMR-12 a révisé plusieurs Résolutions et Recommandations issues de conférences antérieures et a adopté plusieurs nouvelles Résolutions et nouvelles Recommandations. En règle générale, les Résolutions et Recommandations nouvelles ou révisées </w:t>
      </w:r>
      <w:r w:rsidR="009330C6">
        <w:rPr>
          <w:bCs/>
        </w:rPr>
        <w:t>entrent en vigueur au moment de la signature</w:t>
      </w:r>
      <w:r w:rsidR="006F4E80">
        <w:rPr>
          <w:bCs/>
        </w:rPr>
        <w:t xml:space="preserve"> des Actes finals d'une conférence. En ce qui concerne les Résolutions et les Recommandations qui sont entrées en vigueur le 18 février 2012, il convient d'attirer l'attention sur les points suivants:</w:t>
      </w:r>
    </w:p>
    <w:p w:rsidR="00644E16" w:rsidRDefault="0027576C" w:rsidP="00644E16">
      <w:r>
        <w:rPr>
          <w:bCs/>
        </w:rPr>
        <w:t>6</w:t>
      </w:r>
      <w:r w:rsidR="006F4E80" w:rsidRPr="009330C6">
        <w:rPr>
          <w:bCs/>
        </w:rPr>
        <w:t>.1</w:t>
      </w:r>
      <w:r w:rsidR="006F4E80" w:rsidRPr="009330C6">
        <w:rPr>
          <w:bCs/>
        </w:rPr>
        <w:tab/>
      </w:r>
      <w:r w:rsidR="006F4E80" w:rsidRPr="009330C6">
        <w:rPr>
          <w:i/>
          <w:iCs/>
        </w:rPr>
        <w:t xml:space="preserve">Résolution </w:t>
      </w:r>
      <w:r w:rsidR="006F4E80" w:rsidRPr="009330C6">
        <w:rPr>
          <w:b/>
          <w:bCs/>
          <w:i/>
          <w:iCs/>
        </w:rPr>
        <w:t>55 (Rév.</w:t>
      </w:r>
      <w:r w:rsidR="009B3DA7" w:rsidRPr="009B3DA7">
        <w:rPr>
          <w:b/>
          <w:bCs/>
          <w:i/>
          <w:iCs/>
        </w:rPr>
        <w:t>CMR</w:t>
      </w:r>
      <w:r w:rsidR="006F4E80" w:rsidRPr="009B3DA7">
        <w:rPr>
          <w:b/>
          <w:bCs/>
          <w:i/>
          <w:iCs/>
        </w:rPr>
        <w:t>-12)</w:t>
      </w:r>
      <w:r w:rsidR="006F4E80" w:rsidRPr="009B3DA7">
        <w:rPr>
          <w:i/>
          <w:iCs/>
        </w:rPr>
        <w:t xml:space="preserve"> </w:t>
      </w:r>
      <w:r w:rsidR="009B3DA7" w:rsidRPr="009B3DA7">
        <w:rPr>
          <w:i/>
          <w:iCs/>
        </w:rPr>
        <w:t>relative à la soumission électronique des fiches de notification pour les réseaux à satellite, les stations terriennes et les stations de radioastronomie</w:t>
      </w:r>
      <w:r w:rsidR="009B3DA7" w:rsidRPr="009B3DA7">
        <w:rPr>
          <w:iCs/>
        </w:rPr>
        <w:t>: non seulement toutes les fiches de notification pour les réseaux à satellite et les commentaires/objections soumis au Bureau au titre des numéros</w:t>
      </w:r>
      <w:r w:rsidR="006F4E80" w:rsidRPr="009B3DA7">
        <w:t> </w:t>
      </w:r>
      <w:r w:rsidR="006F4E80" w:rsidRPr="009B3DA7">
        <w:rPr>
          <w:b/>
        </w:rPr>
        <w:t>9.3</w:t>
      </w:r>
      <w:r w:rsidR="006F4E80" w:rsidRPr="009B3DA7">
        <w:t xml:space="preserve"> </w:t>
      </w:r>
      <w:r w:rsidR="009B3DA7" w:rsidRPr="009B3DA7">
        <w:t>et</w:t>
      </w:r>
      <w:r w:rsidR="006F4E80" w:rsidRPr="009B3DA7">
        <w:t> </w:t>
      </w:r>
      <w:r w:rsidR="006F4E80" w:rsidRPr="009B3DA7">
        <w:rPr>
          <w:b/>
        </w:rPr>
        <w:t>9.52</w:t>
      </w:r>
      <w:r w:rsidR="006F4E80" w:rsidRPr="009B3DA7">
        <w:t xml:space="preserve"> </w:t>
      </w:r>
      <w:r w:rsidR="009B3DA7" w:rsidRPr="009B3DA7">
        <w:t>relativement aux numéros</w:t>
      </w:r>
      <w:r w:rsidR="006F4E80" w:rsidRPr="009B3DA7">
        <w:t> </w:t>
      </w:r>
      <w:r w:rsidR="006F4E80" w:rsidRPr="009B3DA7">
        <w:rPr>
          <w:b/>
          <w:bCs/>
        </w:rPr>
        <w:t>9.11</w:t>
      </w:r>
      <w:r w:rsidR="006F4E80" w:rsidRPr="009B3DA7">
        <w:t xml:space="preserve"> </w:t>
      </w:r>
      <w:r w:rsidR="009B3DA7" w:rsidRPr="009B3DA7">
        <w:t>à</w:t>
      </w:r>
      <w:r w:rsidR="006F4E80" w:rsidRPr="009B3DA7">
        <w:t xml:space="preserve"> </w:t>
      </w:r>
      <w:r w:rsidR="006F4E80" w:rsidRPr="009B3DA7">
        <w:rPr>
          <w:b/>
          <w:bCs/>
        </w:rPr>
        <w:t>9.14</w:t>
      </w:r>
      <w:r w:rsidR="006F4E80" w:rsidRPr="009B3DA7">
        <w:t xml:space="preserve"> </w:t>
      </w:r>
      <w:r w:rsidR="009B3DA7" w:rsidRPr="009B3DA7">
        <w:t>et</w:t>
      </w:r>
      <w:r w:rsidR="006F4E80" w:rsidRPr="009B3DA7">
        <w:t> </w:t>
      </w:r>
      <w:r w:rsidR="006F4E80" w:rsidRPr="009B3DA7">
        <w:rPr>
          <w:b/>
          <w:bCs/>
        </w:rPr>
        <w:t>9.21</w:t>
      </w:r>
      <w:r w:rsidR="006F4E80" w:rsidRPr="009B3DA7">
        <w:t xml:space="preserve"> </w:t>
      </w:r>
      <w:r w:rsidR="009B3DA7" w:rsidRPr="009B3DA7">
        <w:t>de</w:t>
      </w:r>
      <w:r w:rsidR="006F4E80" w:rsidRPr="009B3DA7">
        <w:t xml:space="preserve"> </w:t>
      </w:r>
      <w:r w:rsidR="009B3DA7" w:rsidRPr="009B3DA7">
        <w:t>l'</w:t>
      </w:r>
      <w:r w:rsidR="006F4E80" w:rsidRPr="009B3DA7">
        <w:t>Article </w:t>
      </w:r>
      <w:r w:rsidR="006F4E80" w:rsidRPr="009B3DA7">
        <w:rPr>
          <w:b/>
        </w:rPr>
        <w:t>9</w:t>
      </w:r>
      <w:r w:rsidR="006F4E80" w:rsidRPr="009B3DA7">
        <w:t xml:space="preserve">, </w:t>
      </w:r>
      <w:r w:rsidR="009B3DA7" w:rsidRPr="009B3DA7">
        <w:t>ou conformément aux § </w:t>
      </w:r>
      <w:r w:rsidR="006F4E80" w:rsidRPr="009B3DA7">
        <w:t xml:space="preserve">4.1.7, 4.1.9, 4.1.10, 4.2.10, 4.2.13 </w:t>
      </w:r>
      <w:r w:rsidR="009B3DA7" w:rsidRPr="009B3DA7">
        <w:t>ou</w:t>
      </w:r>
      <w:r w:rsidR="006F4E80" w:rsidRPr="009B3DA7">
        <w:t xml:space="preserve"> 4.2.14 </w:t>
      </w:r>
      <w:r w:rsidR="009B3DA7" w:rsidRPr="009B3DA7">
        <w:t>des</w:t>
      </w:r>
      <w:r w:rsidR="006F4E80" w:rsidRPr="009B3DA7">
        <w:t xml:space="preserve"> Appendices </w:t>
      </w:r>
      <w:r w:rsidR="006F4E80" w:rsidRPr="009B3DA7">
        <w:rPr>
          <w:b/>
        </w:rPr>
        <w:t>30</w:t>
      </w:r>
      <w:r w:rsidR="006F4E80" w:rsidRPr="009B3DA7">
        <w:t xml:space="preserve"> </w:t>
      </w:r>
      <w:r w:rsidR="009B3DA7" w:rsidRPr="009B3DA7">
        <w:t>et</w:t>
      </w:r>
      <w:r w:rsidR="006F4E80" w:rsidRPr="009B3DA7">
        <w:t> </w:t>
      </w:r>
      <w:r w:rsidR="006F4E80" w:rsidRPr="009B3DA7">
        <w:rPr>
          <w:b/>
        </w:rPr>
        <w:t>30A</w:t>
      </w:r>
      <w:r w:rsidR="006F4E80" w:rsidRPr="009B3DA7">
        <w:t xml:space="preserve"> </w:t>
      </w:r>
      <w:r w:rsidR="009B3DA7">
        <w:t>en ce qui concerne un</w:t>
      </w:r>
      <w:r w:rsidR="009330C6">
        <w:t>e</w:t>
      </w:r>
      <w:r w:rsidR="009B3DA7">
        <w:t xml:space="preserve"> modification du Plan pour la Région 2 ou des utilisations additionnelles dans </w:t>
      </w:r>
      <w:r w:rsidR="00E8028F">
        <w:t xml:space="preserve">les </w:t>
      </w:r>
      <w:r w:rsidR="00E8028F" w:rsidRPr="009B3DA7">
        <w:t>Régions</w:t>
      </w:r>
      <w:r w:rsidR="006F4E80" w:rsidRPr="009B3DA7">
        <w:t xml:space="preserve"> 1 </w:t>
      </w:r>
      <w:r w:rsidR="009B3DA7">
        <w:t>et</w:t>
      </w:r>
      <w:r w:rsidR="006F4E80" w:rsidRPr="009B3DA7">
        <w:t xml:space="preserve"> 3 </w:t>
      </w:r>
      <w:r w:rsidR="009B3DA7">
        <w:t>au titre de l'</w:t>
      </w:r>
      <w:r w:rsidR="006F4E80" w:rsidRPr="009B3DA7">
        <w:t>Article 4</w:t>
      </w:r>
      <w:r w:rsidR="009330C6">
        <w:t>,</w:t>
      </w:r>
      <w:r w:rsidR="006F4E80" w:rsidRPr="009B3DA7">
        <w:t xml:space="preserve"> </w:t>
      </w:r>
      <w:r w:rsidR="009B3DA7">
        <w:t xml:space="preserve">et </w:t>
      </w:r>
    </w:p>
    <w:p w:rsidR="006F4E80" w:rsidRDefault="009B3DA7" w:rsidP="00644E16">
      <w:pPr>
        <w:rPr>
          <w:rFonts w:ascii="TimesNewRoman" w:hAnsi="TimesNewRoman" w:cs="TimesNewRoman"/>
          <w:szCs w:val="24"/>
          <w:lang w:eastAsia="en-CA"/>
        </w:rPr>
      </w:pPr>
      <w:r>
        <w:t>l'</w:t>
      </w:r>
      <w:r w:rsidR="009330C6">
        <w:t>utilisation des bandes de garde</w:t>
      </w:r>
      <w:r>
        <w:t xml:space="preserve"> au titre de l'Article </w:t>
      </w:r>
      <w:r w:rsidR="006F4E80" w:rsidRPr="009B3DA7">
        <w:t xml:space="preserve">2A </w:t>
      </w:r>
      <w:r>
        <w:t>desdits</w:t>
      </w:r>
      <w:r w:rsidR="006F4E80" w:rsidRPr="009B3DA7">
        <w:t xml:space="preserve"> Appendices,</w:t>
      </w:r>
      <w:r>
        <w:t xml:space="preserve"> mais aussi à compter du 18 février </w:t>
      </w:r>
      <w:r w:rsidR="006F4E80" w:rsidRPr="009B3DA7">
        <w:rPr>
          <w:rFonts w:ascii="TimesNewRoman" w:hAnsi="TimesNewRoman" w:cs="TimesNewRoman"/>
          <w:szCs w:val="24"/>
          <w:lang w:eastAsia="en-CA"/>
        </w:rPr>
        <w:t xml:space="preserve">2012, </w:t>
      </w:r>
      <w:r>
        <w:rPr>
          <w:rFonts w:ascii="TimesNewRoman" w:hAnsi="TimesNewRoman" w:cs="TimesNewRoman"/>
          <w:szCs w:val="24"/>
          <w:lang w:eastAsia="en-CA"/>
        </w:rPr>
        <w:t>toutes les demandes d'inclusion ou d'exclusion soumises au Bureau au titre du numéro </w:t>
      </w:r>
      <w:r w:rsidR="006F4E80" w:rsidRPr="009B3DA7">
        <w:rPr>
          <w:rFonts w:ascii="TimesNewRoman" w:hAnsi="TimesNewRoman" w:cs="TimesNewRoman"/>
          <w:b/>
          <w:szCs w:val="24"/>
          <w:lang w:eastAsia="en-CA"/>
        </w:rPr>
        <w:t>9.41</w:t>
      </w:r>
      <w:r w:rsidR="006F4E80" w:rsidRPr="009B3DA7">
        <w:rPr>
          <w:rFonts w:ascii="TimesNewRoman" w:hAnsi="TimesNewRoman" w:cs="TimesNewRoman"/>
          <w:szCs w:val="24"/>
          <w:lang w:eastAsia="en-CA"/>
        </w:rPr>
        <w:t xml:space="preserve"> </w:t>
      </w:r>
      <w:r>
        <w:rPr>
          <w:rFonts w:ascii="TimesNewRoman" w:hAnsi="TimesNewRoman" w:cs="TimesNewRoman"/>
          <w:szCs w:val="24"/>
          <w:lang w:eastAsia="en-CA"/>
        </w:rPr>
        <w:t>de l'</w:t>
      </w:r>
      <w:r w:rsidR="006F4E80" w:rsidRPr="009B3DA7">
        <w:rPr>
          <w:rFonts w:ascii="TimesNewRoman" w:hAnsi="TimesNewRoman" w:cs="TimesNewRoman"/>
          <w:szCs w:val="24"/>
          <w:lang w:eastAsia="en-CA"/>
        </w:rPr>
        <w:t>Article </w:t>
      </w:r>
      <w:r w:rsidR="006F4E80" w:rsidRPr="009B3DA7">
        <w:rPr>
          <w:rFonts w:ascii="TimesNewRoman" w:hAnsi="TimesNewRoman" w:cs="TimesNewRoman"/>
          <w:b/>
          <w:szCs w:val="24"/>
          <w:lang w:eastAsia="en-CA"/>
        </w:rPr>
        <w:t>9</w:t>
      </w:r>
      <w:r w:rsidR="006F4E80" w:rsidRPr="009B3DA7">
        <w:rPr>
          <w:rFonts w:ascii="TimesNewRoman" w:hAnsi="TimesNewRoman" w:cs="TimesNewRoman"/>
          <w:szCs w:val="24"/>
          <w:lang w:eastAsia="en-CA"/>
        </w:rPr>
        <w:t xml:space="preserve"> </w:t>
      </w:r>
      <w:r>
        <w:rPr>
          <w:rFonts w:ascii="TimesNewRoman" w:hAnsi="TimesNewRoman" w:cs="TimesNewRoman"/>
          <w:szCs w:val="24"/>
          <w:lang w:eastAsia="en-CA"/>
        </w:rPr>
        <w:t xml:space="preserve">doivent être soumises sous une forme électronique compatible avec le logiciel de saisie des fiches de </w:t>
      </w:r>
      <w:r w:rsidR="00E8028F">
        <w:rPr>
          <w:rFonts w:ascii="TimesNewRoman" w:hAnsi="TimesNewRoman" w:cs="TimesNewRoman"/>
          <w:szCs w:val="24"/>
          <w:lang w:eastAsia="en-CA"/>
        </w:rPr>
        <w:t>notification</w:t>
      </w:r>
      <w:r>
        <w:rPr>
          <w:rFonts w:ascii="TimesNewRoman" w:hAnsi="TimesNewRoman" w:cs="TimesNewRoman"/>
          <w:szCs w:val="24"/>
          <w:lang w:eastAsia="en-CA"/>
        </w:rPr>
        <w:t xml:space="preserve"> électroniques du</w:t>
      </w:r>
      <w:r w:rsidR="00E8028F">
        <w:rPr>
          <w:rFonts w:ascii="TimesNewRoman" w:hAnsi="TimesNewRoman" w:cs="TimesNewRoman"/>
          <w:szCs w:val="24"/>
          <w:lang w:eastAsia="en-CA"/>
        </w:rPr>
        <w:t xml:space="preserve"> Bureau des radiocommunications</w:t>
      </w:r>
      <w:r w:rsidR="009330C6">
        <w:rPr>
          <w:rFonts w:ascii="TimesNewRoman" w:hAnsi="TimesNewRoman" w:cs="TimesNewRoman"/>
          <w:szCs w:val="24"/>
          <w:lang w:eastAsia="en-CA"/>
        </w:rPr>
        <w:t>.</w:t>
      </w:r>
    </w:p>
    <w:p w:rsidR="00863A71" w:rsidRPr="00863A71" w:rsidRDefault="0027576C" w:rsidP="00E9604E">
      <w:r>
        <w:rPr>
          <w:bCs/>
        </w:rPr>
        <w:t>6</w:t>
      </w:r>
      <w:r w:rsidR="00863A71" w:rsidRPr="00863A71">
        <w:rPr>
          <w:bCs/>
        </w:rPr>
        <w:t>.</w:t>
      </w:r>
      <w:r w:rsidR="004211B8">
        <w:rPr>
          <w:bCs/>
        </w:rPr>
        <w:t>2</w:t>
      </w:r>
      <w:r w:rsidR="00863A71" w:rsidRPr="00863A71">
        <w:rPr>
          <w:bCs/>
        </w:rPr>
        <w:tab/>
      </w:r>
      <w:r w:rsidR="00863A71" w:rsidRPr="00863A71">
        <w:rPr>
          <w:i/>
          <w:iCs/>
        </w:rPr>
        <w:t xml:space="preserve">Résolution </w:t>
      </w:r>
      <w:r w:rsidR="00863A71" w:rsidRPr="00863A71">
        <w:rPr>
          <w:b/>
          <w:bCs/>
          <w:i/>
          <w:iCs/>
        </w:rPr>
        <w:t>150</w:t>
      </w:r>
      <w:r w:rsidR="00863A71" w:rsidRPr="00863A71">
        <w:rPr>
          <w:i/>
          <w:iCs/>
        </w:rPr>
        <w:t xml:space="preserve"> </w:t>
      </w:r>
      <w:r w:rsidR="00863A71" w:rsidRPr="00863A71">
        <w:rPr>
          <w:b/>
          <w:bCs/>
          <w:i/>
          <w:iCs/>
        </w:rPr>
        <w:t xml:space="preserve">(CMR-12) </w:t>
      </w:r>
      <w:r w:rsidR="00863A71" w:rsidRPr="00863A71">
        <w:rPr>
          <w:i/>
          <w:iCs/>
        </w:rPr>
        <w:t xml:space="preserve">relative à l'utilisation des </w:t>
      </w:r>
      <w:r w:rsidR="009330C6">
        <w:rPr>
          <w:i/>
          <w:iCs/>
        </w:rPr>
        <w:t>bandes 6 440-6 520 MHz et 6 560-6 640 MH</w:t>
      </w:r>
      <w:r w:rsidR="00FE3F01">
        <w:rPr>
          <w:i/>
          <w:iCs/>
        </w:rPr>
        <w:t>z</w:t>
      </w:r>
      <w:r w:rsidR="009330C6">
        <w:rPr>
          <w:i/>
          <w:iCs/>
        </w:rPr>
        <w:t xml:space="preserve"> par d</w:t>
      </w:r>
      <w:r w:rsidR="00863A71" w:rsidRPr="00863A71">
        <w:rPr>
          <w:i/>
          <w:iCs/>
        </w:rPr>
        <w:t>es liaisons passerelles de stations placées sur des plates</w:t>
      </w:r>
      <w:r w:rsidR="00863A71" w:rsidRPr="00863A71">
        <w:rPr>
          <w:i/>
          <w:iCs/>
        </w:rPr>
        <w:noBreakHyphen/>
        <w:t>formes à haute altitude dans le service fixe</w:t>
      </w:r>
      <w:r w:rsidR="00863A71" w:rsidRPr="00863A71">
        <w:rPr>
          <w:iCs/>
        </w:rPr>
        <w:t>:</w:t>
      </w:r>
      <w:r w:rsidR="00863A71" w:rsidRPr="00863A71">
        <w:rPr>
          <w:i/>
          <w:iCs/>
        </w:rPr>
        <w:t xml:space="preserve"> </w:t>
      </w:r>
      <w:r w:rsidR="00863A71" w:rsidRPr="00863A71">
        <w:t xml:space="preserve">la CMR-12 </w:t>
      </w:r>
      <w:r w:rsidR="00863A71">
        <w:t>a imposé un certain nombre de limitation</w:t>
      </w:r>
      <w:r w:rsidR="009330C6">
        <w:t>s</w:t>
      </w:r>
      <w:r w:rsidR="00863A71">
        <w:t xml:space="preserve"> à ces systèmes. </w:t>
      </w:r>
      <w:r w:rsidR="00863A71" w:rsidRPr="00863A71">
        <w:t xml:space="preserve">Elle a rendu leur notification et leur inscription dans le Fichier de référence obligatoires et elle a invité les administrations et le </w:t>
      </w:r>
      <w:r w:rsidR="00863A71" w:rsidRPr="00863A71">
        <w:rPr>
          <w:rFonts w:ascii="TimesNewRoman" w:hAnsi="TimesNewRoman" w:cs="TimesNewRoman"/>
          <w:szCs w:val="24"/>
          <w:lang w:eastAsia="en-CA"/>
        </w:rPr>
        <w:t>Bureau des radiocommunications</w:t>
      </w:r>
      <w:r w:rsidR="00863A71" w:rsidRPr="00863A71">
        <w:t xml:space="preserve"> à déterminer les éléments de données relatives aux stations passerelles HAPS qui sont néce</w:t>
      </w:r>
      <w:r w:rsidR="00863A71">
        <w:t xml:space="preserve">ssaires pour la notification et l'examen des assignations de fréquence. Le Bureau souhaite informer les membres que la liste des éléments de données pertinentes qui sont requis pour la notification est actuellement en cours d'examen. </w:t>
      </w:r>
      <w:r w:rsidR="00863A71" w:rsidRPr="00863A71">
        <w:t>Un fois cette activité menée à bien, les résultats seront coordonnés avec les administrations concer</w:t>
      </w:r>
      <w:r w:rsidR="00863A71">
        <w:t>n</w:t>
      </w:r>
      <w:r w:rsidR="00863A71" w:rsidRPr="00863A71">
        <w:t>ées, conformément aux d</w:t>
      </w:r>
      <w:r w:rsidR="009330C6">
        <w:t>ispositions de cette Résolution.</w:t>
      </w:r>
    </w:p>
    <w:p w:rsidR="00863A71" w:rsidRPr="00664397" w:rsidRDefault="0027576C" w:rsidP="00FE3F01">
      <w:pPr>
        <w:rPr>
          <w:i/>
          <w:iCs/>
        </w:rPr>
      </w:pPr>
      <w:r>
        <w:t>6</w:t>
      </w:r>
      <w:r w:rsidR="00863A71" w:rsidRPr="00664397">
        <w:t>.3</w:t>
      </w:r>
      <w:r w:rsidR="00863A71" w:rsidRPr="00664397">
        <w:tab/>
      </w:r>
      <w:r w:rsidR="004211B8" w:rsidRPr="00664397">
        <w:rPr>
          <w:i/>
          <w:iCs/>
        </w:rPr>
        <w:t>Ré</w:t>
      </w:r>
      <w:r w:rsidR="00863A71" w:rsidRPr="00664397">
        <w:rPr>
          <w:i/>
          <w:iCs/>
        </w:rPr>
        <w:t xml:space="preserve">solution </w:t>
      </w:r>
      <w:r w:rsidR="004211B8" w:rsidRPr="00664397">
        <w:rPr>
          <w:b/>
          <w:bCs/>
          <w:i/>
          <w:iCs/>
        </w:rPr>
        <w:t>417 (Ré</w:t>
      </w:r>
      <w:r w:rsidR="00863A71" w:rsidRPr="00664397">
        <w:rPr>
          <w:b/>
          <w:bCs/>
          <w:i/>
          <w:iCs/>
        </w:rPr>
        <w:t>v.</w:t>
      </w:r>
      <w:r w:rsidR="004211B8" w:rsidRPr="00664397">
        <w:rPr>
          <w:b/>
          <w:bCs/>
          <w:i/>
          <w:iCs/>
        </w:rPr>
        <w:t>CMR</w:t>
      </w:r>
      <w:r w:rsidR="00863A71" w:rsidRPr="00664397">
        <w:rPr>
          <w:b/>
          <w:bCs/>
          <w:i/>
          <w:iCs/>
        </w:rPr>
        <w:t>-12)</w:t>
      </w:r>
      <w:r w:rsidR="00863A71" w:rsidRPr="00664397">
        <w:rPr>
          <w:i/>
          <w:iCs/>
        </w:rPr>
        <w:t xml:space="preserve"> </w:t>
      </w:r>
      <w:r w:rsidR="004211B8" w:rsidRPr="00664397">
        <w:rPr>
          <w:i/>
          <w:iCs/>
        </w:rPr>
        <w:t xml:space="preserve">relative à l'utilisation de la </w:t>
      </w:r>
      <w:r w:rsidR="00664397" w:rsidRPr="00664397">
        <w:rPr>
          <w:i/>
          <w:iCs/>
        </w:rPr>
        <w:t>bande</w:t>
      </w:r>
      <w:r w:rsidR="004211B8" w:rsidRPr="00664397">
        <w:rPr>
          <w:i/>
          <w:iCs/>
        </w:rPr>
        <w:t xml:space="preserve"> </w:t>
      </w:r>
      <w:r w:rsidR="00664397" w:rsidRPr="00664397">
        <w:rPr>
          <w:i/>
          <w:iCs/>
        </w:rPr>
        <w:t>960</w:t>
      </w:r>
      <w:r w:rsidR="00FE3F01">
        <w:rPr>
          <w:i/>
          <w:iCs/>
        </w:rPr>
        <w:t>-</w:t>
      </w:r>
      <w:r w:rsidR="00664397">
        <w:rPr>
          <w:i/>
          <w:iCs/>
        </w:rPr>
        <w:t>1 164 </w:t>
      </w:r>
      <w:r w:rsidR="00863A71" w:rsidRPr="00664397">
        <w:rPr>
          <w:i/>
          <w:iCs/>
        </w:rPr>
        <w:t xml:space="preserve">MHz </w:t>
      </w:r>
      <w:r w:rsidR="00664397">
        <w:rPr>
          <w:i/>
          <w:iCs/>
        </w:rPr>
        <w:t>par le service mobile aéronautique (R)</w:t>
      </w:r>
      <w:r w:rsidR="00664397">
        <w:rPr>
          <w:iCs/>
        </w:rPr>
        <w:t>: la CMR</w:t>
      </w:r>
      <w:r w:rsidR="00664397">
        <w:rPr>
          <w:iCs/>
        </w:rPr>
        <w:noBreakHyphen/>
        <w:t>12 a introduit plusieurs nouvelles conditions pour l'utilisation du service mobile aéronautique (</w:t>
      </w:r>
      <w:r w:rsidR="009330C6">
        <w:rPr>
          <w:iCs/>
        </w:rPr>
        <w:t>R</w:t>
      </w:r>
      <w:r w:rsidR="00664397">
        <w:rPr>
          <w:iCs/>
        </w:rPr>
        <w:t xml:space="preserve">). Au nombre de ces conditions figurent la nécessité d'effectuer la coordination avec les systèmes du SRNA des pays énumérés au point 2 du </w:t>
      </w:r>
      <w:r w:rsidR="00664397" w:rsidRPr="00664397">
        <w:rPr>
          <w:i/>
          <w:iCs/>
        </w:rPr>
        <w:t>décide</w:t>
      </w:r>
      <w:r w:rsidR="00664397">
        <w:rPr>
          <w:iCs/>
        </w:rPr>
        <w:t xml:space="preserve"> et les nouvelles limites de puissance indiquées au point 6 du </w:t>
      </w:r>
      <w:r w:rsidR="00664397">
        <w:rPr>
          <w:i/>
          <w:iCs/>
        </w:rPr>
        <w:t xml:space="preserve">décide, </w:t>
      </w:r>
      <w:r w:rsidR="00664397">
        <w:rPr>
          <w:iCs/>
        </w:rPr>
        <w:t>à respecter pour protéger les systèmes du SRNS fonctionnant dans la bande</w:t>
      </w:r>
      <w:r w:rsidR="009330C6">
        <w:rPr>
          <w:iCs/>
        </w:rPr>
        <w:t xml:space="preserve"> supérieure adjacente.</w:t>
      </w:r>
      <w:r w:rsidR="00664397">
        <w:rPr>
          <w:iCs/>
        </w:rPr>
        <w:t xml:space="preserve"> </w:t>
      </w:r>
      <w:r w:rsidR="009330C6">
        <w:rPr>
          <w:iCs/>
        </w:rPr>
        <w:t>Ces</w:t>
      </w:r>
      <w:r w:rsidR="00664397">
        <w:rPr>
          <w:iCs/>
        </w:rPr>
        <w:t xml:space="preserve"> nouvelles spécifications s'appliqueront à compter du 1er janvier 2013 étant donné que le numéro </w:t>
      </w:r>
      <w:r w:rsidR="00863A71" w:rsidRPr="00664397">
        <w:rPr>
          <w:b/>
          <w:bCs/>
        </w:rPr>
        <w:t>5.327A</w:t>
      </w:r>
      <w:r w:rsidR="00863A71" w:rsidRPr="00664397">
        <w:t xml:space="preserve">, </w:t>
      </w:r>
      <w:r w:rsidR="00664397">
        <w:t>qui rend l'application de cette Résolution obligatoire</w:t>
      </w:r>
      <w:r w:rsidR="009330C6">
        <w:t>,</w:t>
      </w:r>
      <w:r w:rsidR="00664397">
        <w:t xml:space="preserve"> entrera en vigueur à cette date. L'attention des administrations est attirée sur le fait que la coordination en application du point 2 du </w:t>
      </w:r>
      <w:r w:rsidR="00664397">
        <w:rPr>
          <w:i/>
        </w:rPr>
        <w:t xml:space="preserve">décide </w:t>
      </w:r>
      <w:r w:rsidR="00664397">
        <w:t xml:space="preserve">devrait être effectuée par les administrations sur une base bilatérale, sans intervention du Bureau. En ce qui concerne les limites de puissance données au point 6 du </w:t>
      </w:r>
      <w:r w:rsidR="00664397">
        <w:rPr>
          <w:i/>
        </w:rPr>
        <w:t xml:space="preserve">décide </w:t>
      </w:r>
      <w:r w:rsidR="00664397">
        <w:t xml:space="preserve">de cette Résolution, le Bureau vérifiera les limites uniquement pour la bande </w:t>
      </w:r>
      <w:r w:rsidR="00664397" w:rsidRPr="00664397">
        <w:t>960</w:t>
      </w:r>
      <w:r w:rsidR="00FE3F01">
        <w:t>-</w:t>
      </w:r>
      <w:r w:rsidR="00863A71" w:rsidRPr="00664397">
        <w:t>1</w:t>
      </w:r>
      <w:r w:rsidR="00664397">
        <w:t> </w:t>
      </w:r>
      <w:r w:rsidR="00863A71" w:rsidRPr="00664397">
        <w:t xml:space="preserve">164 MHz </w:t>
      </w:r>
      <w:r w:rsidR="00664397">
        <w:t xml:space="preserve">et pas pour la bande </w:t>
      </w:r>
      <w:r w:rsidR="00863A71" w:rsidRPr="00664397">
        <w:t>1</w:t>
      </w:r>
      <w:r w:rsidR="00664397">
        <w:t> 164</w:t>
      </w:r>
      <w:r w:rsidR="009330C6">
        <w:t>-</w:t>
      </w:r>
      <w:r w:rsidR="00863A71" w:rsidRPr="00664397">
        <w:t>1</w:t>
      </w:r>
      <w:r w:rsidR="00664397">
        <w:t> 215 </w:t>
      </w:r>
      <w:r w:rsidR="00863A71" w:rsidRPr="00664397">
        <w:t xml:space="preserve">MHz </w:t>
      </w:r>
      <w:r w:rsidR="00664397">
        <w:t xml:space="preserve">étant donné que les émissions hors bande qui tombent dans la bande </w:t>
      </w:r>
      <w:r w:rsidR="009330C6">
        <w:t xml:space="preserve">de </w:t>
      </w:r>
      <w:r w:rsidR="00664397">
        <w:t>fréquence</w:t>
      </w:r>
      <w:r w:rsidR="009330C6">
        <w:t>s</w:t>
      </w:r>
      <w:r w:rsidR="00664397">
        <w:t xml:space="preserve"> </w:t>
      </w:r>
      <w:r w:rsidR="00664397" w:rsidRPr="00664397">
        <w:t>1</w:t>
      </w:r>
      <w:r w:rsidR="00664397">
        <w:t> 164</w:t>
      </w:r>
      <w:r w:rsidR="009330C6">
        <w:t>-</w:t>
      </w:r>
      <w:r w:rsidR="00664397" w:rsidRPr="00664397">
        <w:t>1</w:t>
      </w:r>
      <w:r w:rsidR="00664397">
        <w:t> 215 </w:t>
      </w:r>
      <w:r w:rsidR="00664397" w:rsidRPr="00664397">
        <w:t xml:space="preserve">MHz </w:t>
      </w:r>
      <w:r w:rsidR="004448DB">
        <w:t>ne sont pas notifiées au Bureau des radiocommunications, faute d'éléments</w:t>
      </w:r>
      <w:r w:rsidR="009330C6">
        <w:t xml:space="preserve"> de données</w:t>
      </w:r>
      <w:r w:rsidR="004448DB">
        <w:t xml:space="preserve"> correspondants dans l'Appendice </w:t>
      </w:r>
      <w:r w:rsidR="00863A71" w:rsidRPr="00664397">
        <w:rPr>
          <w:b/>
          <w:bCs/>
        </w:rPr>
        <w:t>4</w:t>
      </w:r>
      <w:r w:rsidR="00FE3F01">
        <w:t>.</w:t>
      </w:r>
    </w:p>
    <w:p w:rsidR="00863A71" w:rsidRPr="006B023B" w:rsidRDefault="0027576C" w:rsidP="0027576C">
      <w:pPr>
        <w:tabs>
          <w:tab w:val="clear" w:pos="794"/>
          <w:tab w:val="clear" w:pos="1191"/>
          <w:tab w:val="clear" w:pos="1588"/>
          <w:tab w:val="clear" w:pos="1985"/>
          <w:tab w:val="left" w:pos="0"/>
        </w:tabs>
        <w:rPr>
          <w:b/>
          <w:bCs/>
        </w:rPr>
      </w:pPr>
      <w:r>
        <w:t>6</w:t>
      </w:r>
      <w:r w:rsidR="00863A71" w:rsidRPr="00037FB9">
        <w:t>.4</w:t>
      </w:r>
      <w:r w:rsidR="00863A71" w:rsidRPr="00037FB9">
        <w:rPr>
          <w:b/>
          <w:bCs/>
        </w:rPr>
        <w:tab/>
      </w:r>
      <w:r w:rsidR="00037FB9" w:rsidRPr="00037FB9">
        <w:rPr>
          <w:i/>
          <w:iCs/>
        </w:rPr>
        <w:t>Résolution</w:t>
      </w:r>
      <w:r w:rsidR="00863A71" w:rsidRPr="00037FB9">
        <w:rPr>
          <w:i/>
          <w:iCs/>
        </w:rPr>
        <w:t xml:space="preserve"> </w:t>
      </w:r>
      <w:r w:rsidR="00863A71" w:rsidRPr="00037FB9">
        <w:rPr>
          <w:b/>
          <w:bCs/>
          <w:i/>
          <w:iCs/>
        </w:rPr>
        <w:t>755 (</w:t>
      </w:r>
      <w:r w:rsidR="00037FB9">
        <w:rPr>
          <w:b/>
          <w:bCs/>
          <w:i/>
          <w:iCs/>
        </w:rPr>
        <w:t>CMR</w:t>
      </w:r>
      <w:r w:rsidR="00863A71" w:rsidRPr="00037FB9">
        <w:rPr>
          <w:b/>
          <w:bCs/>
          <w:i/>
          <w:iCs/>
        </w:rPr>
        <w:t>-12)</w:t>
      </w:r>
      <w:r w:rsidR="00863A71" w:rsidRPr="00037FB9">
        <w:rPr>
          <w:i/>
          <w:iCs/>
        </w:rPr>
        <w:t xml:space="preserve"> </w:t>
      </w:r>
      <w:r w:rsidR="00037FB9" w:rsidRPr="00037FB9">
        <w:rPr>
          <w:i/>
          <w:iCs/>
        </w:rPr>
        <w:t>relative aux limites de puissance surfacique applicables aux stations d'émission dans la bande 21,4-22 GHz</w:t>
      </w:r>
      <w:r w:rsidR="00037FB9" w:rsidRPr="00037FB9">
        <w:rPr>
          <w:iCs/>
        </w:rPr>
        <w:t>: par la Lettre circulaire CR/334 du 18 mai 2012, le Bureau a attiré l'attention des administration</w:t>
      </w:r>
      <w:r w:rsidR="009330C6">
        <w:rPr>
          <w:iCs/>
        </w:rPr>
        <w:t>s</w:t>
      </w:r>
      <w:r w:rsidR="00037FB9" w:rsidRPr="00037FB9">
        <w:rPr>
          <w:iCs/>
        </w:rPr>
        <w:t xml:space="preserve"> sur les décisions de la Conférence figurant dans la Résolution</w:t>
      </w:r>
      <w:r w:rsidR="00037FB9">
        <w:rPr>
          <w:iCs/>
        </w:rPr>
        <w:t xml:space="preserve"> </w:t>
      </w:r>
      <w:r w:rsidR="00863A71" w:rsidRPr="00037FB9">
        <w:rPr>
          <w:b/>
          <w:bCs/>
        </w:rPr>
        <w:t>755 (</w:t>
      </w:r>
      <w:r w:rsidR="00037FB9">
        <w:rPr>
          <w:b/>
          <w:bCs/>
        </w:rPr>
        <w:t>CMR</w:t>
      </w:r>
      <w:r w:rsidR="00863A71" w:rsidRPr="00037FB9">
        <w:rPr>
          <w:b/>
          <w:bCs/>
        </w:rPr>
        <w:t>-12)</w:t>
      </w:r>
      <w:r w:rsidR="00037FB9">
        <w:rPr>
          <w:bCs/>
        </w:rPr>
        <w:t>, en particulier sur les limites de puissance surfacique présentes dans le T</w:t>
      </w:r>
      <w:r w:rsidR="00037FB9">
        <w:t xml:space="preserve">ableau </w:t>
      </w:r>
      <w:r w:rsidR="00863A71" w:rsidRPr="00037FB9">
        <w:rPr>
          <w:rFonts w:asciiTheme="majorBidi" w:hAnsiTheme="majorBidi" w:cstheme="majorBidi"/>
          <w:szCs w:val="24"/>
        </w:rPr>
        <w:t xml:space="preserve">21-4 </w:t>
      </w:r>
      <w:r w:rsidR="00037FB9">
        <w:rPr>
          <w:rFonts w:asciiTheme="majorBidi" w:hAnsiTheme="majorBidi" w:cstheme="majorBidi"/>
          <w:szCs w:val="24"/>
        </w:rPr>
        <w:t>de l'Article</w:t>
      </w:r>
      <w:r w:rsidR="00863A71" w:rsidRPr="00037FB9">
        <w:rPr>
          <w:rFonts w:asciiTheme="majorBidi" w:hAnsiTheme="majorBidi" w:cstheme="majorBidi"/>
          <w:szCs w:val="24"/>
        </w:rPr>
        <w:t xml:space="preserve"> </w:t>
      </w:r>
      <w:r w:rsidR="00863A71" w:rsidRPr="00037FB9">
        <w:rPr>
          <w:rFonts w:asciiTheme="majorBidi" w:hAnsiTheme="majorBidi" w:cstheme="majorBidi"/>
          <w:b/>
          <w:bCs/>
          <w:szCs w:val="24"/>
        </w:rPr>
        <w:t>21</w:t>
      </w:r>
      <w:r w:rsidR="00863A71" w:rsidRPr="00037FB9">
        <w:rPr>
          <w:rFonts w:asciiTheme="majorBidi" w:hAnsiTheme="majorBidi" w:cstheme="majorBidi"/>
          <w:szCs w:val="24"/>
        </w:rPr>
        <w:t xml:space="preserve"> </w:t>
      </w:r>
      <w:r w:rsidR="00037FB9">
        <w:rPr>
          <w:rFonts w:asciiTheme="majorBidi" w:hAnsiTheme="majorBidi" w:cstheme="majorBidi"/>
          <w:szCs w:val="24"/>
        </w:rPr>
        <w:t xml:space="preserve">qu'il convient d'appliquer aux assignations de fréquence du SRS dans les Régions </w:t>
      </w:r>
      <w:r w:rsidR="00863A71" w:rsidRPr="00037FB9">
        <w:rPr>
          <w:rFonts w:asciiTheme="majorBidi" w:hAnsiTheme="majorBidi" w:cstheme="majorBidi"/>
          <w:szCs w:val="24"/>
        </w:rPr>
        <w:t xml:space="preserve">1 </w:t>
      </w:r>
      <w:r w:rsidR="00037FB9">
        <w:rPr>
          <w:rFonts w:asciiTheme="majorBidi" w:hAnsiTheme="majorBidi" w:cstheme="majorBidi"/>
          <w:szCs w:val="24"/>
        </w:rPr>
        <w:t>et</w:t>
      </w:r>
      <w:r w:rsidR="00863A71" w:rsidRPr="00037FB9">
        <w:rPr>
          <w:rFonts w:asciiTheme="majorBidi" w:hAnsiTheme="majorBidi" w:cstheme="majorBidi"/>
          <w:szCs w:val="24"/>
        </w:rPr>
        <w:t xml:space="preserve"> 3. </w:t>
      </w:r>
      <w:r w:rsidR="00037FB9" w:rsidRPr="00037FB9">
        <w:rPr>
          <w:rFonts w:asciiTheme="majorBidi" w:hAnsiTheme="majorBidi" w:cstheme="majorBidi"/>
          <w:szCs w:val="24"/>
        </w:rPr>
        <w:t xml:space="preserve">En outre, la limite de puissance surfacique indiquée dans le numéro </w:t>
      </w:r>
      <w:r w:rsidR="00863A71" w:rsidRPr="00037FB9">
        <w:rPr>
          <w:b/>
          <w:bCs/>
        </w:rPr>
        <w:t xml:space="preserve">5.530A </w:t>
      </w:r>
      <w:r w:rsidR="00037FB9">
        <w:rPr>
          <w:bCs/>
        </w:rPr>
        <w:t xml:space="preserve">s'appliquera à toutes les nouvelles stations des services fixe et mobile notifiées à partir du 18 février 2012. Les assignations aux stations des services fixe et mobile, qui sont déjà inscrites dans le Fichier de référence, doivent respecter cette limite d'ici au 31 décembre 2015 ou au premier jour de la prochaine CMR, en prenant la date la plus rapprochée. </w:t>
      </w:r>
      <w:r w:rsidR="00037FB9" w:rsidRPr="006B023B">
        <w:rPr>
          <w:bCs/>
        </w:rPr>
        <w:t xml:space="preserve">Le Bureau a attiré l'attention de chaque administration </w:t>
      </w:r>
      <w:r w:rsidR="006B023B" w:rsidRPr="006B023B">
        <w:rPr>
          <w:bCs/>
        </w:rPr>
        <w:t xml:space="preserve">ayant des assignations de </w:t>
      </w:r>
      <w:r w:rsidR="006B023B">
        <w:rPr>
          <w:bCs/>
        </w:rPr>
        <w:t>fréquence inscrites dans le Fichier de référence sur la nécessité de respecter cette exigence</w:t>
      </w:r>
      <w:r w:rsidR="009330C6">
        <w:rPr>
          <w:rFonts w:asciiTheme="majorBidi" w:hAnsiTheme="majorBidi" w:cstheme="majorBidi"/>
          <w:szCs w:val="24"/>
        </w:rPr>
        <w:t>.</w:t>
      </w:r>
    </w:p>
    <w:p w:rsidR="00863A71" w:rsidRPr="00037FB9" w:rsidRDefault="0027576C" w:rsidP="009330C6">
      <w:r>
        <w:t>6</w:t>
      </w:r>
      <w:r w:rsidR="00863A71" w:rsidRPr="00037FB9">
        <w:t>.5</w:t>
      </w:r>
      <w:r w:rsidR="00863A71" w:rsidRPr="00037FB9">
        <w:tab/>
      </w:r>
      <w:r w:rsidR="00037FB9" w:rsidRPr="00037FB9">
        <w:rPr>
          <w:i/>
          <w:iCs/>
        </w:rPr>
        <w:t>Ré</w:t>
      </w:r>
      <w:r w:rsidR="00863A71" w:rsidRPr="00037FB9">
        <w:rPr>
          <w:i/>
          <w:iCs/>
        </w:rPr>
        <w:t xml:space="preserve">solution </w:t>
      </w:r>
      <w:r w:rsidR="00863A71" w:rsidRPr="00037FB9">
        <w:rPr>
          <w:b/>
          <w:bCs/>
          <w:i/>
          <w:iCs/>
        </w:rPr>
        <w:t>552</w:t>
      </w:r>
      <w:r w:rsidR="00863A71" w:rsidRPr="00037FB9">
        <w:rPr>
          <w:i/>
          <w:iCs/>
        </w:rPr>
        <w:t xml:space="preserve"> </w:t>
      </w:r>
      <w:r w:rsidR="00863A71" w:rsidRPr="00037FB9">
        <w:rPr>
          <w:b/>
          <w:bCs/>
          <w:i/>
          <w:iCs/>
        </w:rPr>
        <w:t>(</w:t>
      </w:r>
      <w:r w:rsidR="00037FB9" w:rsidRPr="00037FB9">
        <w:rPr>
          <w:b/>
          <w:bCs/>
          <w:i/>
          <w:iCs/>
        </w:rPr>
        <w:t>CMR</w:t>
      </w:r>
      <w:r w:rsidR="00863A71" w:rsidRPr="00037FB9">
        <w:rPr>
          <w:b/>
          <w:bCs/>
          <w:i/>
          <w:iCs/>
        </w:rPr>
        <w:t>-12)</w:t>
      </w:r>
      <w:r w:rsidR="00037FB9" w:rsidRPr="00037FB9">
        <w:rPr>
          <w:i/>
          <w:iCs/>
        </w:rPr>
        <w:t xml:space="preserve"> relative </w:t>
      </w:r>
      <w:r w:rsidR="009330C6">
        <w:rPr>
          <w:i/>
          <w:iCs/>
        </w:rPr>
        <w:t xml:space="preserve">à l'accès </w:t>
      </w:r>
      <w:r w:rsidR="006B023B">
        <w:rPr>
          <w:i/>
          <w:iCs/>
        </w:rPr>
        <w:t>à long terme à la bande 21,4-22 </w:t>
      </w:r>
      <w:r w:rsidR="00037FB9" w:rsidRPr="00037FB9">
        <w:rPr>
          <w:i/>
          <w:iCs/>
        </w:rPr>
        <w:t>GHz</w:t>
      </w:r>
      <w:r w:rsidR="006B023B">
        <w:rPr>
          <w:i/>
          <w:iCs/>
        </w:rPr>
        <w:t xml:space="preserve"> dans les Régions 1 et 3 et au développement à long terme dans cette bande</w:t>
      </w:r>
      <w:r w:rsidR="00037FB9" w:rsidRPr="00037FB9">
        <w:rPr>
          <w:iCs/>
        </w:rPr>
        <w:t xml:space="preserve">: </w:t>
      </w:r>
      <w:r w:rsidR="009330C6">
        <w:rPr>
          <w:iCs/>
        </w:rPr>
        <w:t>conformément aux points 1, 2 et </w:t>
      </w:r>
      <w:r w:rsidR="006B023B">
        <w:rPr>
          <w:iCs/>
        </w:rPr>
        <w:t xml:space="preserve">3 du </w:t>
      </w:r>
      <w:r w:rsidR="006B023B">
        <w:rPr>
          <w:i/>
          <w:iCs/>
        </w:rPr>
        <w:t xml:space="preserve">décide </w:t>
      </w:r>
      <w:r w:rsidR="006B023B">
        <w:rPr>
          <w:iCs/>
        </w:rPr>
        <w:t xml:space="preserve">de cette Résolution, à compter du 18 février 2012, cette Résolution s'applique à tous les réseaux à satellite géostationnaire du SRS dans la bande </w:t>
      </w:r>
      <w:r w:rsidR="006B023B">
        <w:rPr>
          <w:rFonts w:eastAsia="MS Mincho"/>
          <w:lang w:eastAsia="ja-JP"/>
        </w:rPr>
        <w:t>21,</w:t>
      </w:r>
      <w:r w:rsidR="00863A71" w:rsidRPr="00037FB9">
        <w:rPr>
          <w:rFonts w:eastAsia="MS Mincho"/>
          <w:lang w:eastAsia="ja-JP"/>
        </w:rPr>
        <w:t>4-22 GHz</w:t>
      </w:r>
      <w:r w:rsidR="006B023B">
        <w:rPr>
          <w:rFonts w:eastAsia="MS Mincho"/>
          <w:lang w:eastAsia="ja-JP"/>
        </w:rPr>
        <w:t>; en particulier</w:t>
      </w:r>
      <w:r w:rsidR="00FE3F01">
        <w:t>:</w:t>
      </w:r>
    </w:p>
    <w:p w:rsidR="00863A71" w:rsidRPr="00F118C3" w:rsidRDefault="00F118C3" w:rsidP="00644E16">
      <w:pPr>
        <w:pStyle w:val="enumlev1"/>
        <w:keepNext/>
        <w:keepLines/>
      </w:pPr>
      <w:r w:rsidRPr="00F118C3">
        <w:t>–</w:t>
      </w:r>
      <w:r w:rsidR="00863A71" w:rsidRPr="00F118C3">
        <w:tab/>
      </w:r>
      <w:r w:rsidRPr="00F118C3">
        <w:t>pour les assignations de fréquence pertinentes aux réseaux à satellite pour lesquels le Bureau n'a pas reçu de confirmation de la date de mise en service au titre des dispositions de l'</w:t>
      </w:r>
      <w:r w:rsidR="00863A71" w:rsidRPr="00F118C3">
        <w:t>Article </w:t>
      </w:r>
      <w:r w:rsidR="00863A71" w:rsidRPr="00F118C3">
        <w:rPr>
          <w:b/>
          <w:bCs/>
        </w:rPr>
        <w:t>11</w:t>
      </w:r>
      <w:r w:rsidR="00863A71" w:rsidRPr="00F118C3">
        <w:t xml:space="preserve"> </w:t>
      </w:r>
      <w:r w:rsidRPr="00F118C3">
        <w:t>avant le 18 février 2012 ou dont l'utilisation a été suspendue à cette date au t</w:t>
      </w:r>
      <w:r>
        <w:t>it</w:t>
      </w:r>
      <w:r w:rsidRPr="00F118C3">
        <w:t>re du numéro</w:t>
      </w:r>
      <w:r>
        <w:t> </w:t>
      </w:r>
      <w:r w:rsidR="00863A71" w:rsidRPr="00F118C3">
        <w:rPr>
          <w:b/>
          <w:bCs/>
        </w:rPr>
        <w:t>11.49</w:t>
      </w:r>
      <w:r w:rsidRPr="00F118C3">
        <w:rPr>
          <w:bCs/>
        </w:rPr>
        <w:t>,</w:t>
      </w:r>
      <w:r>
        <w:t xml:space="preserve"> les procédures décrites dans l'Annexe 1 de cette Résolution doivent être appliquées au moment de la première mise en service ou lors de la reprise de l'utilisation après suspension, selon le cas;</w:t>
      </w:r>
    </w:p>
    <w:p w:rsidR="00863A71" w:rsidRPr="0027576C" w:rsidRDefault="00A669A2" w:rsidP="001926E6">
      <w:pPr>
        <w:pStyle w:val="enumlev1"/>
        <w:rPr>
          <w:lang w:val="fr-CH"/>
        </w:rPr>
      </w:pPr>
      <w:r w:rsidRPr="00C71654">
        <w:t>–</w:t>
      </w:r>
      <w:r w:rsidRPr="00C71654">
        <w:tab/>
        <w:t>pour les assignations de fréquence</w:t>
      </w:r>
      <w:r w:rsidR="00C71654" w:rsidRPr="00C71654">
        <w:t xml:space="preserve"> pertinentes aux réseaux à satellite pour lesquels le Bureau a reçu la confirmation de la date de mise en service au titre des disposit</w:t>
      </w:r>
      <w:r w:rsidR="00C71654">
        <w:t>i</w:t>
      </w:r>
      <w:r w:rsidR="00C71654" w:rsidRPr="00C71654">
        <w:t xml:space="preserve">ons </w:t>
      </w:r>
      <w:r w:rsidR="00641164">
        <w:t xml:space="preserve">de </w:t>
      </w:r>
      <w:r w:rsidR="00C71654" w:rsidRPr="00C71654">
        <w:t>l'</w:t>
      </w:r>
      <w:r w:rsidR="00863A71" w:rsidRPr="00C71654">
        <w:t>Article </w:t>
      </w:r>
      <w:r w:rsidR="00863A71" w:rsidRPr="00C71654">
        <w:rPr>
          <w:b/>
          <w:bCs/>
        </w:rPr>
        <w:t>11</w:t>
      </w:r>
      <w:r w:rsidR="00863A71" w:rsidRPr="00C71654">
        <w:t xml:space="preserve"> </w:t>
      </w:r>
      <w:r w:rsidR="00C71654">
        <w:t xml:space="preserve">avant le 18 février 2012, les dispositions des </w:t>
      </w:r>
      <w:r w:rsidR="00863A71" w:rsidRPr="00C71654">
        <w:t xml:space="preserve">§ 5 </w:t>
      </w:r>
      <w:r w:rsidR="00C71654">
        <w:t>à</w:t>
      </w:r>
      <w:r w:rsidR="00863A71" w:rsidRPr="00C71654">
        <w:t xml:space="preserve"> 8 </w:t>
      </w:r>
      <w:r w:rsidR="00C71654">
        <w:t>de l'</w:t>
      </w:r>
      <w:r w:rsidR="00863A71" w:rsidRPr="00C71654">
        <w:t>Annex</w:t>
      </w:r>
      <w:r w:rsidR="00C71654">
        <w:t>e</w:t>
      </w:r>
      <w:r w:rsidR="00863A71" w:rsidRPr="00C71654">
        <w:t xml:space="preserve"> 1 </w:t>
      </w:r>
      <w:r w:rsidR="00C71654">
        <w:t xml:space="preserve">de cette Résolution ou la procédure décrite dans l'Annexe 3 de cette Résolution s'appliquent, selon le cas. L'Annexe 3 contient des mesures transitoires à appliquer si l'administration </w:t>
      </w:r>
      <w:proofErr w:type="spellStart"/>
      <w:r w:rsidR="00641164">
        <w:t>notificatrice</w:t>
      </w:r>
      <w:proofErr w:type="spellEnd"/>
      <w:r w:rsidR="00C71654">
        <w:t xml:space="preserve"> ne soumet pas au Bureau, au plus tard le 17 août 2012, les renseignements complets sur la situation d'exploitation au 18 février 2012, conformément aux dispositions de l'Annexe 2 de cette Résolution. Le Bureau a attiré l'attention de chaque administration concernée sur les renseignements qui doivent être soumis au Bureau avant le 17 août 2012. </w:t>
      </w:r>
    </w:p>
    <w:p w:rsidR="00863A71" w:rsidRPr="009353CB" w:rsidRDefault="00C144B5" w:rsidP="00644E16">
      <w:pPr>
        <w:pStyle w:val="Call"/>
        <w:keepNext w:val="0"/>
        <w:keepLines w:val="0"/>
        <w:tabs>
          <w:tab w:val="left" w:pos="851"/>
        </w:tabs>
        <w:ind w:left="0"/>
        <w:rPr>
          <w:rFonts w:ascii="TimesNewRoman" w:hAnsi="TimesNewRoman" w:cs="TimesNewRoman"/>
          <w:szCs w:val="24"/>
        </w:rPr>
      </w:pPr>
      <w:r>
        <w:rPr>
          <w:i w:val="0"/>
          <w:iCs/>
        </w:rPr>
        <w:t>6</w:t>
      </w:r>
      <w:r w:rsidR="00863A71" w:rsidRPr="009353CB">
        <w:rPr>
          <w:i w:val="0"/>
          <w:iCs/>
        </w:rPr>
        <w:t>.6</w:t>
      </w:r>
      <w:r w:rsidR="00863A71" w:rsidRPr="009353CB">
        <w:tab/>
      </w:r>
      <w:r w:rsidR="009353CB" w:rsidRPr="009353CB">
        <w:rPr>
          <w:iCs/>
        </w:rPr>
        <w:t>Ré</w:t>
      </w:r>
      <w:r w:rsidR="00863A71" w:rsidRPr="009353CB">
        <w:rPr>
          <w:iCs/>
        </w:rPr>
        <w:t xml:space="preserve">solution </w:t>
      </w:r>
      <w:r w:rsidR="00863A71" w:rsidRPr="009353CB">
        <w:rPr>
          <w:b/>
          <w:bCs/>
          <w:iCs/>
        </w:rPr>
        <w:t>553 (</w:t>
      </w:r>
      <w:r w:rsidR="009353CB" w:rsidRPr="009353CB">
        <w:rPr>
          <w:b/>
          <w:bCs/>
          <w:iCs/>
        </w:rPr>
        <w:t>CMR</w:t>
      </w:r>
      <w:r w:rsidR="00863A71" w:rsidRPr="009353CB">
        <w:rPr>
          <w:b/>
          <w:bCs/>
          <w:iCs/>
        </w:rPr>
        <w:t>-12)</w:t>
      </w:r>
      <w:r w:rsidR="009353CB" w:rsidRPr="009353CB">
        <w:rPr>
          <w:iCs/>
        </w:rPr>
        <w:t xml:space="preserve"> relative aux mesures réglementaires applicables aux réseaux du service de radiodiffusion par satellite dans la bande 21,</w:t>
      </w:r>
      <w:r w:rsidR="00863A71" w:rsidRPr="009353CB">
        <w:rPr>
          <w:iCs/>
        </w:rPr>
        <w:t>4-22</w:t>
      </w:r>
      <w:r w:rsidR="009353CB" w:rsidRPr="009353CB">
        <w:rPr>
          <w:iCs/>
        </w:rPr>
        <w:t> </w:t>
      </w:r>
      <w:r w:rsidR="00863A71" w:rsidRPr="009353CB">
        <w:rPr>
          <w:iCs/>
        </w:rPr>
        <w:t xml:space="preserve">GHz </w:t>
      </w:r>
      <w:r w:rsidR="009353CB" w:rsidRPr="009353CB">
        <w:rPr>
          <w:iCs/>
        </w:rPr>
        <w:t>en</w:t>
      </w:r>
      <w:r w:rsidR="00863A71" w:rsidRPr="009353CB">
        <w:rPr>
          <w:iCs/>
        </w:rPr>
        <w:t xml:space="preserve"> </w:t>
      </w:r>
      <w:r w:rsidR="006474FB" w:rsidRPr="009353CB">
        <w:rPr>
          <w:iCs/>
        </w:rPr>
        <w:t>Régions</w:t>
      </w:r>
      <w:r w:rsidR="00863A71" w:rsidRPr="009353CB">
        <w:rPr>
          <w:iCs/>
        </w:rPr>
        <w:t xml:space="preserve"> 1 </w:t>
      </w:r>
      <w:r w:rsidR="009353CB" w:rsidRPr="009353CB">
        <w:rPr>
          <w:iCs/>
        </w:rPr>
        <w:t>et</w:t>
      </w:r>
      <w:r w:rsidR="00863A71" w:rsidRPr="009353CB">
        <w:rPr>
          <w:iCs/>
        </w:rPr>
        <w:t xml:space="preserve"> 3 </w:t>
      </w:r>
      <w:r w:rsidR="009353CB" w:rsidRPr="009353CB">
        <w:rPr>
          <w:iCs/>
        </w:rPr>
        <w:t>pour renforcer l'accès équitable à cette bande</w:t>
      </w:r>
      <w:r w:rsidR="009353CB" w:rsidRPr="009353CB">
        <w:rPr>
          <w:i w:val="0"/>
          <w:iCs/>
        </w:rPr>
        <w:t xml:space="preserve">: conformément au </w:t>
      </w:r>
      <w:r w:rsidR="009353CB" w:rsidRPr="00FE3F01">
        <w:t>décide</w:t>
      </w:r>
      <w:r w:rsidR="009353CB" w:rsidRPr="009353CB">
        <w:rPr>
          <w:i w:val="0"/>
          <w:iCs/>
        </w:rPr>
        <w:t xml:space="preserve"> de la Réso</w:t>
      </w:r>
      <w:r w:rsidR="006474FB">
        <w:rPr>
          <w:i w:val="0"/>
          <w:iCs/>
        </w:rPr>
        <w:t>lution, à compter du 18 février </w:t>
      </w:r>
      <w:r w:rsidR="00641164">
        <w:rPr>
          <w:i w:val="0"/>
          <w:iCs/>
        </w:rPr>
        <w:t>2012, la P</w:t>
      </w:r>
      <w:r w:rsidR="009353CB" w:rsidRPr="009353CB">
        <w:rPr>
          <w:i w:val="0"/>
          <w:iCs/>
        </w:rPr>
        <w:t xml:space="preserve">rocédure spéciale </w:t>
      </w:r>
      <w:r w:rsidR="00641164">
        <w:rPr>
          <w:i w:val="0"/>
          <w:iCs/>
        </w:rPr>
        <w:t>d</w:t>
      </w:r>
      <w:r w:rsidR="009353CB" w:rsidRPr="009353CB">
        <w:rPr>
          <w:i w:val="0"/>
          <w:iCs/>
        </w:rPr>
        <w:t xml:space="preserve">écrite dans </w:t>
      </w:r>
      <w:r w:rsidR="00641164">
        <w:rPr>
          <w:i w:val="0"/>
          <w:iCs/>
        </w:rPr>
        <w:t xml:space="preserve">la </w:t>
      </w:r>
      <w:r w:rsidR="009353CB" w:rsidRPr="009353CB">
        <w:rPr>
          <w:i w:val="0"/>
          <w:iCs/>
        </w:rPr>
        <w:t xml:space="preserve">Pièce jointe à cette Résolution pour le traitement des demandes de </w:t>
      </w:r>
      <w:r w:rsidR="006474FB" w:rsidRPr="009353CB">
        <w:rPr>
          <w:i w:val="0"/>
          <w:iCs/>
        </w:rPr>
        <w:t>coordination</w:t>
      </w:r>
      <w:r w:rsidR="006474FB">
        <w:rPr>
          <w:i w:val="0"/>
          <w:iCs/>
        </w:rPr>
        <w:t xml:space="preserve"> concernant les assignation de</w:t>
      </w:r>
      <w:r w:rsidR="009353CB" w:rsidRPr="009353CB">
        <w:rPr>
          <w:i w:val="0"/>
          <w:iCs/>
        </w:rPr>
        <w:t xml:space="preserve"> </w:t>
      </w:r>
      <w:r w:rsidR="006474FB" w:rsidRPr="009353CB">
        <w:rPr>
          <w:i w:val="0"/>
          <w:iCs/>
        </w:rPr>
        <w:t>fréquence</w:t>
      </w:r>
      <w:r w:rsidR="006474FB">
        <w:rPr>
          <w:i w:val="0"/>
          <w:iCs/>
        </w:rPr>
        <w:t xml:space="preserve"> du SRS dans les Régions</w:t>
      </w:r>
      <w:r w:rsidR="009353CB" w:rsidRPr="009353CB">
        <w:rPr>
          <w:i w:val="0"/>
          <w:iCs/>
        </w:rPr>
        <w:t xml:space="preserve"> 1 et 3 dans la bande </w:t>
      </w:r>
      <w:r w:rsidR="009353CB" w:rsidRPr="009353CB">
        <w:rPr>
          <w:rFonts w:ascii="TimesNewRoman" w:hAnsi="TimesNewRoman" w:cs="TimesNewRoman"/>
          <w:i w:val="0"/>
          <w:iCs/>
          <w:szCs w:val="24"/>
        </w:rPr>
        <w:t>21</w:t>
      </w:r>
      <w:r w:rsidR="009353CB">
        <w:rPr>
          <w:rFonts w:ascii="TimesNewRoman" w:hAnsi="TimesNewRoman" w:cs="TimesNewRoman"/>
          <w:i w:val="0"/>
          <w:iCs/>
          <w:szCs w:val="24"/>
        </w:rPr>
        <w:t>,</w:t>
      </w:r>
      <w:r w:rsidR="00863A71" w:rsidRPr="009353CB">
        <w:rPr>
          <w:rFonts w:ascii="TimesNewRoman" w:hAnsi="TimesNewRoman" w:cs="TimesNewRoman"/>
          <w:i w:val="0"/>
          <w:iCs/>
          <w:szCs w:val="24"/>
        </w:rPr>
        <w:t xml:space="preserve">4-22 GHz </w:t>
      </w:r>
      <w:r w:rsidR="006474FB">
        <w:rPr>
          <w:rFonts w:ascii="TimesNewRoman" w:hAnsi="TimesNewRoman" w:cs="TimesNewRoman"/>
          <w:i w:val="0"/>
          <w:iCs/>
          <w:szCs w:val="24"/>
        </w:rPr>
        <w:t>doit être appliquée aux soumissions des administrations conformes aux prescriptions décrites dans la Pièce jointe.</w:t>
      </w:r>
    </w:p>
    <w:p w:rsidR="00863A71" w:rsidRPr="001209D4" w:rsidRDefault="00641164" w:rsidP="00F957F4">
      <w:pPr>
        <w:tabs>
          <w:tab w:val="clear" w:pos="794"/>
          <w:tab w:val="clear" w:pos="1191"/>
          <w:tab w:val="clear" w:pos="1588"/>
          <w:tab w:val="clear" w:pos="1985"/>
          <w:tab w:val="left" w:pos="0"/>
        </w:tabs>
      </w:pPr>
      <w:r>
        <w:t>En conséquence, la P</w:t>
      </w:r>
      <w:r w:rsidR="006474FB" w:rsidRPr="006474FB">
        <w:t>rocédure spéciale ne peut être appliquée qu'une fois (sauf dans les cas décrits au § 3 de la Résolution) par une administration, ou une administration agis</w:t>
      </w:r>
      <w:r w:rsidR="006474FB">
        <w:t>sant au nom d</w:t>
      </w:r>
      <w:r w:rsidR="006474FB" w:rsidRPr="006474FB">
        <w:t>'un groupe d'administration</w:t>
      </w:r>
      <w:r w:rsidR="006474FB">
        <w:t>s</w:t>
      </w:r>
      <w:r w:rsidR="006474FB" w:rsidRPr="006474FB">
        <w:t>, lorsque aucune de ces administrations n'a un réseau inscrit dans le Fichier de référence international des fréquences, notifié au titre de</w:t>
      </w:r>
      <w:r w:rsidR="006474FB">
        <w:t xml:space="preserve"> </w:t>
      </w:r>
      <w:r w:rsidR="00FE3F01">
        <w:t>l</w:t>
      </w:r>
      <w:r w:rsidR="006474FB" w:rsidRPr="006474FB">
        <w:t xml:space="preserve">'Article </w:t>
      </w:r>
      <w:r w:rsidR="00863A71" w:rsidRPr="006474FB">
        <w:rPr>
          <w:b/>
          <w:bCs/>
        </w:rPr>
        <w:t>11</w:t>
      </w:r>
      <w:r w:rsidR="006474FB" w:rsidRPr="006474FB">
        <w:rPr>
          <w:bCs/>
        </w:rPr>
        <w:t>,</w:t>
      </w:r>
      <w:r w:rsidR="00863A71" w:rsidRPr="006474FB">
        <w:t xml:space="preserve"> </w:t>
      </w:r>
      <w:r w:rsidR="006474FB">
        <w:t xml:space="preserve">ou examiné </w:t>
      </w:r>
      <w:r w:rsidR="001209D4">
        <w:t xml:space="preserve">avec succès au titre du numéro </w:t>
      </w:r>
      <w:r w:rsidR="00863A71" w:rsidRPr="006474FB">
        <w:rPr>
          <w:b/>
          <w:bCs/>
        </w:rPr>
        <w:t>9.34</w:t>
      </w:r>
      <w:r w:rsidR="00863A71" w:rsidRPr="006474FB">
        <w:t xml:space="preserve"> </w:t>
      </w:r>
      <w:r w:rsidR="001209D4">
        <w:t>et publié conformément au numéro </w:t>
      </w:r>
      <w:r w:rsidR="00863A71" w:rsidRPr="006474FB">
        <w:rPr>
          <w:b/>
          <w:bCs/>
        </w:rPr>
        <w:t>9.38</w:t>
      </w:r>
      <w:r w:rsidR="00863A71" w:rsidRPr="006474FB">
        <w:t xml:space="preserve"> </w:t>
      </w:r>
      <w:r w:rsidR="001209D4">
        <w:t>pour la bande 21,4-22 </w:t>
      </w:r>
      <w:r w:rsidR="00863A71" w:rsidRPr="006474FB">
        <w:t xml:space="preserve">GHz. </w:t>
      </w:r>
      <w:r w:rsidR="001209D4" w:rsidRPr="001209D4">
        <w:t xml:space="preserve">Dans la </w:t>
      </w:r>
      <w:r w:rsidR="00FE3F01" w:rsidRPr="001209D4">
        <w:t>P</w:t>
      </w:r>
      <w:r w:rsidR="001209D4" w:rsidRPr="001209D4">
        <w:t>ièce jointe de la Résolution</w:t>
      </w:r>
      <w:r>
        <w:t>,</w:t>
      </w:r>
      <w:r w:rsidR="001209D4" w:rsidRPr="001209D4">
        <w:t xml:space="preserve"> on décrit en outre comment </w:t>
      </w:r>
      <w:r w:rsidR="00F957F4" w:rsidRPr="001209D4">
        <w:t>rechercher l'assistance</w:t>
      </w:r>
      <w:r w:rsidR="001209D4" w:rsidRPr="001209D4">
        <w:t xml:space="preserve"> du Bureau et soumettre la demande spéciale, les caractéristiques qui doivent être utilisées par les réseaux, les critères à</w:t>
      </w:r>
      <w:r w:rsidR="00F957F4">
        <w:t xml:space="preserve"> utiliser pour identifier les résea</w:t>
      </w:r>
      <w:r w:rsidR="001209D4" w:rsidRPr="001209D4">
        <w:t xml:space="preserve">ux/administrations </w:t>
      </w:r>
      <w:r w:rsidR="00F957F4" w:rsidRPr="001209D4">
        <w:t>affectés</w:t>
      </w:r>
      <w:r w:rsidR="001209D4" w:rsidRPr="001209D4">
        <w:t xml:space="preserve"> et comment le cas </w:t>
      </w:r>
      <w:r w:rsidR="00F957F4">
        <w:t xml:space="preserve">de la Procédure spéciale sera traité par le Bureau avant les soumissions qui n'ont pas été encore traitées conformément au numéro </w:t>
      </w:r>
      <w:r w:rsidR="00863A71" w:rsidRPr="001209D4">
        <w:rPr>
          <w:b/>
          <w:bCs/>
        </w:rPr>
        <w:t>9.34</w:t>
      </w:r>
      <w:r w:rsidR="00863A71" w:rsidRPr="001209D4">
        <w:t>.</w:t>
      </w:r>
    </w:p>
    <w:p w:rsidR="00863A71" w:rsidRPr="008E5FCF" w:rsidRDefault="008E5FCF" w:rsidP="000B20F2">
      <w:pPr>
        <w:tabs>
          <w:tab w:val="clear" w:pos="794"/>
          <w:tab w:val="clear" w:pos="1191"/>
          <w:tab w:val="clear" w:pos="1588"/>
          <w:tab w:val="clear" w:pos="1985"/>
          <w:tab w:val="left" w:pos="0"/>
        </w:tabs>
      </w:pPr>
      <w:r w:rsidRPr="008E5FCF">
        <w:t xml:space="preserve">En conséquence, le Bureau appliquera les procédures prévues dans cette Résolution, conjointement avec celles prévues dans la </w:t>
      </w:r>
      <w:r w:rsidRPr="00C144B5">
        <w:rPr>
          <w:i/>
          <w:iCs/>
        </w:rPr>
        <w:t>Résolution</w:t>
      </w:r>
      <w:r w:rsidRPr="008E5FCF">
        <w:t xml:space="preserve"> </w:t>
      </w:r>
      <w:r w:rsidRPr="00C144B5">
        <w:rPr>
          <w:b/>
          <w:bCs/>
        </w:rPr>
        <w:t>554</w:t>
      </w:r>
      <w:r w:rsidRPr="008E5FCF">
        <w:t>, à tous les cas de coordination dans la bande 21</w:t>
      </w:r>
      <w:r>
        <w:t>,4-22 </w:t>
      </w:r>
      <w:r w:rsidR="00863A71" w:rsidRPr="008E5FCF">
        <w:t xml:space="preserve">GHz </w:t>
      </w:r>
      <w:r>
        <w:t>en instance, quelle que soit leur date de réception, qui n'ont pas encore été examinés conformément au numéro </w:t>
      </w:r>
      <w:r w:rsidR="00863A71" w:rsidRPr="008E5FCF">
        <w:rPr>
          <w:b/>
          <w:bCs/>
        </w:rPr>
        <w:t>9.34</w:t>
      </w:r>
      <w:r w:rsidR="00863A71" w:rsidRPr="008E5FCF">
        <w:t xml:space="preserve"> </w:t>
      </w:r>
      <w:r>
        <w:t xml:space="preserve">à la date de réception de la demande de coordination complète pour </w:t>
      </w:r>
      <w:r w:rsidR="00641164">
        <w:t>u</w:t>
      </w:r>
      <w:r>
        <w:t>n cas relevant de</w:t>
      </w:r>
      <w:r w:rsidR="00641164">
        <w:t xml:space="preserve"> la</w:t>
      </w:r>
      <w:r>
        <w:t xml:space="preserve"> </w:t>
      </w:r>
      <w:r w:rsidR="00641164">
        <w:t>P</w:t>
      </w:r>
      <w:r>
        <w:t xml:space="preserve">rocédure spéciale, au titre de </w:t>
      </w:r>
      <w:r w:rsidR="00641164">
        <w:t xml:space="preserve">la </w:t>
      </w:r>
      <w:r w:rsidRPr="00C144B5">
        <w:rPr>
          <w:i/>
          <w:iCs/>
        </w:rPr>
        <w:t>Ré</w:t>
      </w:r>
      <w:r w:rsidR="00863A71" w:rsidRPr="00C144B5">
        <w:rPr>
          <w:i/>
          <w:iCs/>
        </w:rPr>
        <w:t>solution</w:t>
      </w:r>
      <w:r w:rsidR="00863A71" w:rsidRPr="008E5FCF">
        <w:t xml:space="preserve"> </w:t>
      </w:r>
      <w:r w:rsidR="00863A71" w:rsidRPr="00C144B5">
        <w:rPr>
          <w:b/>
          <w:bCs/>
        </w:rPr>
        <w:t>553</w:t>
      </w:r>
      <w:r w:rsidR="00863A71" w:rsidRPr="008E5FCF">
        <w:t xml:space="preserve">, </w:t>
      </w:r>
      <w:r>
        <w:t xml:space="preserve">comme confirmé par la Conférence à sa 13ème séance plénière. Lorsqu'il reçoit un cas relevant de la </w:t>
      </w:r>
      <w:r w:rsidR="00FE262C">
        <w:t>P</w:t>
      </w:r>
      <w:r>
        <w:t>rocédure spéciale, le Bureau, pour pouvoir le traiter en priorité, subdivise toutes les demandes de coordination n'ayant pas encore été examinées qui contiennent des assignations de fréquence au SRS dans la bande 21,</w:t>
      </w:r>
      <w:r w:rsidR="00FE262C">
        <w:t>4</w:t>
      </w:r>
      <w:r w:rsidR="00FE262C">
        <w:noBreakHyphen/>
      </w:r>
      <w:r w:rsidR="00863A71" w:rsidRPr="008E5FCF">
        <w:t xml:space="preserve">22 GHz </w:t>
      </w:r>
      <w:r>
        <w:t>en deux fiches de notification de réseaux à satellite et tient à jour une série distincte de fiches de notification pour les demandes de coordination du SRS dans la bande 21,4-22 </w:t>
      </w:r>
      <w:r w:rsidR="00863A71" w:rsidRPr="008E5FCF">
        <w:t xml:space="preserve">GHz </w:t>
      </w:r>
      <w:r>
        <w:t xml:space="preserve">qui feront l'objet d'un droit séparé au titre du recouvrement des coûts. En conséquence, les administrations seront tenues de soumettre des fiches de notification de réseaux à satellite distinctes pour le SRS dans la bande </w:t>
      </w:r>
      <w:r w:rsidRPr="008E5FCF">
        <w:t>21</w:t>
      </w:r>
      <w:r>
        <w:t>,</w:t>
      </w:r>
      <w:r w:rsidR="00863A71" w:rsidRPr="008E5FCF">
        <w:t>4-22 GHz</w:t>
      </w:r>
      <w:r>
        <w:t xml:space="preserve"> et les liaisons de connexion correspondantes; sinon</w:t>
      </w:r>
      <w:r w:rsidR="00641164">
        <w:t>,</w:t>
      </w:r>
      <w:r>
        <w:t xml:space="preserve"> le Bureau subdivisera la fiche de </w:t>
      </w:r>
      <w:r w:rsidR="000B20F2">
        <w:t>notification</w:t>
      </w:r>
      <w:r>
        <w:t xml:space="preserve"> en conséquence.</w:t>
      </w:r>
      <w:r w:rsidR="00863A71" w:rsidRPr="008E5FCF">
        <w:t xml:space="preserve"> </w:t>
      </w:r>
    </w:p>
    <w:p w:rsidR="00863A71" w:rsidRPr="00EB2360" w:rsidRDefault="00C144B5" w:rsidP="00644E16">
      <w:pPr>
        <w:keepNext/>
        <w:keepLines/>
        <w:tabs>
          <w:tab w:val="clear" w:pos="794"/>
          <w:tab w:val="clear" w:pos="1191"/>
          <w:tab w:val="clear" w:pos="1588"/>
          <w:tab w:val="clear" w:pos="1985"/>
          <w:tab w:val="left" w:pos="0"/>
        </w:tabs>
      </w:pPr>
      <w:r>
        <w:t>6</w:t>
      </w:r>
      <w:r w:rsidR="00863A71" w:rsidRPr="000B20F2">
        <w:t>.7</w:t>
      </w:r>
      <w:r w:rsidR="00863A71" w:rsidRPr="000B20F2">
        <w:tab/>
      </w:r>
      <w:r w:rsidR="000B20F2" w:rsidRPr="000B20F2">
        <w:rPr>
          <w:i/>
          <w:iCs/>
        </w:rPr>
        <w:t>Ré</w:t>
      </w:r>
      <w:r w:rsidR="00863A71" w:rsidRPr="000B20F2">
        <w:rPr>
          <w:i/>
          <w:iCs/>
        </w:rPr>
        <w:t xml:space="preserve">solution </w:t>
      </w:r>
      <w:r w:rsidR="00863A71" w:rsidRPr="000B20F2">
        <w:rPr>
          <w:b/>
          <w:bCs/>
          <w:i/>
          <w:iCs/>
        </w:rPr>
        <w:t>554 (</w:t>
      </w:r>
      <w:r w:rsidR="000B20F2" w:rsidRPr="000B20F2">
        <w:rPr>
          <w:b/>
          <w:bCs/>
          <w:i/>
          <w:iCs/>
        </w:rPr>
        <w:t>CMR</w:t>
      </w:r>
      <w:r w:rsidR="00863A71" w:rsidRPr="000B20F2">
        <w:rPr>
          <w:b/>
          <w:bCs/>
          <w:i/>
          <w:iCs/>
        </w:rPr>
        <w:t>-12)</w:t>
      </w:r>
      <w:r w:rsidR="000B20F2" w:rsidRPr="000B20F2">
        <w:rPr>
          <w:i/>
          <w:iCs/>
        </w:rPr>
        <w:t xml:space="preserve"> relative à l'</w:t>
      </w:r>
      <w:r w:rsidR="00EB2360" w:rsidRPr="000B20F2">
        <w:rPr>
          <w:i/>
          <w:iCs/>
        </w:rPr>
        <w:t>application</w:t>
      </w:r>
      <w:r w:rsidR="000B20F2" w:rsidRPr="000B20F2">
        <w:rPr>
          <w:i/>
          <w:iCs/>
        </w:rPr>
        <w:t xml:space="preserve"> de gabarits de puissance surfacique pour la coordination au titre du numéro </w:t>
      </w:r>
      <w:r w:rsidR="00863A71" w:rsidRPr="000B20F2">
        <w:rPr>
          <w:bCs/>
          <w:i/>
        </w:rPr>
        <w:t>9.7</w:t>
      </w:r>
      <w:r w:rsidR="000B20F2">
        <w:rPr>
          <w:bCs/>
          <w:i/>
        </w:rPr>
        <w:t xml:space="preserve"> concernant les réseaux du service de radiodiffusion par satellite dans la bande </w:t>
      </w:r>
      <w:r w:rsidR="000B20F2">
        <w:rPr>
          <w:i/>
        </w:rPr>
        <w:t>21,</w:t>
      </w:r>
      <w:r w:rsidR="00863A71" w:rsidRPr="000B20F2">
        <w:rPr>
          <w:i/>
        </w:rPr>
        <w:t>4-22 GHz</w:t>
      </w:r>
      <w:r w:rsidR="000B20F2">
        <w:rPr>
          <w:i/>
        </w:rPr>
        <w:t xml:space="preserve"> dans les Régions 1 et 3</w:t>
      </w:r>
      <w:r w:rsidR="000B20F2" w:rsidRPr="000B20F2">
        <w:t>:</w:t>
      </w:r>
      <w:r w:rsidR="000B20F2">
        <w:rPr>
          <w:i/>
        </w:rPr>
        <w:t xml:space="preserve"> </w:t>
      </w:r>
      <w:r w:rsidR="000B20F2">
        <w:t xml:space="preserve">conformément au point </w:t>
      </w:r>
      <w:r w:rsidR="000B20F2" w:rsidRPr="00641164">
        <w:t>1</w:t>
      </w:r>
      <w:r w:rsidR="000B20F2">
        <w:rPr>
          <w:i/>
        </w:rPr>
        <w:t xml:space="preserve"> </w:t>
      </w:r>
      <w:r w:rsidR="000B20F2">
        <w:t xml:space="preserve">du </w:t>
      </w:r>
      <w:r w:rsidR="000B20F2" w:rsidRPr="000B20F2">
        <w:rPr>
          <w:i/>
          <w:iCs/>
        </w:rPr>
        <w:t>décide</w:t>
      </w:r>
      <w:r w:rsidR="000B20F2">
        <w:rPr>
          <w:i/>
        </w:rPr>
        <w:t xml:space="preserve"> </w:t>
      </w:r>
      <w:r w:rsidR="000B20F2">
        <w:t>de cette Résolution, à compter du 18 février 2012, la CMR</w:t>
      </w:r>
      <w:r w:rsidR="000B20F2">
        <w:noBreakHyphen/>
        <w:t xml:space="preserve">12 </w:t>
      </w:r>
      <w:r w:rsidR="00641164">
        <w:t>a</w:t>
      </w:r>
      <w:r w:rsidR="000B20F2">
        <w:t xml:space="preserve"> introduit une nouvelle valeur de seuil de puissance surfacique qui vient s'ajouter au nouvel arc de coordination de </w:t>
      </w:r>
      <w:r w:rsidR="000B20F2" w:rsidRPr="000B20F2">
        <w:t>+/</w:t>
      </w:r>
      <w:r w:rsidR="00FE262C">
        <w:t>–</w:t>
      </w:r>
      <w:r w:rsidR="000B20F2" w:rsidRPr="000B20F2">
        <w:t xml:space="preserve">12 degrés pour identifier les administrations et les réseaux à satellite avec lesquels la coordination doit </w:t>
      </w:r>
      <w:r w:rsidR="000B20F2">
        <w:t xml:space="preserve">être </w:t>
      </w:r>
      <w:r w:rsidR="00EB2360">
        <w:t>effectuée</w:t>
      </w:r>
      <w:r w:rsidR="000B20F2">
        <w:t xml:space="preserve"> au titre du numéro </w:t>
      </w:r>
      <w:r w:rsidR="000B20F2">
        <w:rPr>
          <w:b/>
        </w:rPr>
        <w:t>9.7</w:t>
      </w:r>
      <w:r w:rsidR="000B20F2" w:rsidRPr="000B20F2">
        <w:t>,</w:t>
      </w:r>
      <w:r w:rsidR="000B20F2">
        <w:t xml:space="preserve"> dans le cas des réseaux </w:t>
      </w:r>
      <w:r w:rsidR="00641164">
        <w:t xml:space="preserve">du </w:t>
      </w:r>
      <w:r w:rsidR="000B20F2">
        <w:t xml:space="preserve">SRS dans les Régions 1 et 3, dans </w:t>
      </w:r>
      <w:r w:rsidR="00DA5F01">
        <w:t xml:space="preserve">la bande </w:t>
      </w:r>
      <w:r w:rsidR="00EB2360">
        <w:t>21,</w:t>
      </w:r>
      <w:r w:rsidR="00EB2360" w:rsidRPr="00EB2360">
        <w:t xml:space="preserve">4-22 GHz. En outre, au titre du point </w:t>
      </w:r>
      <w:r w:rsidR="00EB2360" w:rsidRPr="00641164">
        <w:t>2</w:t>
      </w:r>
      <w:r w:rsidR="00EB2360" w:rsidRPr="00EB2360">
        <w:rPr>
          <w:i/>
        </w:rPr>
        <w:t xml:space="preserve"> </w:t>
      </w:r>
      <w:r w:rsidR="00EB2360" w:rsidRPr="00EB2360">
        <w:t xml:space="preserve">du </w:t>
      </w:r>
      <w:r w:rsidR="00EB2360" w:rsidRPr="00EB2360">
        <w:rPr>
          <w:i/>
        </w:rPr>
        <w:t xml:space="preserve">décide </w:t>
      </w:r>
      <w:r w:rsidR="00EB2360" w:rsidRPr="00EB2360">
        <w:t xml:space="preserve">de la Résolution, «lorsque le Bureau procède, au titre du </w:t>
      </w:r>
      <w:r w:rsidR="00DE40FF">
        <w:t xml:space="preserve">numéro </w:t>
      </w:r>
      <w:r w:rsidR="00EB2360" w:rsidRPr="00EB2360">
        <w:rPr>
          <w:b/>
          <w:bCs/>
        </w:rPr>
        <w:t>11.32</w:t>
      </w:r>
      <w:r w:rsidR="00EB2360" w:rsidRPr="00EB2360">
        <w:t xml:space="preserve">, à l'examen des notifications de réseaux à satellite du point de vue de la conformité avec les procédures de coordination, il doit fonder ses conclusions sur les besoins de coordination établis conformément au numéro </w:t>
      </w:r>
      <w:r w:rsidR="00EB2360" w:rsidRPr="00EB2360">
        <w:rPr>
          <w:b/>
          <w:bCs/>
        </w:rPr>
        <w:t>9.7</w:t>
      </w:r>
      <w:r w:rsidR="00EB2360" w:rsidRPr="00EB2360">
        <w:t xml:space="preserve"> </w:t>
      </w:r>
      <w:r w:rsidR="00EB2360">
        <w:t xml:space="preserve">dans le </w:t>
      </w:r>
      <w:r w:rsidR="00EB2360" w:rsidRPr="00EB2360">
        <w:t>Table</w:t>
      </w:r>
      <w:r w:rsidR="00EB2360">
        <w:t>au</w:t>
      </w:r>
      <w:r w:rsidR="00EB2360" w:rsidRPr="00EB2360">
        <w:t xml:space="preserve"> 5-1 </w:t>
      </w:r>
      <w:r w:rsidR="00EB2360">
        <w:t>de</w:t>
      </w:r>
      <w:r w:rsidR="00EB2360" w:rsidRPr="00EB2360">
        <w:t xml:space="preserve"> Appendi</w:t>
      </w:r>
      <w:r w:rsidR="00EB2360">
        <w:t>ce </w:t>
      </w:r>
      <w:r w:rsidR="00EB2360" w:rsidRPr="00EB2360">
        <w:t>5</w:t>
      </w:r>
      <w:r w:rsidR="00EB2360">
        <w:t>, tel que révisé par la CMR-12 pour les réseaux reçus au titre du numéro </w:t>
      </w:r>
      <w:r w:rsidR="00EB2360" w:rsidRPr="00EB2360">
        <w:rPr>
          <w:b/>
          <w:bCs/>
        </w:rPr>
        <w:t>9.30</w:t>
      </w:r>
      <w:r w:rsidR="00EB2360" w:rsidRPr="00EB2360">
        <w:t xml:space="preserve"> </w:t>
      </w:r>
      <w:r w:rsidR="00EB2360">
        <w:t>avant le</w:t>
      </w:r>
      <w:r w:rsidR="00EB2360" w:rsidRPr="00EB2360">
        <w:t xml:space="preserve"> 18 </w:t>
      </w:r>
      <w:r w:rsidR="00EB2360">
        <w:t xml:space="preserve">févier </w:t>
      </w:r>
      <w:r w:rsidR="00EB2360" w:rsidRPr="00EB2360">
        <w:t>2012</w:t>
      </w:r>
      <w:r w:rsidR="00EB2360">
        <w:t>»</w:t>
      </w:r>
      <w:r w:rsidR="00EB2360" w:rsidRPr="00EB2360">
        <w:t>.</w:t>
      </w:r>
    </w:p>
    <w:p w:rsidR="00863A71" w:rsidRPr="00EB2360" w:rsidRDefault="00C144B5" w:rsidP="00C144B5">
      <w:pPr>
        <w:tabs>
          <w:tab w:val="clear" w:pos="794"/>
          <w:tab w:val="clear" w:pos="1191"/>
          <w:tab w:val="clear" w:pos="1588"/>
          <w:tab w:val="clear" w:pos="1985"/>
          <w:tab w:val="left" w:pos="0"/>
        </w:tabs>
      </w:pPr>
      <w:r>
        <w:t>6</w:t>
      </w:r>
      <w:r w:rsidR="00863A71" w:rsidRPr="00EB2360">
        <w:t>.8</w:t>
      </w:r>
      <w:r w:rsidR="00863A71" w:rsidRPr="00EB2360">
        <w:tab/>
      </w:r>
      <w:r w:rsidR="00EB2360" w:rsidRPr="00EB2360">
        <w:rPr>
          <w:i/>
          <w:iCs/>
        </w:rPr>
        <w:t>Ré</w:t>
      </w:r>
      <w:r w:rsidR="00863A71" w:rsidRPr="00EB2360">
        <w:rPr>
          <w:i/>
          <w:iCs/>
        </w:rPr>
        <w:t xml:space="preserve">solution </w:t>
      </w:r>
      <w:r w:rsidR="00863A71" w:rsidRPr="00EB2360">
        <w:rPr>
          <w:b/>
          <w:bCs/>
          <w:i/>
          <w:iCs/>
        </w:rPr>
        <w:t>555</w:t>
      </w:r>
      <w:r w:rsidR="00863A71" w:rsidRPr="00EB2360">
        <w:rPr>
          <w:i/>
          <w:iCs/>
        </w:rPr>
        <w:t xml:space="preserve"> </w:t>
      </w:r>
      <w:r w:rsidR="00863A71" w:rsidRPr="00EB2360">
        <w:rPr>
          <w:b/>
          <w:bCs/>
          <w:i/>
          <w:iCs/>
        </w:rPr>
        <w:t>(</w:t>
      </w:r>
      <w:r w:rsidR="00EB2360" w:rsidRPr="00EB2360">
        <w:rPr>
          <w:b/>
          <w:bCs/>
          <w:i/>
          <w:iCs/>
        </w:rPr>
        <w:t>CMR</w:t>
      </w:r>
      <w:r w:rsidR="00863A71" w:rsidRPr="00EB2360">
        <w:rPr>
          <w:b/>
          <w:bCs/>
          <w:i/>
          <w:iCs/>
        </w:rPr>
        <w:t>-12)</w:t>
      </w:r>
      <w:r w:rsidR="005B40D1" w:rsidRPr="005B40D1">
        <w:t>,</w:t>
      </w:r>
      <w:r w:rsidR="00EB2360" w:rsidRPr="00EB2360">
        <w:rPr>
          <w:i/>
          <w:iCs/>
        </w:rPr>
        <w:t xml:space="preserve"> r</w:t>
      </w:r>
      <w:r w:rsidR="00863A71" w:rsidRPr="00EB2360">
        <w:rPr>
          <w:i/>
          <w:iCs/>
        </w:rPr>
        <w:t>e</w:t>
      </w:r>
      <w:r w:rsidR="00EB2360" w:rsidRPr="00EB2360">
        <w:rPr>
          <w:i/>
          <w:iCs/>
        </w:rPr>
        <w:t>lative au principe de diligence due lors de l'application des principes consacrés dans la Constitution</w:t>
      </w:r>
      <w:r w:rsidR="00EB2360" w:rsidRPr="00EB2360">
        <w:rPr>
          <w:iCs/>
        </w:rPr>
        <w:t>:</w:t>
      </w:r>
      <w:r w:rsidR="00EB2360" w:rsidRPr="00EB2360">
        <w:rPr>
          <w:i/>
          <w:iCs/>
        </w:rPr>
        <w:t xml:space="preserve"> </w:t>
      </w:r>
      <w:r w:rsidR="00EB2360" w:rsidRPr="00EB2360">
        <w:rPr>
          <w:iCs/>
        </w:rPr>
        <w:t>par la Lettre circulaire</w:t>
      </w:r>
      <w:r w:rsidR="00EB2360" w:rsidRPr="00EB2360">
        <w:t xml:space="preserve"> CR/331 </w:t>
      </w:r>
      <w:r w:rsidR="00EB2360" w:rsidRPr="00EB2360">
        <w:rPr>
          <w:iCs/>
        </w:rPr>
        <w:t xml:space="preserve">du 16 mars 2012, le Bureau a attiré l'attention des administrations sur les décisions de la Conférence figurant dans la </w:t>
      </w:r>
      <w:r w:rsidR="00EB2360" w:rsidRPr="00EB2360">
        <w:t>Résolution</w:t>
      </w:r>
      <w:r w:rsidR="00863A71" w:rsidRPr="00EB2360">
        <w:t xml:space="preserve"> </w:t>
      </w:r>
      <w:r w:rsidR="00863A71" w:rsidRPr="00EB2360">
        <w:rPr>
          <w:b/>
          <w:bCs/>
        </w:rPr>
        <w:t>555</w:t>
      </w:r>
      <w:r w:rsidR="00863A71" w:rsidRPr="00EB2360">
        <w:t xml:space="preserve"> </w:t>
      </w:r>
      <w:r w:rsidR="00863A71" w:rsidRPr="00EB2360">
        <w:rPr>
          <w:b/>
          <w:bCs/>
        </w:rPr>
        <w:t>(</w:t>
      </w:r>
      <w:r w:rsidR="00EB2360">
        <w:rPr>
          <w:b/>
          <w:bCs/>
        </w:rPr>
        <w:t>CMR</w:t>
      </w:r>
      <w:r w:rsidR="00863A71" w:rsidRPr="00EB2360">
        <w:rPr>
          <w:b/>
          <w:bCs/>
        </w:rPr>
        <w:t>-12)</w:t>
      </w:r>
      <w:r w:rsidR="00EB2360">
        <w:t xml:space="preserve">, en particulier sur l'examen possible de leurs soumissions dans la bande </w:t>
      </w:r>
      <w:r w:rsidR="00EB2360">
        <w:rPr>
          <w:szCs w:val="24"/>
        </w:rPr>
        <w:t>21,</w:t>
      </w:r>
      <w:r w:rsidR="00863A71" w:rsidRPr="00EB2360">
        <w:rPr>
          <w:szCs w:val="24"/>
        </w:rPr>
        <w:t xml:space="preserve">4-22 GHz </w:t>
      </w:r>
      <w:r w:rsidR="00EB2360">
        <w:rPr>
          <w:szCs w:val="24"/>
        </w:rPr>
        <w:t>reçues avant le</w:t>
      </w:r>
      <w:r w:rsidR="00863A71" w:rsidRPr="00EB2360">
        <w:rPr>
          <w:szCs w:val="24"/>
        </w:rPr>
        <w:t xml:space="preserve"> 18 </w:t>
      </w:r>
      <w:r w:rsidR="00EB2360">
        <w:rPr>
          <w:szCs w:val="24"/>
        </w:rPr>
        <w:t>février</w:t>
      </w:r>
      <w:r w:rsidR="00863A71" w:rsidRPr="00EB2360">
        <w:rPr>
          <w:szCs w:val="24"/>
        </w:rPr>
        <w:t> 2012</w:t>
      </w:r>
      <w:r w:rsidR="00863A71" w:rsidRPr="00EB2360">
        <w:rPr>
          <w:rFonts w:asciiTheme="majorBidi" w:hAnsiTheme="majorBidi" w:cstheme="majorBidi"/>
          <w:szCs w:val="24"/>
        </w:rPr>
        <w:t xml:space="preserve"> </w:t>
      </w:r>
      <w:r w:rsidR="00EB2360">
        <w:rPr>
          <w:rFonts w:asciiTheme="majorBidi" w:hAnsiTheme="majorBidi" w:cstheme="majorBidi"/>
          <w:szCs w:val="24"/>
        </w:rPr>
        <w:t>qui pourront être modifiées ou retirées si elles ne sont plus nécessaires.</w:t>
      </w:r>
      <w:r w:rsidR="00863A71" w:rsidRPr="00EB2360">
        <w:rPr>
          <w:szCs w:val="24"/>
        </w:rPr>
        <w:t xml:space="preserve"> </w:t>
      </w:r>
    </w:p>
    <w:p w:rsidR="00863A71" w:rsidRPr="006F7100" w:rsidRDefault="00C144B5" w:rsidP="000D6CA1">
      <w:pPr>
        <w:tabs>
          <w:tab w:val="clear" w:pos="794"/>
          <w:tab w:val="clear" w:pos="1191"/>
          <w:tab w:val="clear" w:pos="1588"/>
          <w:tab w:val="clear" w:pos="1985"/>
          <w:tab w:val="left" w:pos="0"/>
        </w:tabs>
        <w:rPr>
          <w:rFonts w:asciiTheme="majorBidi" w:eastAsiaTheme="minorEastAsia" w:hAnsiTheme="majorBidi" w:cstheme="majorBidi"/>
          <w:sz w:val="26"/>
          <w:szCs w:val="26"/>
          <w:lang w:eastAsia="zh-CN"/>
        </w:rPr>
      </w:pPr>
      <w:r>
        <w:t>6</w:t>
      </w:r>
      <w:r w:rsidR="00863A71" w:rsidRPr="006F7100">
        <w:t>.9</w:t>
      </w:r>
      <w:r w:rsidR="00863A71" w:rsidRPr="006F7100">
        <w:tab/>
      </w:r>
      <w:r w:rsidR="00EB2360" w:rsidRPr="006F7100">
        <w:rPr>
          <w:i/>
          <w:iCs/>
          <w:szCs w:val="24"/>
        </w:rPr>
        <w:t>Ré</w:t>
      </w:r>
      <w:r w:rsidR="00863A71" w:rsidRPr="006F7100">
        <w:rPr>
          <w:i/>
          <w:iCs/>
          <w:szCs w:val="24"/>
        </w:rPr>
        <w:t xml:space="preserve">solution </w:t>
      </w:r>
      <w:r w:rsidR="00863A71" w:rsidRPr="006F7100">
        <w:rPr>
          <w:b/>
          <w:bCs/>
          <w:i/>
          <w:iCs/>
          <w:szCs w:val="24"/>
        </w:rPr>
        <w:t>222</w:t>
      </w:r>
      <w:r w:rsidR="00863A71" w:rsidRPr="006F7100">
        <w:rPr>
          <w:i/>
          <w:iCs/>
          <w:szCs w:val="24"/>
        </w:rPr>
        <w:t xml:space="preserve"> </w:t>
      </w:r>
      <w:r w:rsidR="00EB2360" w:rsidRPr="006F7100">
        <w:rPr>
          <w:b/>
          <w:bCs/>
          <w:i/>
          <w:iCs/>
          <w:szCs w:val="24"/>
        </w:rPr>
        <w:t>(Ré</w:t>
      </w:r>
      <w:r w:rsidR="00863A71" w:rsidRPr="006F7100">
        <w:rPr>
          <w:b/>
          <w:bCs/>
          <w:i/>
          <w:iCs/>
          <w:szCs w:val="24"/>
        </w:rPr>
        <w:t>v.</w:t>
      </w:r>
      <w:r w:rsidR="00EB2360" w:rsidRPr="006F7100">
        <w:rPr>
          <w:b/>
          <w:bCs/>
          <w:i/>
          <w:iCs/>
          <w:szCs w:val="24"/>
        </w:rPr>
        <w:t>CMR</w:t>
      </w:r>
      <w:r w:rsidR="00863A71" w:rsidRPr="006F7100">
        <w:rPr>
          <w:b/>
          <w:bCs/>
          <w:i/>
          <w:iCs/>
          <w:szCs w:val="24"/>
        </w:rPr>
        <w:t>-12)</w:t>
      </w:r>
      <w:r w:rsidR="006F7100" w:rsidRPr="006F7100">
        <w:rPr>
          <w:i/>
          <w:iCs/>
          <w:szCs w:val="24"/>
        </w:rPr>
        <w:t xml:space="preserve"> «Utilisation des bandes de fréquence</w:t>
      </w:r>
      <w:r w:rsidR="00DE40FF">
        <w:rPr>
          <w:i/>
          <w:iCs/>
          <w:szCs w:val="24"/>
        </w:rPr>
        <w:t>s</w:t>
      </w:r>
      <w:r w:rsidR="006F7100" w:rsidRPr="006F7100">
        <w:rPr>
          <w:i/>
          <w:iCs/>
          <w:szCs w:val="24"/>
        </w:rPr>
        <w:t xml:space="preserve"> </w:t>
      </w:r>
      <w:r w:rsidR="006F7100" w:rsidRPr="006F7100">
        <w:rPr>
          <w:rFonts w:asciiTheme="majorBidi" w:eastAsiaTheme="minorEastAsia" w:hAnsiTheme="majorBidi" w:cstheme="majorBidi"/>
          <w:i/>
          <w:iCs/>
          <w:szCs w:val="24"/>
          <w:lang w:eastAsia="zh-CN"/>
        </w:rPr>
        <w:t>1</w:t>
      </w:r>
      <w:r w:rsidR="006F7100">
        <w:rPr>
          <w:rFonts w:asciiTheme="majorBidi" w:eastAsiaTheme="minorEastAsia" w:hAnsiTheme="majorBidi" w:cstheme="majorBidi"/>
          <w:i/>
          <w:iCs/>
          <w:szCs w:val="24"/>
          <w:lang w:eastAsia="zh-CN"/>
        </w:rPr>
        <w:t> 525-1 </w:t>
      </w:r>
      <w:r w:rsidR="00863A71" w:rsidRPr="006F7100">
        <w:rPr>
          <w:rFonts w:asciiTheme="majorBidi" w:eastAsiaTheme="minorEastAsia" w:hAnsiTheme="majorBidi" w:cstheme="majorBidi"/>
          <w:i/>
          <w:iCs/>
          <w:szCs w:val="24"/>
          <w:lang w:eastAsia="zh-CN"/>
        </w:rPr>
        <w:t xml:space="preserve">559 MHz </w:t>
      </w:r>
      <w:r w:rsidR="00DE40FF">
        <w:rPr>
          <w:rFonts w:asciiTheme="majorBidi" w:eastAsiaTheme="minorEastAsia" w:hAnsiTheme="majorBidi" w:cstheme="majorBidi"/>
          <w:i/>
          <w:iCs/>
          <w:szCs w:val="24"/>
          <w:lang w:eastAsia="zh-CN"/>
        </w:rPr>
        <w:t>et 1 626,</w:t>
      </w:r>
      <w:r w:rsidR="006F7100">
        <w:rPr>
          <w:rFonts w:asciiTheme="majorBidi" w:eastAsiaTheme="minorEastAsia" w:hAnsiTheme="majorBidi" w:cstheme="majorBidi"/>
          <w:i/>
          <w:iCs/>
          <w:szCs w:val="24"/>
          <w:lang w:eastAsia="zh-CN"/>
        </w:rPr>
        <w:t>5-1 </w:t>
      </w:r>
      <w:r w:rsidR="000D6CA1">
        <w:rPr>
          <w:rFonts w:asciiTheme="majorBidi" w:eastAsiaTheme="minorEastAsia" w:hAnsiTheme="majorBidi" w:cstheme="majorBidi"/>
          <w:i/>
          <w:iCs/>
          <w:szCs w:val="24"/>
          <w:lang w:eastAsia="zh-CN"/>
        </w:rPr>
        <w:t>660,</w:t>
      </w:r>
      <w:r w:rsidR="00863A71" w:rsidRPr="006F7100">
        <w:rPr>
          <w:rFonts w:asciiTheme="majorBidi" w:eastAsiaTheme="minorEastAsia" w:hAnsiTheme="majorBidi" w:cstheme="majorBidi"/>
          <w:i/>
          <w:iCs/>
          <w:szCs w:val="24"/>
          <w:lang w:eastAsia="zh-CN"/>
        </w:rPr>
        <w:t xml:space="preserve">5 MHz </w:t>
      </w:r>
      <w:r w:rsidR="000D6CA1">
        <w:rPr>
          <w:rFonts w:asciiTheme="majorBidi" w:eastAsiaTheme="minorEastAsia" w:hAnsiTheme="majorBidi" w:cstheme="majorBidi"/>
          <w:i/>
          <w:iCs/>
          <w:szCs w:val="24"/>
          <w:lang w:eastAsia="zh-CN"/>
        </w:rPr>
        <w:t xml:space="preserve">par le service mobile par satellite et procédures visant à assurer l'accès au spectre à long terme pour le service mobile aéronautique par satellite </w:t>
      </w:r>
      <w:r w:rsidR="00863A71" w:rsidRPr="006F7100">
        <w:rPr>
          <w:rFonts w:asciiTheme="majorBidi" w:eastAsiaTheme="minorEastAsia" w:hAnsiTheme="majorBidi" w:cstheme="majorBidi"/>
          <w:i/>
          <w:iCs/>
          <w:szCs w:val="24"/>
          <w:lang w:eastAsia="zh-CN"/>
        </w:rPr>
        <w:t>(R)</w:t>
      </w:r>
      <w:r w:rsidR="000D6CA1">
        <w:rPr>
          <w:rFonts w:asciiTheme="majorBidi" w:eastAsiaTheme="minorEastAsia" w:hAnsiTheme="majorBidi" w:cstheme="majorBidi"/>
          <w:i/>
          <w:iCs/>
          <w:szCs w:val="24"/>
          <w:lang w:eastAsia="zh-CN"/>
        </w:rPr>
        <w:t>»</w:t>
      </w:r>
      <w:r w:rsidR="00863A71" w:rsidRPr="006F7100">
        <w:rPr>
          <w:rFonts w:asciiTheme="majorBidi" w:eastAsiaTheme="minorEastAsia" w:hAnsiTheme="majorBidi" w:cstheme="majorBidi"/>
          <w:szCs w:val="24"/>
          <w:lang w:eastAsia="zh-CN"/>
        </w:rPr>
        <w:t>.</w:t>
      </w:r>
    </w:p>
    <w:p w:rsidR="00863A71" w:rsidRPr="000D6CA1" w:rsidRDefault="000D6CA1" w:rsidP="00DE40FF">
      <w:pPr>
        <w:rPr>
          <w:rFonts w:eastAsiaTheme="minorEastAsia"/>
          <w:lang w:eastAsia="zh-CN"/>
        </w:rPr>
      </w:pPr>
      <w:r>
        <w:rPr>
          <w:rFonts w:eastAsiaTheme="minorEastAsia"/>
          <w:lang w:eastAsia="zh-CN"/>
        </w:rPr>
        <w:t xml:space="preserve">L'attention des administrations est attirée sur l'Annexe de la Résolution qui contient une description de la procédure à suivre pour appliquer le numéro </w:t>
      </w:r>
      <w:r w:rsidR="00863A71" w:rsidRPr="000D6CA1">
        <w:rPr>
          <w:rFonts w:eastAsiaTheme="minorEastAsia"/>
          <w:b/>
          <w:bCs/>
          <w:lang w:eastAsia="zh-CN"/>
        </w:rPr>
        <w:t xml:space="preserve">5.537A </w:t>
      </w:r>
      <w:r>
        <w:rPr>
          <w:rFonts w:eastAsiaTheme="minorEastAsia"/>
          <w:bCs/>
          <w:lang w:eastAsia="zh-CN"/>
        </w:rPr>
        <w:t>et faciliter la coordination des fréquences des réseaux à satellite du SMS, y compris les réseaux à satellite du SMA(R)S dans les bandes de fréquences </w:t>
      </w:r>
      <w:r>
        <w:rPr>
          <w:rFonts w:eastAsiaTheme="minorEastAsia"/>
          <w:lang w:eastAsia="zh-CN"/>
        </w:rPr>
        <w:t>1 525-1 </w:t>
      </w:r>
      <w:r w:rsidR="00863A71" w:rsidRPr="000D6CA1">
        <w:rPr>
          <w:rFonts w:eastAsiaTheme="minorEastAsia"/>
          <w:lang w:eastAsia="zh-CN"/>
        </w:rPr>
        <w:t xml:space="preserve">559 MHz </w:t>
      </w:r>
      <w:r>
        <w:rPr>
          <w:rFonts w:eastAsiaTheme="minorEastAsia"/>
          <w:lang w:eastAsia="zh-CN"/>
        </w:rPr>
        <w:t>et 1 626,5-1 660,5 </w:t>
      </w:r>
      <w:r w:rsidR="00863A71" w:rsidRPr="000D6CA1">
        <w:rPr>
          <w:rFonts w:eastAsiaTheme="minorEastAsia"/>
          <w:lang w:eastAsia="zh-CN"/>
        </w:rPr>
        <w:t xml:space="preserve">MHz. </w:t>
      </w:r>
      <w:r w:rsidR="00DE40FF">
        <w:rPr>
          <w:rFonts w:eastAsiaTheme="minorEastAsia"/>
          <w:lang w:eastAsia="zh-CN"/>
        </w:rPr>
        <w:t>Elle</w:t>
      </w:r>
      <w:r w:rsidRPr="000D6CA1">
        <w:rPr>
          <w:rFonts w:eastAsiaTheme="minorEastAsia"/>
          <w:lang w:eastAsia="zh-CN"/>
        </w:rPr>
        <w:t>s ont, entre autres choses, l'obligation de communiquer au Bureau, en vue de leur publication les résultats de la réunion de coordination des fréquences et de la réunion de réévaluation.</w:t>
      </w:r>
    </w:p>
    <w:p w:rsidR="00863A71" w:rsidRPr="0027576C" w:rsidRDefault="000D6CA1" w:rsidP="000D6CA1">
      <w:pPr>
        <w:tabs>
          <w:tab w:val="clear" w:pos="794"/>
          <w:tab w:val="clear" w:pos="1191"/>
          <w:tab w:val="clear" w:pos="1588"/>
          <w:tab w:val="clear" w:pos="1985"/>
        </w:tabs>
        <w:overflowPunct/>
        <w:textAlignment w:val="auto"/>
        <w:rPr>
          <w:rFonts w:asciiTheme="majorBidi" w:eastAsiaTheme="minorEastAsia" w:hAnsiTheme="majorBidi" w:cstheme="majorBidi"/>
          <w:szCs w:val="24"/>
          <w:lang w:val="fr-CH" w:eastAsia="zh-CN"/>
        </w:rPr>
      </w:pPr>
      <w:r w:rsidRPr="000D6CA1">
        <w:rPr>
          <w:rFonts w:asciiTheme="majorBidi" w:eastAsiaTheme="minorEastAsia" w:hAnsiTheme="majorBidi" w:cstheme="majorBidi"/>
          <w:szCs w:val="24"/>
          <w:lang w:eastAsia="zh-CN"/>
        </w:rPr>
        <w:t xml:space="preserve">Le processus de coordination reste bilatéral/multilatéral entre les administrations. </w:t>
      </w:r>
      <w:r>
        <w:rPr>
          <w:rFonts w:asciiTheme="majorBidi" w:eastAsiaTheme="minorEastAsia" w:hAnsiTheme="majorBidi" w:cstheme="majorBidi"/>
          <w:szCs w:val="24"/>
          <w:lang w:eastAsia="zh-CN"/>
        </w:rPr>
        <w:t>Toutefois, comme indiqué dans la Résolution, en cas de désaccord persistant, les administrations peuvent demander l'assistance du Bureau et inviter le Bureau à assister aux réunions de réévaluation.</w:t>
      </w:r>
    </w:p>
    <w:p w:rsidR="00863A71" w:rsidRPr="00343D28" w:rsidRDefault="00C144B5" w:rsidP="00C144B5">
      <w:pPr>
        <w:keepLines/>
        <w:tabs>
          <w:tab w:val="clear" w:pos="794"/>
          <w:tab w:val="clear" w:pos="1191"/>
          <w:tab w:val="clear" w:pos="1588"/>
          <w:tab w:val="clear" w:pos="1985"/>
          <w:tab w:val="left" w:pos="0"/>
        </w:tabs>
      </w:pPr>
      <w:r>
        <w:t>6</w:t>
      </w:r>
      <w:r w:rsidR="00863A71" w:rsidRPr="00343D28">
        <w:t>.10</w:t>
      </w:r>
      <w:r w:rsidR="00863A71" w:rsidRPr="00343D28">
        <w:tab/>
      </w:r>
      <w:r w:rsidR="000D6CA1" w:rsidRPr="00343D28">
        <w:rPr>
          <w:i/>
          <w:iCs/>
        </w:rPr>
        <w:t>Ré</w:t>
      </w:r>
      <w:r w:rsidR="00863A71" w:rsidRPr="00343D28">
        <w:rPr>
          <w:i/>
          <w:iCs/>
        </w:rPr>
        <w:t xml:space="preserve">solution </w:t>
      </w:r>
      <w:r w:rsidR="00863A71" w:rsidRPr="00343D28">
        <w:rPr>
          <w:b/>
          <w:bCs/>
          <w:i/>
          <w:iCs/>
        </w:rPr>
        <w:t>807</w:t>
      </w:r>
      <w:r w:rsidR="00863A71" w:rsidRPr="00343D28">
        <w:rPr>
          <w:i/>
          <w:iCs/>
        </w:rPr>
        <w:t xml:space="preserve"> </w:t>
      </w:r>
      <w:r w:rsidR="00863A71" w:rsidRPr="00343D28">
        <w:rPr>
          <w:b/>
          <w:bCs/>
          <w:i/>
          <w:iCs/>
        </w:rPr>
        <w:t>(</w:t>
      </w:r>
      <w:r w:rsidR="000D6CA1" w:rsidRPr="00343D28">
        <w:rPr>
          <w:b/>
          <w:bCs/>
          <w:i/>
          <w:iCs/>
        </w:rPr>
        <w:t>CMR</w:t>
      </w:r>
      <w:r w:rsidR="00863A71" w:rsidRPr="00343D28">
        <w:rPr>
          <w:b/>
          <w:bCs/>
          <w:i/>
          <w:iCs/>
        </w:rPr>
        <w:t>-12</w:t>
      </w:r>
      <w:r w:rsidR="00DE40FF" w:rsidRPr="005B40D1">
        <w:rPr>
          <w:b/>
          <w:bCs/>
          <w:i/>
          <w:iCs/>
        </w:rPr>
        <w:t>)</w:t>
      </w:r>
      <w:r w:rsidR="00863A71" w:rsidRPr="00343D28">
        <w:rPr>
          <w:i/>
          <w:iCs/>
        </w:rPr>
        <w:t xml:space="preserve">, </w:t>
      </w:r>
      <w:r w:rsidR="00B76F14" w:rsidRPr="00343D28">
        <w:rPr>
          <w:i/>
          <w:iCs/>
        </w:rPr>
        <w:t>relative à l'ordre du jour de la Conférence mondiale des radiocommunications de 2015 et Ré</w:t>
      </w:r>
      <w:r w:rsidR="00863A71" w:rsidRPr="00343D28">
        <w:rPr>
          <w:i/>
          <w:iCs/>
        </w:rPr>
        <w:t xml:space="preserve">solution </w:t>
      </w:r>
      <w:r w:rsidR="00863A71" w:rsidRPr="00FE262C">
        <w:rPr>
          <w:b/>
          <w:i/>
          <w:iCs/>
        </w:rPr>
        <w:t>808</w:t>
      </w:r>
      <w:r w:rsidR="00863A71" w:rsidRPr="00343D28">
        <w:rPr>
          <w:i/>
          <w:iCs/>
        </w:rPr>
        <w:t xml:space="preserve"> </w:t>
      </w:r>
      <w:r w:rsidR="00863A71" w:rsidRPr="005B40D1">
        <w:rPr>
          <w:b/>
          <w:bCs/>
          <w:i/>
          <w:iCs/>
        </w:rPr>
        <w:t>(</w:t>
      </w:r>
      <w:r w:rsidR="00B76F14" w:rsidRPr="00FE262C">
        <w:rPr>
          <w:b/>
          <w:i/>
          <w:iCs/>
        </w:rPr>
        <w:t>CMR-12</w:t>
      </w:r>
      <w:r w:rsidR="00B76F14" w:rsidRPr="005B40D1">
        <w:rPr>
          <w:b/>
          <w:bCs/>
          <w:i/>
          <w:iCs/>
        </w:rPr>
        <w:t>)</w:t>
      </w:r>
      <w:r w:rsidR="005B40D1" w:rsidRPr="005B40D1">
        <w:rPr>
          <w:i/>
          <w:iCs/>
        </w:rPr>
        <w:t>,</w:t>
      </w:r>
      <w:r w:rsidR="00B76F14" w:rsidRPr="00343D28">
        <w:rPr>
          <w:i/>
          <w:iCs/>
        </w:rPr>
        <w:t xml:space="preserve"> relative à l'ordre du jour préliminaire de la Conférence mondiale des radiocommunications de 2018</w:t>
      </w:r>
      <w:r w:rsidR="00B76F14" w:rsidRPr="00343D28">
        <w:rPr>
          <w:iCs/>
        </w:rPr>
        <w:t>:</w:t>
      </w:r>
      <w:r w:rsidR="00B76F14" w:rsidRPr="00343D28">
        <w:rPr>
          <w:i/>
          <w:iCs/>
        </w:rPr>
        <w:t xml:space="preserve"> </w:t>
      </w:r>
      <w:r w:rsidR="00B76F14" w:rsidRPr="00343D28">
        <w:rPr>
          <w:iCs/>
        </w:rPr>
        <w:t>conformément à</w:t>
      </w:r>
      <w:r w:rsidR="00DE40FF">
        <w:rPr>
          <w:iCs/>
        </w:rPr>
        <w:t xml:space="preserve"> </w:t>
      </w:r>
      <w:r w:rsidR="00B76F14" w:rsidRPr="00343D28">
        <w:rPr>
          <w:iCs/>
        </w:rPr>
        <w:t xml:space="preserve">la pratique habituelle, les mesures </w:t>
      </w:r>
      <w:r w:rsidR="00343D28" w:rsidRPr="00343D28">
        <w:rPr>
          <w:iCs/>
        </w:rPr>
        <w:t>préparatoires</w:t>
      </w:r>
      <w:r w:rsidR="00B76F14" w:rsidRPr="00343D28">
        <w:rPr>
          <w:iCs/>
        </w:rPr>
        <w:t xml:space="preserve"> nécessaires ont été engagées et les résultats de la première session de la </w:t>
      </w:r>
      <w:r w:rsidR="00343D28" w:rsidRPr="00343D28">
        <w:rPr>
          <w:iCs/>
        </w:rPr>
        <w:t>Réunion</w:t>
      </w:r>
      <w:r w:rsidR="00B76F14" w:rsidRPr="00343D28">
        <w:rPr>
          <w:iCs/>
        </w:rPr>
        <w:t xml:space="preserve"> de préparation à la Conférence en vue de la CMR-</w:t>
      </w:r>
      <w:r w:rsidR="00343D28" w:rsidRPr="00343D28">
        <w:rPr>
          <w:iCs/>
        </w:rPr>
        <w:t>15</w:t>
      </w:r>
      <w:r w:rsidR="00863A71" w:rsidRPr="00343D28">
        <w:t xml:space="preserve"> (</w:t>
      </w:r>
      <w:r w:rsidR="00343D28">
        <w:t>RPC</w:t>
      </w:r>
      <w:r w:rsidR="00863A71" w:rsidRPr="00343D28">
        <w:t xml:space="preserve">15-1) </w:t>
      </w:r>
      <w:r w:rsidR="00343D28">
        <w:t xml:space="preserve">ont été communiqués aux membre (voir la Circulaire administrative </w:t>
      </w:r>
      <w:r w:rsidR="00863A71" w:rsidRPr="00FE262C">
        <w:rPr>
          <w:bCs/>
        </w:rPr>
        <w:t>CA</w:t>
      </w:r>
      <w:r w:rsidR="00863A71" w:rsidRPr="00343D28">
        <w:t xml:space="preserve">/201 </w:t>
      </w:r>
      <w:r w:rsidR="00343D28">
        <w:t xml:space="preserve">du </w:t>
      </w:r>
      <w:r w:rsidR="00863A71" w:rsidRPr="00343D28">
        <w:t xml:space="preserve">19 </w:t>
      </w:r>
      <w:r w:rsidR="00343D28">
        <w:t>mars</w:t>
      </w:r>
      <w:r w:rsidR="00863A71" w:rsidRPr="00343D28">
        <w:t xml:space="preserve"> 2012 </w:t>
      </w:r>
      <w:r w:rsidR="00343D28">
        <w:t>ainsi que la page web régulièrement mise à jour consacrée aux études préparatoires de l'UIT-R en vue de la CMR-15 à l'adresse:</w:t>
      </w:r>
      <w:r w:rsidR="00863A71" w:rsidRPr="00343D28">
        <w:t xml:space="preserve"> </w:t>
      </w:r>
      <w:hyperlink r:id="rId9" w:history="1">
        <w:r w:rsidR="00863A71" w:rsidRPr="00343D28">
          <w:rPr>
            <w:rStyle w:val="Hyperlink"/>
          </w:rPr>
          <w:t>http://www.itu.int/ITU-R/go/rcpm-wrc-15-studies</w:t>
        </w:r>
      </w:hyperlink>
      <w:r w:rsidR="00FE262C">
        <w:t>).</w:t>
      </w:r>
    </w:p>
    <w:p w:rsidR="00863A71" w:rsidRPr="002E7109" w:rsidRDefault="00644E16" w:rsidP="002E7109">
      <w:pPr>
        <w:tabs>
          <w:tab w:val="clear" w:pos="794"/>
          <w:tab w:val="clear" w:pos="1191"/>
          <w:tab w:val="clear" w:pos="1588"/>
          <w:tab w:val="clear" w:pos="1985"/>
          <w:tab w:val="left" w:pos="0"/>
        </w:tabs>
      </w:pPr>
      <w:r>
        <w:t>7</w:t>
      </w:r>
      <w:r w:rsidR="00863A71" w:rsidRPr="002E7109">
        <w:tab/>
      </w:r>
      <w:r w:rsidR="002E7109" w:rsidRPr="002E7109">
        <w:t>Enfin</w:t>
      </w:r>
      <w:r w:rsidR="00DE40FF">
        <w:t>,</w:t>
      </w:r>
      <w:r w:rsidR="002E7109" w:rsidRPr="002E7109">
        <w:t xml:space="preserve"> je souhaite attirer votre attention sur les dispositions de l'a</w:t>
      </w:r>
      <w:r w:rsidR="00863A71" w:rsidRPr="002E7109">
        <w:t xml:space="preserve">rticle </w:t>
      </w:r>
      <w:r w:rsidR="00863A71" w:rsidRPr="002E7109">
        <w:rPr>
          <w:b/>
          <w:bCs/>
        </w:rPr>
        <w:t>54</w:t>
      </w:r>
      <w:r w:rsidR="00863A71" w:rsidRPr="002E7109">
        <w:t xml:space="preserve"> </w:t>
      </w:r>
      <w:r w:rsidR="002E7109" w:rsidRPr="002E7109">
        <w:t>de la</w:t>
      </w:r>
      <w:r w:rsidR="00863A71" w:rsidRPr="002E7109">
        <w:t xml:space="preserve"> Constitution, </w:t>
      </w:r>
      <w:r w:rsidR="002E7109" w:rsidRPr="002E7109">
        <w:t>qui invite les Etats Membres à indique</w:t>
      </w:r>
      <w:r w:rsidR="00DE40FF">
        <w:t>r</w:t>
      </w:r>
      <w:r w:rsidR="002E7109" w:rsidRPr="002E7109">
        <w:t xml:space="preserve"> au Secrétaire général leur consentement à </w:t>
      </w:r>
      <w:r w:rsidR="002E7109">
        <w:t xml:space="preserve">être liés par les révisions du </w:t>
      </w:r>
      <w:r w:rsidR="002E7109" w:rsidRPr="006D7D44">
        <w:t>Règlement des radiocommunications</w:t>
      </w:r>
      <w:r w:rsidR="002E7109">
        <w:t>.</w:t>
      </w:r>
    </w:p>
    <w:p w:rsidR="00863A71" w:rsidRPr="002E7109" w:rsidRDefault="00644E16" w:rsidP="00CB661D">
      <w:pPr>
        <w:keepNext/>
        <w:keepLines/>
        <w:tabs>
          <w:tab w:val="clear" w:pos="794"/>
          <w:tab w:val="clear" w:pos="1191"/>
          <w:tab w:val="clear" w:pos="1588"/>
          <w:tab w:val="clear" w:pos="1985"/>
          <w:tab w:val="left" w:pos="0"/>
        </w:tabs>
      </w:pPr>
      <w:r>
        <w:t>8</w:t>
      </w:r>
      <w:r w:rsidR="00863A71" w:rsidRPr="002E7109">
        <w:tab/>
      </w:r>
      <w:r w:rsidR="002E7109" w:rsidRPr="002E7109">
        <w:t>Le Bureau r</w:t>
      </w:r>
      <w:r w:rsidR="00DE40FF">
        <w:t>este à la disposition de votre A</w:t>
      </w:r>
      <w:r w:rsidR="002E7109" w:rsidRPr="002E7109">
        <w:t xml:space="preserve">dministration pour toute précision dont elle pourrait </w:t>
      </w:r>
      <w:r w:rsidR="002E7109">
        <w:t>avoir besoin en ce qui concerne les sujets traités dans la présente Lettre circulaire</w:t>
      </w:r>
      <w:r w:rsidR="00863A71" w:rsidRPr="002E7109">
        <w:t>.</w:t>
      </w:r>
    </w:p>
    <w:p w:rsidR="003203D8" w:rsidRDefault="00E25073" w:rsidP="00CB661D">
      <w:pPr>
        <w:keepNext/>
        <w:keepLines/>
      </w:pPr>
      <w:r>
        <w:t>Veuillez agréer, Madame, Monsieur, l'assurance de ma considération distinguée.</w:t>
      </w:r>
    </w:p>
    <w:p w:rsidR="00E25073" w:rsidRPr="00FE1623" w:rsidRDefault="00E25073" w:rsidP="00CB661D">
      <w:pPr>
        <w:keepNext/>
        <w:keepLines/>
        <w:tabs>
          <w:tab w:val="center" w:pos="7088"/>
        </w:tabs>
        <w:spacing w:before="1520"/>
      </w:pPr>
      <w:r>
        <w:tab/>
      </w:r>
      <w:r>
        <w:tab/>
      </w:r>
      <w:r>
        <w:tab/>
      </w:r>
      <w:r>
        <w:tab/>
      </w:r>
      <w:r>
        <w:tab/>
      </w:r>
      <w:r w:rsidR="00FE0632">
        <w:t>François Rancy</w:t>
      </w:r>
      <w:r>
        <w:br/>
      </w:r>
      <w:r>
        <w:tab/>
      </w:r>
      <w:r>
        <w:tab/>
      </w:r>
      <w:r>
        <w:tab/>
      </w:r>
      <w:r>
        <w:tab/>
      </w:r>
      <w:r>
        <w:tab/>
        <w:t>Directeur du Bureau des radiocommunications</w:t>
      </w:r>
    </w:p>
    <w:p w:rsidR="00CB661D" w:rsidRDefault="00CB661D" w:rsidP="00CC0B00">
      <w:pPr>
        <w:rPr>
          <w:b/>
          <w:bCs/>
          <w:sz w:val="18"/>
          <w:szCs w:val="18"/>
        </w:rPr>
      </w:pPr>
      <w:bookmarkStart w:id="4" w:name="ddistribution"/>
      <w:bookmarkEnd w:id="4"/>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Pr="005B40D1" w:rsidRDefault="00A52210" w:rsidP="00CC0B00">
      <w:pPr>
        <w:rPr>
          <w:b/>
          <w:bCs/>
          <w:szCs w:val="24"/>
        </w:rPr>
      </w:pPr>
      <w:r w:rsidRPr="005B40D1">
        <w:rPr>
          <w:b/>
          <w:bCs/>
          <w:szCs w:val="24"/>
        </w:rPr>
        <w:t xml:space="preserve">Annexes: </w:t>
      </w:r>
      <w:r w:rsidRPr="005B40D1">
        <w:rPr>
          <w:szCs w:val="24"/>
        </w:rPr>
        <w:t>2</w:t>
      </w: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CB661D" w:rsidRDefault="00CB661D" w:rsidP="00CC0B00">
      <w:pPr>
        <w:rPr>
          <w:b/>
          <w:bCs/>
          <w:sz w:val="18"/>
          <w:szCs w:val="18"/>
        </w:rPr>
      </w:pPr>
    </w:p>
    <w:p w:rsidR="0016677B" w:rsidRPr="008C5D1D" w:rsidRDefault="0016677B" w:rsidP="00CC0B00">
      <w:pPr>
        <w:rPr>
          <w:b/>
          <w:bCs/>
          <w:sz w:val="18"/>
          <w:szCs w:val="18"/>
        </w:rPr>
      </w:pPr>
      <w:r w:rsidRPr="008C5D1D">
        <w:rPr>
          <w:b/>
          <w:bCs/>
          <w:sz w:val="18"/>
          <w:szCs w:val="18"/>
        </w:rPr>
        <w:t>Distribution:</w:t>
      </w:r>
    </w:p>
    <w:p w:rsidR="0016677B" w:rsidRDefault="0016677B" w:rsidP="00CC0B00">
      <w:pPr>
        <w:tabs>
          <w:tab w:val="left" w:pos="284"/>
        </w:tabs>
        <w:rPr>
          <w:sz w:val="18"/>
          <w:szCs w:val="18"/>
        </w:rPr>
      </w:pPr>
      <w:r w:rsidRPr="008C5D1D">
        <w:rPr>
          <w:sz w:val="18"/>
          <w:szCs w:val="18"/>
        </w:rPr>
        <w:t>–</w:t>
      </w:r>
      <w:r w:rsidRPr="008C5D1D">
        <w:rPr>
          <w:sz w:val="18"/>
          <w:szCs w:val="18"/>
        </w:rPr>
        <w:tab/>
        <w:t>Administrations des Etats Membres de l'UIT</w:t>
      </w:r>
      <w:r w:rsidRPr="008C5D1D">
        <w:rPr>
          <w:sz w:val="18"/>
          <w:szCs w:val="18"/>
        </w:rPr>
        <w:br/>
        <w:t>–</w:t>
      </w:r>
      <w:r w:rsidRPr="008C5D1D">
        <w:rPr>
          <w:sz w:val="18"/>
          <w:szCs w:val="18"/>
        </w:rPr>
        <w:tab/>
        <w:t>Membres du Comité du Règlement des radiocommunications</w:t>
      </w:r>
    </w:p>
    <w:p w:rsidR="00A52210" w:rsidRDefault="00A52210" w:rsidP="00FC2FDC">
      <w:pPr>
        <w:pStyle w:val="Reasons"/>
        <w:rPr>
          <w:lang w:val="fr-CH"/>
        </w:rPr>
      </w:pPr>
      <w:r>
        <w:rPr>
          <w:lang w:val="fr-CH"/>
        </w:rPr>
        <w:br w:type="page"/>
      </w:r>
    </w:p>
    <w:p w:rsidR="00A52210" w:rsidRPr="00A52210" w:rsidRDefault="00A52210" w:rsidP="00A52210">
      <w:pPr>
        <w:pStyle w:val="AnnexNotitle"/>
        <w:spacing w:after="80"/>
        <w:rPr>
          <w:lang w:val="fr-CH"/>
        </w:rPr>
      </w:pPr>
      <w:r w:rsidRPr="00A52210">
        <w:rPr>
          <w:b w:val="0"/>
          <w:bCs/>
          <w:lang w:val="fr-CH"/>
        </w:rPr>
        <w:t>ANNEX</w:t>
      </w:r>
      <w:r>
        <w:rPr>
          <w:b w:val="0"/>
          <w:bCs/>
          <w:lang w:val="fr-CH"/>
        </w:rPr>
        <w:t>E</w:t>
      </w:r>
      <w:r w:rsidRPr="00A52210">
        <w:rPr>
          <w:b w:val="0"/>
          <w:bCs/>
          <w:lang w:val="fr-CH"/>
        </w:rPr>
        <w:t xml:space="preserve"> 1</w:t>
      </w:r>
    </w:p>
    <w:p w:rsidR="00A52210" w:rsidRPr="00A52210" w:rsidRDefault="00A52210" w:rsidP="00A52210">
      <w:pPr>
        <w:pStyle w:val="AnnexNotitle"/>
        <w:spacing w:before="240" w:after="240"/>
        <w:rPr>
          <w:lang w:val="fr-CH"/>
        </w:rPr>
      </w:pPr>
      <w:r w:rsidRPr="00A52210">
        <w:rPr>
          <w:lang w:val="fr-CH"/>
        </w:rPr>
        <w:t>Table</w:t>
      </w:r>
      <w:r>
        <w:rPr>
          <w:lang w:val="fr-CH"/>
        </w:rPr>
        <w:t>au de corres</w:t>
      </w:r>
      <w:r w:rsidRPr="00A52210">
        <w:rPr>
          <w:lang w:val="fr-CH"/>
        </w:rPr>
        <w:t>pondance entre les numéros provisoires et les numéros définitifs des nouvelles Résolutions et Recommandations de la CMR-12</w:t>
      </w:r>
    </w:p>
    <w:tbl>
      <w:tblPr>
        <w:tblStyle w:val="TableGrid"/>
        <w:tblW w:w="0" w:type="auto"/>
        <w:jc w:val="center"/>
        <w:tblLook w:val="04A0" w:firstRow="1" w:lastRow="0" w:firstColumn="1" w:lastColumn="0" w:noHBand="0" w:noVBand="1"/>
      </w:tblPr>
      <w:tblGrid>
        <w:gridCol w:w="1134"/>
        <w:gridCol w:w="1767"/>
        <w:gridCol w:w="1781"/>
        <w:gridCol w:w="1134"/>
        <w:gridCol w:w="1686"/>
      </w:tblGrid>
      <w:tr w:rsidR="00A52210" w:rsidTr="00036146">
        <w:trPr>
          <w:jc w:val="center"/>
        </w:trPr>
        <w:tc>
          <w:tcPr>
            <w:tcW w:w="2901" w:type="dxa"/>
            <w:gridSpan w:val="2"/>
            <w:shd w:val="clear" w:color="auto" w:fill="D9D9D9" w:themeFill="background1" w:themeFillShade="D9"/>
          </w:tcPr>
          <w:p w:rsidR="00A52210" w:rsidRDefault="00A52210" w:rsidP="00A52210">
            <w:pPr>
              <w:pStyle w:val="Tablehead"/>
              <w:tabs>
                <w:tab w:val="left" w:pos="1588"/>
              </w:tabs>
            </w:pPr>
            <w:r>
              <w:t>Résolutions</w:t>
            </w:r>
          </w:p>
        </w:tc>
        <w:tc>
          <w:tcPr>
            <w:tcW w:w="1781" w:type="dxa"/>
            <w:tcBorders>
              <w:top w:val="nil"/>
              <w:bottom w:val="nil"/>
            </w:tcBorders>
            <w:vAlign w:val="center"/>
          </w:tcPr>
          <w:p w:rsidR="00A52210" w:rsidRDefault="00A52210" w:rsidP="00036146">
            <w:pPr>
              <w:spacing w:after="120"/>
              <w:jc w:val="center"/>
            </w:pPr>
          </w:p>
        </w:tc>
        <w:tc>
          <w:tcPr>
            <w:tcW w:w="2820" w:type="dxa"/>
            <w:gridSpan w:val="2"/>
            <w:shd w:val="clear" w:color="auto" w:fill="D9D9D9" w:themeFill="background1" w:themeFillShade="D9"/>
          </w:tcPr>
          <w:p w:rsidR="00A52210" w:rsidRDefault="00A52210" w:rsidP="00A52210">
            <w:pPr>
              <w:pStyle w:val="Tablehead"/>
              <w:tabs>
                <w:tab w:val="left" w:pos="1588"/>
              </w:tabs>
            </w:pPr>
            <w:r>
              <w:t>Recommandations</w:t>
            </w:r>
          </w:p>
        </w:tc>
      </w:tr>
      <w:tr w:rsidR="00A52210" w:rsidTr="00036146">
        <w:trPr>
          <w:jc w:val="center"/>
        </w:trPr>
        <w:tc>
          <w:tcPr>
            <w:tcW w:w="1134" w:type="dxa"/>
            <w:shd w:val="clear" w:color="auto" w:fill="D9D9D9" w:themeFill="background1" w:themeFillShade="D9"/>
          </w:tcPr>
          <w:p w:rsidR="00A52210" w:rsidRPr="00DB7697" w:rsidRDefault="00A52210" w:rsidP="00036146">
            <w:pPr>
              <w:pStyle w:val="Tablehead"/>
              <w:tabs>
                <w:tab w:val="left" w:pos="1588"/>
              </w:tabs>
            </w:pPr>
            <w:r>
              <w:t>Numéro définitif</w:t>
            </w:r>
          </w:p>
        </w:tc>
        <w:tc>
          <w:tcPr>
            <w:tcW w:w="1767" w:type="dxa"/>
            <w:shd w:val="clear" w:color="auto" w:fill="D9D9D9" w:themeFill="background1" w:themeFillShade="D9"/>
          </w:tcPr>
          <w:p w:rsidR="00A52210" w:rsidRPr="00DB7697" w:rsidRDefault="00A52210" w:rsidP="00A52210">
            <w:pPr>
              <w:pStyle w:val="Tablehead"/>
              <w:tabs>
                <w:tab w:val="left" w:pos="1588"/>
              </w:tabs>
            </w:pPr>
            <w:r>
              <w:t>Numéro provisoire</w:t>
            </w:r>
          </w:p>
        </w:tc>
        <w:tc>
          <w:tcPr>
            <w:tcW w:w="1781" w:type="dxa"/>
            <w:tcBorders>
              <w:top w:val="nil"/>
              <w:bottom w:val="nil"/>
            </w:tcBorders>
            <w:vAlign w:val="center"/>
          </w:tcPr>
          <w:p w:rsidR="00A52210" w:rsidRDefault="00A52210" w:rsidP="00036146">
            <w:pPr>
              <w:spacing w:after="120"/>
              <w:jc w:val="center"/>
            </w:pPr>
          </w:p>
        </w:tc>
        <w:tc>
          <w:tcPr>
            <w:tcW w:w="1134" w:type="dxa"/>
            <w:shd w:val="clear" w:color="auto" w:fill="D9D9D9" w:themeFill="background1" w:themeFillShade="D9"/>
          </w:tcPr>
          <w:p w:rsidR="00A52210" w:rsidRPr="00DB7697" w:rsidRDefault="00A52210" w:rsidP="00036146">
            <w:pPr>
              <w:pStyle w:val="Tablehead"/>
              <w:tabs>
                <w:tab w:val="left" w:pos="1588"/>
              </w:tabs>
            </w:pPr>
            <w:r>
              <w:t>Numéro définitif</w:t>
            </w:r>
          </w:p>
        </w:tc>
        <w:tc>
          <w:tcPr>
            <w:tcW w:w="1686" w:type="dxa"/>
            <w:shd w:val="clear" w:color="auto" w:fill="D9D9D9" w:themeFill="background1" w:themeFillShade="D9"/>
          </w:tcPr>
          <w:p w:rsidR="00A52210" w:rsidRPr="00DB7697" w:rsidRDefault="00A52210" w:rsidP="00036146">
            <w:pPr>
              <w:pStyle w:val="Tablehead"/>
              <w:tabs>
                <w:tab w:val="left" w:pos="1588"/>
              </w:tabs>
            </w:pPr>
            <w:r>
              <w:t>Numéro provisoire</w:t>
            </w:r>
          </w:p>
        </w:tc>
      </w:tr>
      <w:tr w:rsidR="00A52210" w:rsidRPr="00417209" w:rsidTr="00036146">
        <w:trPr>
          <w:jc w:val="center"/>
        </w:trPr>
        <w:tc>
          <w:tcPr>
            <w:tcW w:w="1134" w:type="dxa"/>
            <w:vAlign w:val="center"/>
          </w:tcPr>
          <w:p w:rsidR="00A52210" w:rsidRPr="00417209" w:rsidRDefault="00A52210" w:rsidP="00036146">
            <w:pPr>
              <w:spacing w:before="0"/>
              <w:jc w:val="center"/>
              <w:rPr>
                <w:szCs w:val="22"/>
              </w:rPr>
            </w:pPr>
            <w:r w:rsidRPr="00417209">
              <w:rPr>
                <w:szCs w:val="22"/>
              </w:rPr>
              <w:t>11</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COM5/11</w:t>
            </w:r>
          </w:p>
        </w:tc>
        <w:tc>
          <w:tcPr>
            <w:tcW w:w="1781" w:type="dxa"/>
            <w:tcBorders>
              <w:top w:val="nil"/>
              <w:bottom w:val="nil"/>
            </w:tcBorders>
            <w:vAlign w:val="center"/>
          </w:tcPr>
          <w:p w:rsidR="00A52210" w:rsidRPr="00417209" w:rsidRDefault="00A52210" w:rsidP="00036146">
            <w:pPr>
              <w:spacing w:before="0"/>
              <w:jc w:val="center"/>
              <w:rPr>
                <w:szCs w:val="22"/>
              </w:rPr>
            </w:pPr>
          </w:p>
        </w:tc>
        <w:tc>
          <w:tcPr>
            <w:tcW w:w="1134" w:type="dxa"/>
            <w:vAlign w:val="center"/>
          </w:tcPr>
          <w:p w:rsidR="00A52210" w:rsidRPr="00417209" w:rsidRDefault="00A52210" w:rsidP="00036146">
            <w:pPr>
              <w:spacing w:before="0"/>
              <w:jc w:val="center"/>
              <w:rPr>
                <w:szCs w:val="22"/>
              </w:rPr>
            </w:pPr>
            <w:r w:rsidRPr="00417209">
              <w:rPr>
                <w:szCs w:val="22"/>
              </w:rPr>
              <w:t>16</w:t>
            </w:r>
          </w:p>
        </w:tc>
        <w:tc>
          <w:tcPr>
            <w:tcW w:w="1686" w:type="dxa"/>
            <w:vAlign w:val="center"/>
          </w:tcPr>
          <w:p w:rsidR="00A52210" w:rsidRPr="00417209" w:rsidRDefault="00A52210" w:rsidP="00036146">
            <w:pPr>
              <w:spacing w:before="0"/>
              <w:jc w:val="center"/>
              <w:rPr>
                <w:szCs w:val="22"/>
              </w:rPr>
            </w:pPr>
            <w:r w:rsidRPr="00417209">
              <w:rPr>
                <w:szCs w:val="22"/>
              </w:rPr>
              <w:t>COM6/2</w:t>
            </w:r>
          </w:p>
        </w:tc>
      </w:tr>
      <w:tr w:rsidR="00A52210" w:rsidRPr="00417209" w:rsidTr="00036146">
        <w:trPr>
          <w:jc w:val="center"/>
        </w:trPr>
        <w:tc>
          <w:tcPr>
            <w:tcW w:w="1134" w:type="dxa"/>
            <w:vAlign w:val="center"/>
          </w:tcPr>
          <w:p w:rsidR="00A52210" w:rsidRPr="00417209" w:rsidRDefault="00A52210" w:rsidP="00036146">
            <w:pPr>
              <w:spacing w:before="0"/>
              <w:jc w:val="center"/>
              <w:rPr>
                <w:szCs w:val="22"/>
              </w:rPr>
            </w:pPr>
            <w:r w:rsidRPr="00417209">
              <w:rPr>
                <w:szCs w:val="22"/>
              </w:rPr>
              <w:t>12</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PLEN/2</w:t>
            </w:r>
          </w:p>
        </w:tc>
        <w:tc>
          <w:tcPr>
            <w:tcW w:w="1781" w:type="dxa"/>
            <w:tcBorders>
              <w:top w:val="nil"/>
              <w:bottom w:val="nil"/>
            </w:tcBorders>
            <w:vAlign w:val="center"/>
          </w:tcPr>
          <w:p w:rsidR="00A52210" w:rsidRPr="00417209" w:rsidRDefault="00A52210" w:rsidP="00036146">
            <w:pPr>
              <w:spacing w:before="0"/>
              <w:jc w:val="center"/>
              <w:rPr>
                <w:szCs w:val="22"/>
              </w:rPr>
            </w:pPr>
          </w:p>
        </w:tc>
        <w:tc>
          <w:tcPr>
            <w:tcW w:w="1134" w:type="dxa"/>
            <w:vAlign w:val="center"/>
          </w:tcPr>
          <w:p w:rsidR="00A52210" w:rsidRPr="00417209" w:rsidRDefault="00A52210" w:rsidP="00036146">
            <w:pPr>
              <w:spacing w:before="0"/>
              <w:jc w:val="center"/>
              <w:rPr>
                <w:szCs w:val="22"/>
              </w:rPr>
            </w:pPr>
            <w:r w:rsidRPr="00417209">
              <w:rPr>
                <w:szCs w:val="22"/>
              </w:rPr>
              <w:t>76</w:t>
            </w:r>
          </w:p>
        </w:tc>
        <w:tc>
          <w:tcPr>
            <w:tcW w:w="1686" w:type="dxa"/>
            <w:vAlign w:val="center"/>
          </w:tcPr>
          <w:p w:rsidR="00A52210" w:rsidRPr="00417209" w:rsidRDefault="00A52210" w:rsidP="00036146">
            <w:pPr>
              <w:spacing w:before="0"/>
              <w:jc w:val="center"/>
              <w:rPr>
                <w:szCs w:val="22"/>
              </w:rPr>
            </w:pPr>
            <w:r w:rsidRPr="00417209">
              <w:rPr>
                <w:szCs w:val="22"/>
              </w:rPr>
              <w:t>COM6/1</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67</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COM6/2</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98</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150</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COM5/3</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151</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COM6/4</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152</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COM6/5</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153</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COM6/13</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154</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COM6/24</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232</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COM5/10</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233</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COM6/8</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234</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COM6/16</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358</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COM6/3</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359</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COM6/9</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360</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COM6/21</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422</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COM4/1</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423</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COM6/22</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552</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COM5/6</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553</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COM5/7</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554</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COM5/8</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555</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COM5/9</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648</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COM6/11</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649</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COM6/12</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650</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COM6/17</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651</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COM6/18</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652</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COM6/19</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653</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COM6/20</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654</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COM6/23</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755</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COM5/4</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756</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COM5/5</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757</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COM6/10</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758</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COM6/15</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807</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COM6/6</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808</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COM6/7</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907</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COM5/1</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908</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COM5/2</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909</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COM6/14</w:t>
            </w:r>
          </w:p>
        </w:tc>
      </w:tr>
      <w:tr w:rsidR="00A52210" w:rsidRPr="00417209" w:rsidTr="00036146">
        <w:trPr>
          <w:gridAfter w:val="3"/>
          <w:wAfter w:w="4601" w:type="dxa"/>
          <w:jc w:val="center"/>
        </w:trPr>
        <w:tc>
          <w:tcPr>
            <w:tcW w:w="1134" w:type="dxa"/>
            <w:vAlign w:val="center"/>
          </w:tcPr>
          <w:p w:rsidR="00A52210" w:rsidRPr="00417209" w:rsidRDefault="00A52210" w:rsidP="00036146">
            <w:pPr>
              <w:spacing w:before="0"/>
              <w:jc w:val="center"/>
              <w:rPr>
                <w:szCs w:val="22"/>
              </w:rPr>
            </w:pPr>
            <w:r w:rsidRPr="00417209">
              <w:rPr>
                <w:szCs w:val="22"/>
              </w:rPr>
              <w:t>957</w:t>
            </w:r>
          </w:p>
        </w:tc>
        <w:tc>
          <w:tcPr>
            <w:tcW w:w="1767" w:type="dxa"/>
            <w:vAlign w:val="center"/>
          </w:tcPr>
          <w:p w:rsidR="00A52210" w:rsidRPr="00417209" w:rsidRDefault="00A52210" w:rsidP="00036146">
            <w:pPr>
              <w:tabs>
                <w:tab w:val="left" w:pos="242"/>
              </w:tabs>
              <w:spacing w:before="0"/>
              <w:rPr>
                <w:szCs w:val="22"/>
              </w:rPr>
            </w:pPr>
            <w:r>
              <w:rPr>
                <w:szCs w:val="22"/>
              </w:rPr>
              <w:tab/>
            </w:r>
            <w:r w:rsidRPr="00417209">
              <w:rPr>
                <w:szCs w:val="22"/>
              </w:rPr>
              <w:t>PLEN/1</w:t>
            </w:r>
          </w:p>
        </w:tc>
      </w:tr>
    </w:tbl>
    <w:p w:rsidR="00A52210" w:rsidRDefault="00A52210" w:rsidP="00A52210"/>
    <w:p w:rsidR="00A52210" w:rsidRDefault="008B1FC6" w:rsidP="00A52210">
      <w:pPr>
        <w:pStyle w:val="AnnexNotitle"/>
        <w:spacing w:after="80"/>
      </w:pPr>
      <w:r>
        <w:rPr>
          <w:b w:val="0"/>
          <w:bCs/>
        </w:rPr>
        <w:t>A</w:t>
      </w:r>
      <w:r w:rsidR="00A52210">
        <w:rPr>
          <w:b w:val="0"/>
          <w:bCs/>
        </w:rPr>
        <w:t>NNEX</w:t>
      </w:r>
      <w:r>
        <w:rPr>
          <w:b w:val="0"/>
          <w:bCs/>
        </w:rPr>
        <w:t>E</w:t>
      </w:r>
      <w:r w:rsidR="00A52210">
        <w:rPr>
          <w:b w:val="0"/>
          <w:bCs/>
        </w:rPr>
        <w:t xml:space="preserve"> 2</w:t>
      </w:r>
    </w:p>
    <w:p w:rsidR="00A52210" w:rsidRPr="008B1FC6" w:rsidRDefault="008B1FC6" w:rsidP="003D2191">
      <w:pPr>
        <w:pStyle w:val="AnnexNotitle"/>
        <w:spacing w:before="240"/>
        <w:rPr>
          <w:szCs w:val="28"/>
          <w:lang w:val="fr-CH"/>
        </w:rPr>
      </w:pPr>
      <w:r w:rsidRPr="00A52210">
        <w:rPr>
          <w:lang w:val="fr-CH"/>
        </w:rPr>
        <w:t>Table</w:t>
      </w:r>
      <w:r>
        <w:rPr>
          <w:lang w:val="fr-CH"/>
        </w:rPr>
        <w:t>au de corres</w:t>
      </w:r>
      <w:r w:rsidRPr="00A52210">
        <w:rPr>
          <w:lang w:val="fr-CH"/>
        </w:rPr>
        <w:t>pondance entre les numéros provisoires et les numéros définitifs des</w:t>
      </w:r>
      <w:r>
        <w:rPr>
          <w:lang w:val="fr-CH"/>
        </w:rPr>
        <w:t xml:space="preserve"> </w:t>
      </w:r>
      <w:r w:rsidR="003D2191">
        <w:rPr>
          <w:lang w:val="fr-CH"/>
        </w:rPr>
        <w:t xml:space="preserve">nouveaux </w:t>
      </w:r>
      <w:r>
        <w:rPr>
          <w:lang w:val="fr-CH"/>
        </w:rPr>
        <w:t>renvois de l'</w:t>
      </w:r>
      <w:r w:rsidR="00A52210" w:rsidRPr="008B1FC6">
        <w:rPr>
          <w:lang w:val="fr-CH"/>
        </w:rPr>
        <w:t xml:space="preserve">Article 5 </w:t>
      </w:r>
      <w:r>
        <w:rPr>
          <w:lang w:val="fr-CH"/>
        </w:rPr>
        <w:t xml:space="preserve">adoptés par la </w:t>
      </w:r>
      <w:r w:rsidR="003D2191">
        <w:rPr>
          <w:bCs/>
          <w:iCs/>
          <w:szCs w:val="28"/>
        </w:rPr>
        <w:t>CMR</w:t>
      </w:r>
      <w:r w:rsidR="00A52210" w:rsidRPr="008B1FC6">
        <w:rPr>
          <w:lang w:val="fr-CH"/>
        </w:rPr>
        <w:t>-12</w:t>
      </w:r>
      <w:r w:rsidR="00A52210" w:rsidRPr="008B1FC6">
        <w:rPr>
          <w:lang w:val="fr-CH"/>
        </w:rPr>
        <w:br/>
      </w:r>
    </w:p>
    <w:tbl>
      <w:tblPr>
        <w:tblW w:w="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552"/>
      </w:tblGrid>
      <w:tr w:rsidR="00A52210" w:rsidRPr="00AA4B91" w:rsidTr="00036146">
        <w:trPr>
          <w:jc w:val="center"/>
        </w:trPr>
        <w:tc>
          <w:tcPr>
            <w:tcW w:w="2552" w:type="dxa"/>
            <w:shd w:val="clear" w:color="auto" w:fill="D9D9D9" w:themeFill="background1" w:themeFillShade="D9"/>
          </w:tcPr>
          <w:p w:rsidR="00A52210" w:rsidRDefault="008B1FC6" w:rsidP="00036146">
            <w:pPr>
              <w:pStyle w:val="Tablehead"/>
              <w:tabs>
                <w:tab w:val="left" w:pos="1588"/>
              </w:tabs>
            </w:pPr>
            <w:r>
              <w:t>Numéro définitif</w:t>
            </w:r>
          </w:p>
        </w:tc>
        <w:tc>
          <w:tcPr>
            <w:tcW w:w="2552" w:type="dxa"/>
            <w:shd w:val="clear" w:color="auto" w:fill="D9D9D9" w:themeFill="background1" w:themeFillShade="D9"/>
          </w:tcPr>
          <w:p w:rsidR="00A52210" w:rsidRDefault="008B1FC6" w:rsidP="00036146">
            <w:pPr>
              <w:pStyle w:val="Tablehead"/>
              <w:tabs>
                <w:tab w:val="left" w:pos="1588"/>
              </w:tabs>
            </w:pPr>
            <w:r>
              <w:t>Numéro provisoire</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5.54A</w:t>
            </w:r>
          </w:p>
        </w:tc>
        <w:tc>
          <w:tcPr>
            <w:tcW w:w="2552" w:type="dxa"/>
          </w:tcPr>
          <w:p w:rsidR="00A52210" w:rsidRPr="006B01EE" w:rsidRDefault="00A52210" w:rsidP="00036146">
            <w:pPr>
              <w:spacing w:before="20" w:after="20"/>
              <w:jc w:val="center"/>
              <w:rPr>
                <w:szCs w:val="22"/>
              </w:rPr>
            </w:pPr>
            <w:r w:rsidRPr="006B01EE">
              <w:rPr>
                <w:sz w:val="22"/>
                <w:szCs w:val="22"/>
              </w:rPr>
              <w:t>5.A116</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5.54B</w:t>
            </w:r>
          </w:p>
        </w:tc>
        <w:tc>
          <w:tcPr>
            <w:tcW w:w="2552" w:type="dxa"/>
          </w:tcPr>
          <w:p w:rsidR="00A52210" w:rsidRPr="006B01EE" w:rsidRDefault="00A52210" w:rsidP="00036146">
            <w:pPr>
              <w:spacing w:before="20" w:after="20"/>
              <w:jc w:val="center"/>
              <w:rPr>
                <w:szCs w:val="22"/>
              </w:rPr>
            </w:pPr>
            <w:r w:rsidRPr="006B01EE">
              <w:rPr>
                <w:sz w:val="22"/>
                <w:szCs w:val="22"/>
              </w:rPr>
              <w:t>5.B116</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5.54C</w:t>
            </w:r>
          </w:p>
        </w:tc>
        <w:tc>
          <w:tcPr>
            <w:tcW w:w="2552" w:type="dxa"/>
          </w:tcPr>
          <w:p w:rsidR="00A52210" w:rsidRPr="006B01EE" w:rsidRDefault="00A52210" w:rsidP="00036146">
            <w:pPr>
              <w:spacing w:before="20" w:after="20"/>
              <w:jc w:val="center"/>
              <w:rPr>
                <w:szCs w:val="22"/>
              </w:rPr>
            </w:pPr>
            <w:r w:rsidRPr="006B01EE">
              <w:rPr>
                <w:sz w:val="22"/>
                <w:szCs w:val="22"/>
              </w:rPr>
              <w:t>5.C116</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5.80A</w:t>
            </w:r>
          </w:p>
        </w:tc>
        <w:tc>
          <w:tcPr>
            <w:tcW w:w="2552" w:type="dxa"/>
          </w:tcPr>
          <w:p w:rsidR="00A52210" w:rsidRPr="006B01EE" w:rsidRDefault="00A52210" w:rsidP="00036146">
            <w:pPr>
              <w:spacing w:before="20" w:after="20"/>
              <w:jc w:val="center"/>
              <w:rPr>
                <w:szCs w:val="22"/>
              </w:rPr>
            </w:pPr>
            <w:r w:rsidRPr="006B01EE">
              <w:rPr>
                <w:sz w:val="22"/>
                <w:szCs w:val="22"/>
              </w:rPr>
              <w:t>5.A123</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5.80B</w:t>
            </w:r>
          </w:p>
        </w:tc>
        <w:tc>
          <w:tcPr>
            <w:tcW w:w="2552" w:type="dxa"/>
          </w:tcPr>
          <w:p w:rsidR="00A52210" w:rsidRPr="006B01EE" w:rsidRDefault="00A52210" w:rsidP="00036146">
            <w:pPr>
              <w:spacing w:before="20" w:after="20"/>
              <w:jc w:val="center"/>
              <w:rPr>
                <w:szCs w:val="22"/>
              </w:rPr>
            </w:pPr>
            <w:r w:rsidRPr="006B01EE">
              <w:rPr>
                <w:sz w:val="22"/>
                <w:szCs w:val="22"/>
              </w:rPr>
              <w:t>5.B123</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5.132A</w:t>
            </w:r>
          </w:p>
        </w:tc>
        <w:tc>
          <w:tcPr>
            <w:tcW w:w="2552" w:type="dxa"/>
          </w:tcPr>
          <w:p w:rsidR="00A52210" w:rsidRPr="006B01EE" w:rsidRDefault="00A52210" w:rsidP="00036146">
            <w:pPr>
              <w:spacing w:before="20" w:after="20"/>
              <w:jc w:val="center"/>
              <w:rPr>
                <w:szCs w:val="22"/>
              </w:rPr>
            </w:pPr>
            <w:r w:rsidRPr="006B01EE">
              <w:rPr>
                <w:sz w:val="22"/>
                <w:szCs w:val="22"/>
              </w:rPr>
              <w:t>5.</w:t>
            </w:r>
            <w:bookmarkStart w:id="5" w:name="OLE_LINK1"/>
            <w:bookmarkStart w:id="6" w:name="OLE_LINK2"/>
            <w:r w:rsidRPr="006B01EE">
              <w:rPr>
                <w:sz w:val="22"/>
                <w:szCs w:val="22"/>
              </w:rPr>
              <w:t>A115</w:t>
            </w:r>
            <w:bookmarkEnd w:id="5"/>
            <w:bookmarkEnd w:id="6"/>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5.132B</w:t>
            </w:r>
          </w:p>
        </w:tc>
        <w:tc>
          <w:tcPr>
            <w:tcW w:w="2552" w:type="dxa"/>
          </w:tcPr>
          <w:p w:rsidR="00A52210" w:rsidRPr="006B01EE" w:rsidRDefault="00A52210" w:rsidP="00036146">
            <w:pPr>
              <w:spacing w:before="20" w:after="20"/>
              <w:jc w:val="center"/>
              <w:rPr>
                <w:szCs w:val="22"/>
              </w:rPr>
            </w:pPr>
            <w:r w:rsidRPr="006B01EE">
              <w:rPr>
                <w:sz w:val="22"/>
                <w:szCs w:val="22"/>
              </w:rPr>
              <w:t>5.B115</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5.133A</w:t>
            </w:r>
          </w:p>
        </w:tc>
        <w:tc>
          <w:tcPr>
            <w:tcW w:w="2552" w:type="dxa"/>
          </w:tcPr>
          <w:p w:rsidR="00A52210" w:rsidRPr="006B01EE" w:rsidRDefault="00A52210" w:rsidP="00036146">
            <w:pPr>
              <w:spacing w:before="20" w:after="20"/>
              <w:jc w:val="center"/>
              <w:rPr>
                <w:szCs w:val="22"/>
              </w:rPr>
            </w:pPr>
            <w:r w:rsidRPr="006B01EE">
              <w:rPr>
                <w:sz w:val="22"/>
                <w:szCs w:val="22"/>
              </w:rPr>
              <w:t>5.C115</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5.145B</w:t>
            </w:r>
          </w:p>
        </w:tc>
        <w:tc>
          <w:tcPr>
            <w:tcW w:w="2552" w:type="dxa"/>
          </w:tcPr>
          <w:p w:rsidR="00A52210" w:rsidRPr="006B01EE" w:rsidRDefault="00A52210" w:rsidP="00036146">
            <w:pPr>
              <w:spacing w:before="20" w:after="20"/>
              <w:jc w:val="center"/>
              <w:rPr>
                <w:szCs w:val="22"/>
              </w:rPr>
            </w:pPr>
            <w:r w:rsidRPr="006B01EE">
              <w:rPr>
                <w:sz w:val="22"/>
                <w:szCs w:val="22"/>
              </w:rPr>
              <w:t>5.D115</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5.145A</w:t>
            </w:r>
          </w:p>
        </w:tc>
        <w:tc>
          <w:tcPr>
            <w:tcW w:w="2552" w:type="dxa"/>
          </w:tcPr>
          <w:p w:rsidR="00A52210" w:rsidRPr="006B01EE" w:rsidRDefault="00A52210" w:rsidP="00036146">
            <w:pPr>
              <w:spacing w:before="20" w:after="20"/>
              <w:jc w:val="center"/>
              <w:rPr>
                <w:szCs w:val="22"/>
              </w:rPr>
            </w:pPr>
            <w:r w:rsidRPr="006B01EE">
              <w:rPr>
                <w:sz w:val="22"/>
                <w:szCs w:val="22"/>
              </w:rPr>
              <w:t>5.F115</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5.149A</w:t>
            </w:r>
          </w:p>
        </w:tc>
        <w:tc>
          <w:tcPr>
            <w:tcW w:w="2552" w:type="dxa"/>
          </w:tcPr>
          <w:p w:rsidR="00A52210" w:rsidRPr="006B01EE" w:rsidRDefault="00A52210" w:rsidP="00036146">
            <w:pPr>
              <w:spacing w:before="20" w:after="20"/>
              <w:jc w:val="center"/>
              <w:rPr>
                <w:szCs w:val="22"/>
              </w:rPr>
            </w:pPr>
            <w:r w:rsidRPr="006B01EE">
              <w:rPr>
                <w:sz w:val="22"/>
                <w:szCs w:val="22"/>
              </w:rPr>
              <w:t>5.E115</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5.158</w:t>
            </w:r>
          </w:p>
        </w:tc>
        <w:tc>
          <w:tcPr>
            <w:tcW w:w="2552" w:type="dxa"/>
          </w:tcPr>
          <w:p w:rsidR="00A52210" w:rsidRPr="006B01EE" w:rsidRDefault="00A52210" w:rsidP="00036146">
            <w:pPr>
              <w:spacing w:before="20" w:after="20"/>
              <w:jc w:val="center"/>
              <w:rPr>
                <w:szCs w:val="22"/>
              </w:rPr>
            </w:pPr>
            <w:r w:rsidRPr="006B01EE">
              <w:rPr>
                <w:sz w:val="22"/>
                <w:szCs w:val="22"/>
              </w:rPr>
              <w:t>5.G115</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5.159</w:t>
            </w:r>
          </w:p>
        </w:tc>
        <w:tc>
          <w:tcPr>
            <w:tcW w:w="2552" w:type="dxa"/>
          </w:tcPr>
          <w:p w:rsidR="00A52210" w:rsidRPr="006B01EE" w:rsidRDefault="00A52210" w:rsidP="00036146">
            <w:pPr>
              <w:spacing w:before="20" w:after="20"/>
              <w:jc w:val="center"/>
              <w:rPr>
                <w:szCs w:val="22"/>
              </w:rPr>
            </w:pPr>
            <w:r w:rsidRPr="006B01EE">
              <w:rPr>
                <w:sz w:val="22"/>
                <w:szCs w:val="22"/>
              </w:rPr>
              <w:t>5.H115</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5.161A</w:t>
            </w:r>
          </w:p>
        </w:tc>
        <w:tc>
          <w:tcPr>
            <w:tcW w:w="2552" w:type="dxa"/>
          </w:tcPr>
          <w:p w:rsidR="00A52210" w:rsidRPr="006B01EE" w:rsidRDefault="00A52210" w:rsidP="00036146">
            <w:pPr>
              <w:spacing w:before="20" w:after="20"/>
              <w:jc w:val="center"/>
              <w:rPr>
                <w:szCs w:val="22"/>
              </w:rPr>
            </w:pPr>
            <w:r w:rsidRPr="006B01EE">
              <w:rPr>
                <w:sz w:val="22"/>
                <w:szCs w:val="22"/>
              </w:rPr>
              <w:t>5.I115</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5.161B</w:t>
            </w:r>
          </w:p>
        </w:tc>
        <w:tc>
          <w:tcPr>
            <w:tcW w:w="2552" w:type="dxa"/>
          </w:tcPr>
          <w:p w:rsidR="00A52210" w:rsidRPr="006B01EE" w:rsidRDefault="00A52210" w:rsidP="00036146">
            <w:pPr>
              <w:spacing w:before="20" w:after="20"/>
              <w:jc w:val="center"/>
              <w:rPr>
                <w:szCs w:val="22"/>
              </w:rPr>
            </w:pPr>
            <w:r w:rsidRPr="006B01EE">
              <w:rPr>
                <w:sz w:val="22"/>
                <w:szCs w:val="22"/>
              </w:rPr>
              <w:t>5.J115</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5.225A</w:t>
            </w:r>
          </w:p>
        </w:tc>
        <w:tc>
          <w:tcPr>
            <w:tcW w:w="2552" w:type="dxa"/>
          </w:tcPr>
          <w:p w:rsidR="00A52210" w:rsidRPr="006B01EE" w:rsidRDefault="00A52210" w:rsidP="00036146">
            <w:pPr>
              <w:spacing w:before="20" w:after="20"/>
              <w:jc w:val="center"/>
              <w:rPr>
                <w:szCs w:val="22"/>
              </w:rPr>
            </w:pPr>
            <w:r w:rsidRPr="006B01EE">
              <w:rPr>
                <w:sz w:val="22"/>
                <w:szCs w:val="22"/>
              </w:rPr>
              <w:t>5.A114</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rFonts w:asciiTheme="majorBidi" w:hAnsiTheme="majorBidi" w:cstheme="majorBidi"/>
                <w:sz w:val="22"/>
                <w:szCs w:val="22"/>
              </w:rPr>
              <w:t>5.228</w:t>
            </w:r>
          </w:p>
        </w:tc>
        <w:tc>
          <w:tcPr>
            <w:tcW w:w="2552" w:type="dxa"/>
          </w:tcPr>
          <w:p w:rsidR="00A52210" w:rsidRPr="006B01EE" w:rsidRDefault="00A52210" w:rsidP="00036146">
            <w:pPr>
              <w:spacing w:before="20" w:after="20"/>
              <w:jc w:val="center"/>
              <w:rPr>
                <w:szCs w:val="22"/>
              </w:rPr>
            </w:pPr>
            <w:r w:rsidRPr="006B01EE">
              <w:rPr>
                <w:sz w:val="22"/>
                <w:szCs w:val="22"/>
              </w:rPr>
              <w:t>5.G110</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5.228A</w:t>
            </w:r>
          </w:p>
        </w:tc>
        <w:tc>
          <w:tcPr>
            <w:tcW w:w="2552" w:type="dxa"/>
          </w:tcPr>
          <w:p w:rsidR="00A52210" w:rsidRPr="006B01EE" w:rsidRDefault="00A52210" w:rsidP="00036146">
            <w:pPr>
              <w:spacing w:before="20" w:after="20"/>
              <w:jc w:val="center"/>
              <w:rPr>
                <w:szCs w:val="22"/>
              </w:rPr>
            </w:pPr>
            <w:r w:rsidRPr="006B01EE">
              <w:rPr>
                <w:sz w:val="22"/>
                <w:szCs w:val="22"/>
              </w:rPr>
              <w:t>5.A110</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5.228B</w:t>
            </w:r>
          </w:p>
        </w:tc>
        <w:tc>
          <w:tcPr>
            <w:tcW w:w="2552" w:type="dxa"/>
          </w:tcPr>
          <w:p w:rsidR="00A52210" w:rsidRPr="006B01EE" w:rsidRDefault="00A52210" w:rsidP="00036146">
            <w:pPr>
              <w:spacing w:before="20" w:after="20"/>
              <w:jc w:val="center"/>
              <w:rPr>
                <w:szCs w:val="22"/>
              </w:rPr>
            </w:pPr>
            <w:r w:rsidRPr="006B01EE">
              <w:rPr>
                <w:sz w:val="22"/>
                <w:szCs w:val="22"/>
              </w:rPr>
              <w:t>5.B110</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5.228C</w:t>
            </w:r>
          </w:p>
        </w:tc>
        <w:tc>
          <w:tcPr>
            <w:tcW w:w="2552" w:type="dxa"/>
          </w:tcPr>
          <w:p w:rsidR="00A52210" w:rsidRPr="006B01EE" w:rsidRDefault="00A52210" w:rsidP="00036146">
            <w:pPr>
              <w:spacing w:before="20" w:after="20"/>
              <w:jc w:val="center"/>
              <w:rPr>
                <w:szCs w:val="22"/>
              </w:rPr>
            </w:pPr>
            <w:r w:rsidRPr="006B01EE">
              <w:rPr>
                <w:sz w:val="22"/>
                <w:szCs w:val="22"/>
              </w:rPr>
              <w:t>5.C110</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5.228D</w:t>
            </w:r>
          </w:p>
        </w:tc>
        <w:tc>
          <w:tcPr>
            <w:tcW w:w="2552" w:type="dxa"/>
          </w:tcPr>
          <w:p w:rsidR="00A52210" w:rsidRPr="006B01EE" w:rsidRDefault="00A52210" w:rsidP="00036146">
            <w:pPr>
              <w:spacing w:before="20" w:after="20"/>
              <w:jc w:val="center"/>
              <w:rPr>
                <w:szCs w:val="22"/>
              </w:rPr>
            </w:pPr>
            <w:r w:rsidRPr="006B01EE">
              <w:rPr>
                <w:sz w:val="22"/>
                <w:szCs w:val="22"/>
              </w:rPr>
              <w:t>5.D110</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5.228E</w:t>
            </w:r>
          </w:p>
        </w:tc>
        <w:tc>
          <w:tcPr>
            <w:tcW w:w="2552" w:type="dxa"/>
          </w:tcPr>
          <w:p w:rsidR="00A52210" w:rsidRPr="006B01EE" w:rsidRDefault="00A52210" w:rsidP="00036146">
            <w:pPr>
              <w:spacing w:before="20" w:after="20"/>
              <w:jc w:val="center"/>
              <w:rPr>
                <w:szCs w:val="22"/>
              </w:rPr>
            </w:pPr>
            <w:r w:rsidRPr="006B01EE">
              <w:rPr>
                <w:sz w:val="22"/>
                <w:szCs w:val="22"/>
              </w:rPr>
              <w:t>5.E110</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rFonts w:asciiTheme="majorBidi" w:hAnsiTheme="majorBidi" w:cstheme="majorBidi"/>
                <w:sz w:val="22"/>
                <w:szCs w:val="22"/>
              </w:rPr>
              <w:t>5.228F</w:t>
            </w:r>
          </w:p>
        </w:tc>
        <w:tc>
          <w:tcPr>
            <w:tcW w:w="2552" w:type="dxa"/>
          </w:tcPr>
          <w:p w:rsidR="00A52210" w:rsidRPr="006B01EE" w:rsidRDefault="00A52210" w:rsidP="00036146">
            <w:pPr>
              <w:spacing w:before="20" w:after="20"/>
              <w:jc w:val="center"/>
              <w:rPr>
                <w:szCs w:val="22"/>
              </w:rPr>
            </w:pPr>
            <w:r w:rsidRPr="006B01EE">
              <w:rPr>
                <w:sz w:val="22"/>
                <w:szCs w:val="22"/>
              </w:rPr>
              <w:t>5.F110</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5.312A</w:t>
            </w:r>
          </w:p>
        </w:tc>
        <w:tc>
          <w:tcPr>
            <w:tcW w:w="2552" w:type="dxa"/>
          </w:tcPr>
          <w:p w:rsidR="00A52210" w:rsidRPr="006B01EE" w:rsidRDefault="00A52210" w:rsidP="00036146">
            <w:pPr>
              <w:spacing w:before="20" w:after="20"/>
              <w:jc w:val="center"/>
              <w:rPr>
                <w:szCs w:val="22"/>
              </w:rPr>
            </w:pPr>
            <w:r w:rsidRPr="006B01EE">
              <w:rPr>
                <w:sz w:val="22"/>
                <w:szCs w:val="22"/>
              </w:rPr>
              <w:t>5.3XX</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5.398A</w:t>
            </w:r>
          </w:p>
        </w:tc>
        <w:tc>
          <w:tcPr>
            <w:tcW w:w="2552" w:type="dxa"/>
          </w:tcPr>
          <w:p w:rsidR="00A52210" w:rsidRPr="006B01EE" w:rsidRDefault="00A52210" w:rsidP="00036146">
            <w:pPr>
              <w:spacing w:before="20" w:after="20"/>
              <w:jc w:val="center"/>
              <w:rPr>
                <w:szCs w:val="22"/>
              </w:rPr>
            </w:pPr>
            <w:r w:rsidRPr="006B01EE">
              <w:rPr>
                <w:sz w:val="22"/>
                <w:szCs w:val="22"/>
              </w:rPr>
              <w:t>5.A118</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5.401</w:t>
            </w:r>
          </w:p>
        </w:tc>
        <w:tc>
          <w:tcPr>
            <w:tcW w:w="2552" w:type="dxa"/>
          </w:tcPr>
          <w:p w:rsidR="00A52210" w:rsidRPr="006B01EE" w:rsidRDefault="00A52210" w:rsidP="00036146">
            <w:pPr>
              <w:spacing w:before="20" w:after="20"/>
              <w:jc w:val="center"/>
              <w:rPr>
                <w:szCs w:val="22"/>
              </w:rPr>
            </w:pPr>
            <w:r w:rsidRPr="006B01EE">
              <w:rPr>
                <w:sz w:val="22"/>
                <w:szCs w:val="22"/>
              </w:rPr>
              <w:t>5.B118</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5.443AA</w:t>
            </w:r>
          </w:p>
        </w:tc>
        <w:tc>
          <w:tcPr>
            <w:tcW w:w="2552" w:type="dxa"/>
          </w:tcPr>
          <w:p w:rsidR="00A52210" w:rsidRPr="006B01EE" w:rsidRDefault="00A52210" w:rsidP="00036146">
            <w:pPr>
              <w:spacing w:before="20" w:after="20"/>
              <w:jc w:val="center"/>
              <w:rPr>
                <w:szCs w:val="22"/>
              </w:rPr>
            </w:pPr>
            <w:r w:rsidRPr="006B01EE">
              <w:rPr>
                <w:sz w:val="22"/>
                <w:szCs w:val="22"/>
              </w:rPr>
              <w:t>5.B103</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5.443C</w:t>
            </w:r>
          </w:p>
        </w:tc>
        <w:tc>
          <w:tcPr>
            <w:tcW w:w="2552" w:type="dxa"/>
          </w:tcPr>
          <w:p w:rsidR="00A52210" w:rsidRPr="006B01EE" w:rsidRDefault="00A52210" w:rsidP="00036146">
            <w:pPr>
              <w:spacing w:before="20" w:after="20"/>
              <w:jc w:val="center"/>
              <w:rPr>
                <w:szCs w:val="22"/>
              </w:rPr>
            </w:pPr>
            <w:r w:rsidRPr="006B01EE">
              <w:rPr>
                <w:sz w:val="22"/>
                <w:szCs w:val="22"/>
              </w:rPr>
              <w:t>5.C103</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5.443D</w:t>
            </w:r>
          </w:p>
        </w:tc>
        <w:tc>
          <w:tcPr>
            <w:tcW w:w="2552" w:type="dxa"/>
          </w:tcPr>
          <w:p w:rsidR="00A52210" w:rsidRPr="006B01EE" w:rsidRDefault="00A52210" w:rsidP="00036146">
            <w:pPr>
              <w:spacing w:before="20" w:after="20"/>
              <w:jc w:val="center"/>
              <w:rPr>
                <w:szCs w:val="22"/>
              </w:rPr>
            </w:pPr>
            <w:r w:rsidRPr="006B01EE">
              <w:rPr>
                <w:sz w:val="22"/>
                <w:szCs w:val="22"/>
              </w:rPr>
              <w:t>5.D103</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5.457</w:t>
            </w:r>
          </w:p>
        </w:tc>
        <w:tc>
          <w:tcPr>
            <w:tcW w:w="2552" w:type="dxa"/>
          </w:tcPr>
          <w:p w:rsidR="00A52210" w:rsidRPr="006B01EE" w:rsidRDefault="00A52210" w:rsidP="00036146">
            <w:pPr>
              <w:spacing w:before="20" w:after="20"/>
              <w:jc w:val="center"/>
              <w:rPr>
                <w:szCs w:val="22"/>
              </w:rPr>
            </w:pPr>
            <w:r w:rsidRPr="006B01EE">
              <w:rPr>
                <w:sz w:val="22"/>
                <w:szCs w:val="22"/>
              </w:rPr>
              <w:t>5.A120</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5.511E</w:t>
            </w:r>
          </w:p>
        </w:tc>
        <w:tc>
          <w:tcPr>
            <w:tcW w:w="2552" w:type="dxa"/>
          </w:tcPr>
          <w:p w:rsidR="00A52210" w:rsidRPr="006B01EE" w:rsidRDefault="00A52210" w:rsidP="00036146">
            <w:pPr>
              <w:spacing w:before="20" w:after="20"/>
              <w:jc w:val="center"/>
              <w:rPr>
                <w:szCs w:val="22"/>
              </w:rPr>
            </w:pPr>
            <w:r w:rsidRPr="006B01EE">
              <w:rPr>
                <w:sz w:val="22"/>
                <w:szCs w:val="22"/>
              </w:rPr>
              <w:t>5.A121</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5.511F</w:t>
            </w:r>
          </w:p>
        </w:tc>
        <w:tc>
          <w:tcPr>
            <w:tcW w:w="2552" w:type="dxa"/>
          </w:tcPr>
          <w:p w:rsidR="00A52210" w:rsidRPr="006B01EE" w:rsidRDefault="00A52210" w:rsidP="00036146">
            <w:pPr>
              <w:spacing w:before="20" w:after="20"/>
              <w:jc w:val="center"/>
              <w:rPr>
                <w:szCs w:val="22"/>
              </w:rPr>
            </w:pPr>
            <w:r w:rsidRPr="006B01EE">
              <w:rPr>
                <w:sz w:val="22"/>
                <w:szCs w:val="22"/>
              </w:rPr>
              <w:t>5.B121</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5.530A</w:t>
            </w:r>
          </w:p>
        </w:tc>
        <w:tc>
          <w:tcPr>
            <w:tcW w:w="2552" w:type="dxa"/>
          </w:tcPr>
          <w:p w:rsidR="00A52210" w:rsidRPr="006B01EE" w:rsidRDefault="00A52210" w:rsidP="00036146">
            <w:pPr>
              <w:spacing w:before="20" w:after="20"/>
              <w:jc w:val="center"/>
              <w:rPr>
                <w:szCs w:val="22"/>
              </w:rPr>
            </w:pPr>
            <w:r w:rsidRPr="006B01EE">
              <w:rPr>
                <w:sz w:val="22"/>
                <w:szCs w:val="22"/>
              </w:rPr>
              <w:t>5.D113</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5.530B</w:t>
            </w:r>
          </w:p>
        </w:tc>
        <w:tc>
          <w:tcPr>
            <w:tcW w:w="2552" w:type="dxa"/>
          </w:tcPr>
          <w:p w:rsidR="00A52210" w:rsidRPr="006B01EE" w:rsidRDefault="00A52210" w:rsidP="00036146">
            <w:pPr>
              <w:spacing w:before="20" w:after="20"/>
              <w:jc w:val="center"/>
              <w:rPr>
                <w:szCs w:val="22"/>
              </w:rPr>
            </w:pPr>
            <w:r w:rsidRPr="006B01EE">
              <w:rPr>
                <w:sz w:val="22"/>
                <w:szCs w:val="22"/>
              </w:rPr>
              <w:t>5.B113</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5.530C</w:t>
            </w:r>
          </w:p>
        </w:tc>
        <w:tc>
          <w:tcPr>
            <w:tcW w:w="2552" w:type="dxa"/>
          </w:tcPr>
          <w:p w:rsidR="00A52210" w:rsidRPr="006B01EE" w:rsidRDefault="00A52210" w:rsidP="00036146">
            <w:pPr>
              <w:spacing w:before="20" w:after="20"/>
              <w:jc w:val="center"/>
              <w:rPr>
                <w:szCs w:val="22"/>
              </w:rPr>
            </w:pPr>
            <w:r w:rsidRPr="006B01EE">
              <w:rPr>
                <w:sz w:val="22"/>
                <w:szCs w:val="22"/>
              </w:rPr>
              <w:t>5.C113</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5.530D</w:t>
            </w:r>
          </w:p>
        </w:tc>
        <w:tc>
          <w:tcPr>
            <w:tcW w:w="2552" w:type="dxa"/>
          </w:tcPr>
          <w:p w:rsidR="00A52210" w:rsidRPr="006B01EE" w:rsidRDefault="00A52210" w:rsidP="00036146">
            <w:pPr>
              <w:spacing w:before="20" w:after="20"/>
              <w:jc w:val="center"/>
              <w:rPr>
                <w:szCs w:val="22"/>
              </w:rPr>
            </w:pPr>
            <w:r w:rsidRPr="006B01EE">
              <w:rPr>
                <w:sz w:val="22"/>
                <w:szCs w:val="22"/>
              </w:rPr>
              <w:t>5.F113</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5.532A</w:t>
            </w:r>
          </w:p>
        </w:tc>
        <w:tc>
          <w:tcPr>
            <w:tcW w:w="2552" w:type="dxa"/>
          </w:tcPr>
          <w:p w:rsidR="00A52210" w:rsidRPr="006B01EE" w:rsidRDefault="00A52210" w:rsidP="00036146">
            <w:pPr>
              <w:spacing w:before="20" w:after="20"/>
              <w:jc w:val="center"/>
              <w:rPr>
                <w:szCs w:val="22"/>
              </w:rPr>
            </w:pPr>
            <w:r w:rsidRPr="006B01EE">
              <w:rPr>
                <w:sz w:val="22"/>
                <w:szCs w:val="22"/>
              </w:rPr>
              <w:t>5.A111</w:t>
            </w:r>
          </w:p>
        </w:tc>
      </w:tr>
      <w:tr w:rsidR="00A52210" w:rsidRPr="006B01EE" w:rsidTr="00036146">
        <w:trPr>
          <w:jc w:val="center"/>
        </w:trPr>
        <w:tc>
          <w:tcPr>
            <w:tcW w:w="2552" w:type="dxa"/>
          </w:tcPr>
          <w:p w:rsidR="00A52210" w:rsidRPr="006B01EE" w:rsidRDefault="00A52210" w:rsidP="00036146">
            <w:pPr>
              <w:spacing w:before="20" w:after="20"/>
              <w:jc w:val="center"/>
              <w:rPr>
                <w:szCs w:val="22"/>
              </w:rPr>
            </w:pPr>
            <w:r w:rsidRPr="006B01EE">
              <w:rPr>
                <w:sz w:val="22"/>
                <w:szCs w:val="22"/>
              </w:rPr>
              <w:t>5.532B</w:t>
            </w:r>
          </w:p>
        </w:tc>
        <w:tc>
          <w:tcPr>
            <w:tcW w:w="2552" w:type="dxa"/>
          </w:tcPr>
          <w:p w:rsidR="00A52210" w:rsidRPr="006B01EE" w:rsidRDefault="00A52210" w:rsidP="00036146">
            <w:pPr>
              <w:spacing w:before="20" w:after="20"/>
              <w:jc w:val="center"/>
              <w:rPr>
                <w:szCs w:val="22"/>
              </w:rPr>
            </w:pPr>
            <w:r w:rsidRPr="006B01EE">
              <w:rPr>
                <w:sz w:val="22"/>
                <w:szCs w:val="22"/>
              </w:rPr>
              <w:t>5.A113</w:t>
            </w:r>
          </w:p>
        </w:tc>
      </w:tr>
    </w:tbl>
    <w:p w:rsidR="008B1FC6" w:rsidRDefault="008B1FC6">
      <w:pPr>
        <w:jc w:val="center"/>
      </w:pPr>
      <w:r>
        <w:t>______________</w:t>
      </w:r>
    </w:p>
    <w:sectPr w:rsidR="008B1FC6" w:rsidSect="0023788E">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1D" w:rsidRDefault="00CB661D">
      <w:r>
        <w:separator/>
      </w:r>
    </w:p>
  </w:endnote>
  <w:endnote w:type="continuationSeparator" w:id="0">
    <w:p w:rsidR="00CB661D" w:rsidRDefault="00CB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NewRoman">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61D" w:rsidRPr="001209D4" w:rsidRDefault="00CB661D">
    <w:pPr>
      <w:rPr>
        <w:lang w:val="es-ES_tradnl"/>
      </w:rPr>
    </w:pPr>
    <w:r>
      <w:fldChar w:fldCharType="begin"/>
    </w:r>
    <w:r w:rsidRPr="001209D4">
      <w:rPr>
        <w:lang w:val="es-ES_tradnl"/>
      </w:rPr>
      <w:instrText xml:space="preserve"> FILENAME \p \* MERGEFORMAT </w:instrText>
    </w:r>
    <w:r>
      <w:fldChar w:fldCharType="separate"/>
    </w:r>
    <w:r w:rsidR="00F411A7">
      <w:rPr>
        <w:noProof/>
        <w:lang w:val="es-ES_tradnl"/>
      </w:rPr>
      <w:t>P:\FRA\ITU-R\BR\DIR\CR\300\336V2F.docx</w:t>
    </w:r>
    <w:r>
      <w:rPr>
        <w:noProof/>
        <w:lang w:val="en-US"/>
      </w:rPr>
      <w:fldChar w:fldCharType="end"/>
    </w:r>
    <w:r w:rsidRPr="001209D4">
      <w:rPr>
        <w:lang w:val="es-ES_tradnl"/>
      </w:rPr>
      <w:tab/>
    </w:r>
    <w:r>
      <w:fldChar w:fldCharType="begin"/>
    </w:r>
    <w:r>
      <w:instrText xml:space="preserve"> savedate \@ dd.MM.yy </w:instrText>
    </w:r>
    <w:r>
      <w:fldChar w:fldCharType="separate"/>
    </w:r>
    <w:r w:rsidR="00617BF1">
      <w:rPr>
        <w:noProof/>
      </w:rPr>
      <w:t>16.07.12</w:t>
    </w:r>
    <w:r>
      <w:fldChar w:fldCharType="end"/>
    </w:r>
    <w:r w:rsidRPr="001209D4">
      <w:rPr>
        <w:lang w:val="es-ES_tradnl"/>
      </w:rPr>
      <w:tab/>
    </w:r>
    <w:r>
      <w:fldChar w:fldCharType="begin"/>
    </w:r>
    <w:r>
      <w:instrText xml:space="preserve"> printdate \@ dd.MM.yy </w:instrText>
    </w:r>
    <w:r>
      <w:fldChar w:fldCharType="separate"/>
    </w:r>
    <w:r w:rsidR="00F411A7">
      <w:rPr>
        <w:noProof/>
      </w:rPr>
      <w:t>16.07.12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61D" w:rsidRPr="00617BF1" w:rsidRDefault="00617BF1" w:rsidP="00617BF1">
    <w:pPr>
      <w:pStyle w:val="Footer"/>
    </w:pPr>
    <w:r>
      <w:rPr>
        <w:lang w:val="fr-CH"/>
      </w:rPr>
      <w:t>Y</w:t>
    </w:r>
    <w:r>
      <w:rPr>
        <w:lang w:val="fr-CH"/>
      </w:rPr>
      <w:t>:\APP\BR\CIRCS_DMS\CR\300\336_F</w:t>
    </w:r>
    <w:bookmarkStart w:id="7" w:name="_GoBack"/>
    <w:bookmarkEnd w:id="7"/>
    <w:r>
      <w:rPr>
        <w:lang w:val="fr-CH"/>
      </w:rPr>
      <w:tab/>
    </w:r>
    <w:r>
      <w:rPr>
        <w:lang w:val="fr-CH"/>
      </w:rPr>
      <w:tab/>
      <w:t>16/07/2012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CB661D">
      <w:trPr>
        <w:cantSplit/>
      </w:trPr>
      <w:tc>
        <w:tcPr>
          <w:tcW w:w="1062" w:type="pct"/>
          <w:tcBorders>
            <w:top w:val="single" w:sz="6" w:space="0" w:color="auto"/>
          </w:tcBorders>
          <w:tcMar>
            <w:top w:w="57" w:type="dxa"/>
          </w:tcMar>
        </w:tcPr>
        <w:p w:rsidR="00CB661D" w:rsidRDefault="00CB661D">
          <w:pPr>
            <w:pStyle w:val="itu"/>
            <w:rPr>
              <w:lang w:val="fr-FR"/>
            </w:rPr>
          </w:pPr>
          <w:r>
            <w:rPr>
              <w:lang w:val="fr-FR"/>
            </w:rPr>
            <w:t>Place des Nations</w:t>
          </w:r>
        </w:p>
      </w:tc>
      <w:tc>
        <w:tcPr>
          <w:tcW w:w="1584" w:type="pct"/>
          <w:tcBorders>
            <w:top w:val="single" w:sz="6" w:space="0" w:color="auto"/>
          </w:tcBorders>
          <w:tcMar>
            <w:top w:w="57" w:type="dxa"/>
          </w:tcMar>
        </w:tcPr>
        <w:p w:rsidR="00CB661D" w:rsidRDefault="00CB661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CB661D" w:rsidRDefault="00CB661D">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CB661D" w:rsidRDefault="00CB661D">
          <w:pPr>
            <w:pStyle w:val="itu"/>
            <w:rPr>
              <w:lang w:val="fr-FR"/>
            </w:rPr>
          </w:pPr>
          <w:r>
            <w:rPr>
              <w:lang w:val="fr-FR"/>
            </w:rPr>
            <w:t>E-mail:</w:t>
          </w:r>
          <w:r>
            <w:rPr>
              <w:lang w:val="fr-FR"/>
            </w:rPr>
            <w:tab/>
            <w:t>itumail@itu.int</w:t>
          </w:r>
        </w:p>
      </w:tc>
    </w:tr>
    <w:tr w:rsidR="00CB661D">
      <w:trPr>
        <w:cantSplit/>
      </w:trPr>
      <w:tc>
        <w:tcPr>
          <w:tcW w:w="1062" w:type="pct"/>
        </w:tcPr>
        <w:p w:rsidR="00CB661D" w:rsidRDefault="00CB661D">
          <w:pPr>
            <w:pStyle w:val="itu"/>
            <w:rPr>
              <w:lang w:val="fr-FR"/>
            </w:rPr>
          </w:pPr>
          <w:r>
            <w:rPr>
              <w:lang w:val="fr-FR"/>
            </w:rPr>
            <w:t>CH-1211 Genève 20</w:t>
          </w:r>
        </w:p>
      </w:tc>
      <w:tc>
        <w:tcPr>
          <w:tcW w:w="1584" w:type="pct"/>
        </w:tcPr>
        <w:p w:rsidR="00CB661D" w:rsidRDefault="00CB661D">
          <w:pPr>
            <w:pStyle w:val="itu"/>
            <w:rPr>
              <w:lang w:val="fr-FR"/>
            </w:rPr>
          </w:pPr>
          <w:r>
            <w:rPr>
              <w:lang w:val="fr-FR"/>
            </w:rPr>
            <w:t>Téléfax</w:t>
          </w:r>
          <w:r>
            <w:rPr>
              <w:lang w:val="fr-FR"/>
            </w:rPr>
            <w:tab/>
            <w:t>Gr3:</w:t>
          </w:r>
          <w:r>
            <w:rPr>
              <w:lang w:val="fr-FR"/>
            </w:rPr>
            <w:tab/>
            <w:t>+41 22 733 72 56</w:t>
          </w:r>
        </w:p>
      </w:tc>
      <w:tc>
        <w:tcPr>
          <w:tcW w:w="1223" w:type="pct"/>
        </w:tcPr>
        <w:p w:rsidR="00CB661D" w:rsidRDefault="00CB661D">
          <w:pPr>
            <w:pStyle w:val="itu"/>
            <w:rPr>
              <w:lang w:val="fr-FR"/>
            </w:rPr>
          </w:pPr>
          <w:r>
            <w:rPr>
              <w:lang w:val="fr-FR"/>
            </w:rPr>
            <w:t>Télégramme ITU GENEVE</w:t>
          </w:r>
        </w:p>
      </w:tc>
      <w:tc>
        <w:tcPr>
          <w:tcW w:w="1131" w:type="pct"/>
        </w:tcPr>
        <w:p w:rsidR="00CB661D" w:rsidRDefault="00CB661D">
          <w:pPr>
            <w:pStyle w:val="itu"/>
            <w:rPr>
              <w:lang w:val="fr-FR"/>
            </w:rPr>
          </w:pPr>
          <w:r>
            <w:rPr>
              <w:lang w:val="fr-FR"/>
            </w:rPr>
            <w:tab/>
          </w:r>
          <w:hyperlink r:id="rId1" w:history="1">
            <w:r>
              <w:rPr>
                <w:lang w:val="fr-FR"/>
              </w:rPr>
              <w:t>http://www.itu.int/</w:t>
            </w:r>
          </w:hyperlink>
        </w:p>
      </w:tc>
    </w:tr>
    <w:tr w:rsidR="00CB661D">
      <w:trPr>
        <w:cantSplit/>
      </w:trPr>
      <w:tc>
        <w:tcPr>
          <w:tcW w:w="1062" w:type="pct"/>
        </w:tcPr>
        <w:p w:rsidR="00CB661D" w:rsidRDefault="00CB661D">
          <w:pPr>
            <w:pStyle w:val="itu"/>
            <w:rPr>
              <w:lang w:val="fr-FR"/>
            </w:rPr>
          </w:pPr>
          <w:r>
            <w:rPr>
              <w:lang w:val="fr-FR"/>
            </w:rPr>
            <w:t>Suisse</w:t>
          </w:r>
        </w:p>
      </w:tc>
      <w:tc>
        <w:tcPr>
          <w:tcW w:w="1584" w:type="pct"/>
        </w:tcPr>
        <w:p w:rsidR="00CB661D" w:rsidRDefault="00CB661D">
          <w:pPr>
            <w:pStyle w:val="itu"/>
            <w:rPr>
              <w:lang w:val="fr-FR"/>
            </w:rPr>
          </w:pPr>
          <w:r>
            <w:rPr>
              <w:lang w:val="fr-FR"/>
            </w:rPr>
            <w:tab/>
            <w:t>Gr4:</w:t>
          </w:r>
          <w:r>
            <w:rPr>
              <w:lang w:val="fr-FR"/>
            </w:rPr>
            <w:tab/>
            <w:t>+41 22 730 65 00</w:t>
          </w:r>
        </w:p>
      </w:tc>
      <w:tc>
        <w:tcPr>
          <w:tcW w:w="1223" w:type="pct"/>
        </w:tcPr>
        <w:p w:rsidR="00CB661D" w:rsidRDefault="00CB661D">
          <w:pPr>
            <w:pStyle w:val="itu"/>
            <w:rPr>
              <w:lang w:val="fr-FR"/>
            </w:rPr>
          </w:pPr>
        </w:p>
      </w:tc>
      <w:tc>
        <w:tcPr>
          <w:tcW w:w="1131" w:type="pct"/>
        </w:tcPr>
        <w:p w:rsidR="00CB661D" w:rsidRDefault="00CB661D">
          <w:pPr>
            <w:pStyle w:val="itu"/>
            <w:rPr>
              <w:lang w:val="fr-FR"/>
            </w:rPr>
          </w:pPr>
        </w:p>
      </w:tc>
    </w:tr>
  </w:tbl>
  <w:p w:rsidR="00CB661D" w:rsidRDefault="00CB661D"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1D" w:rsidRDefault="00CB661D">
      <w:r>
        <w:t>____________________</w:t>
      </w:r>
    </w:p>
  </w:footnote>
  <w:footnote w:type="continuationSeparator" w:id="0">
    <w:p w:rsidR="00CB661D" w:rsidRDefault="00CB6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F1" w:rsidRDefault="00617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61D" w:rsidRDefault="00CB661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17BF1">
      <w:rPr>
        <w:rStyle w:val="PageNumber"/>
        <w:noProof/>
      </w:rPr>
      <w:t>2</w:t>
    </w:r>
    <w:r>
      <w:rPr>
        <w:rStyle w:val="PageNumber"/>
      </w:rPr>
      <w:fldChar w:fldCharType="end"/>
    </w:r>
    <w:r>
      <w:rPr>
        <w:rStyle w:val="PageNumber"/>
      </w:rPr>
      <w:t xml:space="preserve"> -</w:t>
    </w:r>
  </w:p>
  <w:p w:rsidR="00CB661D" w:rsidRPr="008C5D1D" w:rsidRDefault="00CB661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F1" w:rsidRDefault="00617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6677B"/>
    <w:rsid w:val="00037FB9"/>
    <w:rsid w:val="00076FBD"/>
    <w:rsid w:val="000B20F2"/>
    <w:rsid w:val="000D6CA1"/>
    <w:rsid w:val="001209D4"/>
    <w:rsid w:val="001234EC"/>
    <w:rsid w:val="0016677B"/>
    <w:rsid w:val="001926E6"/>
    <w:rsid w:val="0023788E"/>
    <w:rsid w:val="0027576C"/>
    <w:rsid w:val="002E7109"/>
    <w:rsid w:val="002E71D7"/>
    <w:rsid w:val="003203D8"/>
    <w:rsid w:val="00343D28"/>
    <w:rsid w:val="003D2191"/>
    <w:rsid w:val="004211B8"/>
    <w:rsid w:val="004365DB"/>
    <w:rsid w:val="004448DB"/>
    <w:rsid w:val="00564971"/>
    <w:rsid w:val="00570DDF"/>
    <w:rsid w:val="005B40D1"/>
    <w:rsid w:val="00617BF1"/>
    <w:rsid w:val="00641164"/>
    <w:rsid w:val="00644E16"/>
    <w:rsid w:val="006474FB"/>
    <w:rsid w:val="00664397"/>
    <w:rsid w:val="006B023B"/>
    <w:rsid w:val="006C78C7"/>
    <w:rsid w:val="006D7D44"/>
    <w:rsid w:val="006F4E80"/>
    <w:rsid w:val="006F7100"/>
    <w:rsid w:val="007840C5"/>
    <w:rsid w:val="00863A71"/>
    <w:rsid w:val="008B1FC6"/>
    <w:rsid w:val="008B53A5"/>
    <w:rsid w:val="008C5D1D"/>
    <w:rsid w:val="008E5FCF"/>
    <w:rsid w:val="009330C6"/>
    <w:rsid w:val="009353CB"/>
    <w:rsid w:val="009B3DA7"/>
    <w:rsid w:val="009C7330"/>
    <w:rsid w:val="00A10043"/>
    <w:rsid w:val="00A2257B"/>
    <w:rsid w:val="00A52210"/>
    <w:rsid w:val="00A669A2"/>
    <w:rsid w:val="00AA4027"/>
    <w:rsid w:val="00B257A5"/>
    <w:rsid w:val="00B76F14"/>
    <w:rsid w:val="00BF3EC6"/>
    <w:rsid w:val="00C144B5"/>
    <w:rsid w:val="00C34E87"/>
    <w:rsid w:val="00C71654"/>
    <w:rsid w:val="00CB661D"/>
    <w:rsid w:val="00CB743B"/>
    <w:rsid w:val="00CC0B00"/>
    <w:rsid w:val="00D539A7"/>
    <w:rsid w:val="00D7340D"/>
    <w:rsid w:val="00DA5F01"/>
    <w:rsid w:val="00DB6BC4"/>
    <w:rsid w:val="00DE40FF"/>
    <w:rsid w:val="00E25073"/>
    <w:rsid w:val="00E8028F"/>
    <w:rsid w:val="00E9604E"/>
    <w:rsid w:val="00EB2360"/>
    <w:rsid w:val="00F118C3"/>
    <w:rsid w:val="00F3766B"/>
    <w:rsid w:val="00F411A7"/>
    <w:rsid w:val="00F957F4"/>
    <w:rsid w:val="00FA7B4D"/>
    <w:rsid w:val="00FC2FDC"/>
    <w:rsid w:val="00FE0632"/>
    <w:rsid w:val="00FE1623"/>
    <w:rsid w:val="00FE262C"/>
    <w:rsid w:val="00FE3F01"/>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uiPriority w:val="99"/>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uiPriority w:val="59"/>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3A71"/>
    <w:rPr>
      <w:color w:val="0000FF" w:themeColor="hyperlink"/>
      <w:u w:val="single"/>
    </w:rPr>
  </w:style>
  <w:style w:type="paragraph" w:customStyle="1" w:styleId="Reasons">
    <w:name w:val="Reasons"/>
    <w:basedOn w:val="Normal"/>
    <w:qFormat/>
    <w:rsid w:val="00DB6BC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rsid w:val="00617BF1"/>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rcpm-wrc-15-studie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1</TotalTime>
  <Pages>8</Pages>
  <Words>3184</Words>
  <Characters>17398</Characters>
  <Application>Microsoft Office Word</Application>
  <DocSecurity>0</DocSecurity>
  <Lines>144</Lines>
  <Paragraphs>41</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20541</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Gimenez</cp:lastModifiedBy>
  <cp:revision>3</cp:revision>
  <cp:lastPrinted>2012-07-16T14:05:00Z</cp:lastPrinted>
  <dcterms:created xsi:type="dcterms:W3CDTF">2012-07-16T14:47:00Z</dcterms:created>
  <dcterms:modified xsi:type="dcterms:W3CDTF">2012-07-16T14:50:00Z</dcterms:modified>
</cp:coreProperties>
</file>