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2977"/>
      </w:tblGrid>
      <w:tr w:rsidR="00EA15B3" w:rsidRPr="0027656B" w:rsidTr="00621E6C">
        <w:trPr>
          <w:jc w:val="center"/>
        </w:trPr>
        <w:tc>
          <w:tcPr>
            <w:tcW w:w="9923" w:type="dxa"/>
            <w:gridSpan w:val="3"/>
          </w:tcPr>
          <w:p w:rsidR="00EA15B3" w:rsidRPr="0027656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27656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27656B" w:rsidTr="00621E6C">
        <w:trPr>
          <w:jc w:val="center"/>
        </w:trPr>
        <w:tc>
          <w:tcPr>
            <w:tcW w:w="9923" w:type="dxa"/>
            <w:gridSpan w:val="3"/>
          </w:tcPr>
          <w:p w:rsidR="00EA15B3" w:rsidRPr="0027656B" w:rsidRDefault="00EA15B3" w:rsidP="00EA15B3">
            <w:pPr>
              <w:jc w:val="left"/>
            </w:pPr>
          </w:p>
        </w:tc>
      </w:tr>
      <w:tr w:rsidR="00786E9F" w:rsidRPr="0027656B" w:rsidTr="00621E6C">
        <w:tblPrEx>
          <w:jc w:val="left"/>
        </w:tblPrEx>
        <w:tc>
          <w:tcPr>
            <w:tcW w:w="6946" w:type="dxa"/>
            <w:gridSpan w:val="2"/>
            <w:shd w:val="clear" w:color="auto" w:fill="auto"/>
          </w:tcPr>
          <w:p w:rsidR="00786E9F" w:rsidRPr="00F24AF3" w:rsidRDefault="00405EAD" w:rsidP="003A4CE8">
            <w:pPr>
              <w:spacing w:before="0"/>
              <w:jc w:val="left"/>
              <w:rPr>
                <w:sz w:val="24"/>
                <w:szCs w:val="24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 w:rsidRPr="00F24AF3">
              <w:rPr>
                <w:sz w:val="24"/>
                <w:szCs w:val="24"/>
              </w:rPr>
              <w:t>Circular Administrativa</w:t>
            </w:r>
          </w:p>
          <w:p w:rsidR="00786E9F" w:rsidRPr="00F24AF3" w:rsidRDefault="00786E9F" w:rsidP="00786E9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F24AF3">
              <w:rPr>
                <w:b/>
                <w:bCs/>
                <w:sz w:val="24"/>
                <w:szCs w:val="24"/>
              </w:rPr>
              <w:t>CACE/</w:t>
            </w:r>
            <w:r w:rsidR="0027656B" w:rsidRPr="00F24AF3">
              <w:rPr>
                <w:b/>
                <w:bCs/>
                <w:sz w:val="24"/>
                <w:szCs w:val="24"/>
              </w:rPr>
              <w:t>786</w:t>
            </w:r>
          </w:p>
        </w:tc>
        <w:tc>
          <w:tcPr>
            <w:tcW w:w="2977" w:type="dxa"/>
            <w:shd w:val="clear" w:color="auto" w:fill="auto"/>
          </w:tcPr>
          <w:p w:rsidR="00786E9F" w:rsidRPr="00F24AF3" w:rsidRDefault="0027656B" w:rsidP="003A4CE8">
            <w:pPr>
              <w:spacing w:before="0"/>
              <w:jc w:val="right"/>
              <w:rPr>
                <w:sz w:val="24"/>
                <w:szCs w:val="24"/>
              </w:rPr>
            </w:pPr>
            <w:r w:rsidRPr="00F24AF3">
              <w:rPr>
                <w:sz w:val="24"/>
                <w:szCs w:val="24"/>
              </w:rPr>
              <w:t>19 de octubre de 2016</w:t>
            </w:r>
          </w:p>
        </w:tc>
      </w:tr>
      <w:tr w:rsidR="00786E9F" w:rsidRPr="0027656B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F24AF3" w:rsidRDefault="00786E9F" w:rsidP="003A4CE8">
            <w:pPr>
              <w:spacing w:befor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86E9F" w:rsidRPr="0027656B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F24AF3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86E9F" w:rsidRPr="0027656B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F24AF3" w:rsidRDefault="00786E9F" w:rsidP="00F24AF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F24AF3">
              <w:rPr>
                <w:b/>
                <w:bCs/>
                <w:sz w:val="24"/>
                <w:szCs w:val="24"/>
              </w:rPr>
              <w:t>A las Administraciones de los Estados Miembros de la UIT, a los Miembros del Sector de Radiocomunicaciones, a los Asociados del UIT-R que participan en los trabajos de la Comisión de</w:t>
            </w:r>
            <w:r w:rsidR="00F24AF3">
              <w:rPr>
                <w:b/>
                <w:bCs/>
                <w:sz w:val="24"/>
                <w:szCs w:val="24"/>
              </w:rPr>
              <w:t> </w:t>
            </w:r>
            <w:r w:rsidRPr="00F24AF3">
              <w:rPr>
                <w:b/>
                <w:bCs/>
                <w:sz w:val="24"/>
                <w:szCs w:val="24"/>
              </w:rPr>
              <w:t>Estudio </w:t>
            </w:r>
            <w:r w:rsidR="0027656B" w:rsidRPr="00F24AF3">
              <w:rPr>
                <w:b/>
                <w:bCs/>
                <w:sz w:val="24"/>
                <w:szCs w:val="24"/>
              </w:rPr>
              <w:t>4</w:t>
            </w:r>
            <w:r w:rsidRPr="00F24AF3">
              <w:rPr>
                <w:b/>
                <w:bCs/>
                <w:sz w:val="24"/>
                <w:szCs w:val="24"/>
              </w:rPr>
              <w:t xml:space="preserve"> de Radiocomunicaciones y a las Instituciones Académicas de la UIT</w:t>
            </w:r>
          </w:p>
        </w:tc>
      </w:tr>
      <w:tr w:rsidR="00786E9F" w:rsidRPr="0027656B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F24AF3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86E9F" w:rsidRPr="0027656B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F24AF3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86E9F" w:rsidRPr="0027656B" w:rsidTr="00621E6C">
        <w:tblPrEx>
          <w:jc w:val="left"/>
        </w:tblPrEx>
        <w:tc>
          <w:tcPr>
            <w:tcW w:w="1418" w:type="dxa"/>
            <w:shd w:val="clear" w:color="auto" w:fill="auto"/>
          </w:tcPr>
          <w:p w:rsidR="00786E9F" w:rsidRPr="00F24AF3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  <w:r w:rsidRPr="00F24AF3">
              <w:rPr>
                <w:sz w:val="24"/>
                <w:szCs w:val="24"/>
              </w:rPr>
              <w:t>Asunto:</w:t>
            </w:r>
          </w:p>
        </w:tc>
        <w:tc>
          <w:tcPr>
            <w:tcW w:w="8505" w:type="dxa"/>
            <w:gridSpan w:val="2"/>
            <w:vMerge w:val="restart"/>
            <w:shd w:val="clear" w:color="auto" w:fill="auto"/>
          </w:tcPr>
          <w:p w:rsidR="00786E9F" w:rsidRPr="00F24AF3" w:rsidRDefault="00786E9F" w:rsidP="0027656B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/>
              <w:ind w:left="459" w:hanging="459"/>
              <w:rPr>
                <w:b/>
                <w:bCs/>
                <w:sz w:val="24"/>
                <w:szCs w:val="24"/>
              </w:rPr>
            </w:pPr>
            <w:r w:rsidRPr="00F24AF3">
              <w:rPr>
                <w:b/>
                <w:sz w:val="24"/>
                <w:szCs w:val="24"/>
              </w:rPr>
              <w:t xml:space="preserve">Comisión de Estudio </w:t>
            </w:r>
            <w:r w:rsidR="0027656B" w:rsidRPr="00F24AF3">
              <w:rPr>
                <w:b/>
                <w:sz w:val="24"/>
                <w:szCs w:val="24"/>
              </w:rPr>
              <w:t>4</w:t>
            </w:r>
            <w:r w:rsidRPr="00F24AF3">
              <w:rPr>
                <w:b/>
                <w:sz w:val="24"/>
                <w:szCs w:val="24"/>
              </w:rPr>
              <w:t xml:space="preserve"> de Radiocomunicaciones</w:t>
            </w:r>
            <w:bookmarkStart w:id="5" w:name="OLE_LINK1"/>
            <w:bookmarkStart w:id="6" w:name="OLE_LINK2"/>
            <w:r w:rsidR="0027656B" w:rsidRPr="00F24AF3">
              <w:rPr>
                <w:b/>
                <w:sz w:val="24"/>
                <w:szCs w:val="24"/>
              </w:rPr>
              <w:t xml:space="preserve"> (Servicios por satélite)</w:t>
            </w:r>
          </w:p>
          <w:p w:rsidR="00786E9F" w:rsidRPr="00F24AF3" w:rsidRDefault="00786E9F" w:rsidP="00995AEB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rPr>
                <w:b/>
                <w:sz w:val="24"/>
                <w:szCs w:val="24"/>
              </w:rPr>
            </w:pPr>
            <w:r w:rsidRPr="00F24AF3">
              <w:rPr>
                <w:b/>
                <w:sz w:val="24"/>
                <w:szCs w:val="24"/>
              </w:rPr>
              <w:t>–</w:t>
            </w:r>
            <w:r w:rsidRPr="00F24AF3">
              <w:rPr>
                <w:bCs/>
                <w:sz w:val="24"/>
                <w:szCs w:val="24"/>
              </w:rPr>
              <w:tab/>
            </w:r>
            <w:r w:rsidRPr="00F24AF3">
              <w:rPr>
                <w:b/>
                <w:bCs/>
                <w:sz w:val="24"/>
                <w:szCs w:val="24"/>
              </w:rPr>
              <w:t xml:space="preserve">Propuesta de aprobación de </w:t>
            </w:r>
            <w:r w:rsidR="0027656B" w:rsidRPr="00F24AF3">
              <w:rPr>
                <w:b/>
                <w:bCs/>
                <w:sz w:val="24"/>
                <w:szCs w:val="24"/>
              </w:rPr>
              <w:t>1</w:t>
            </w:r>
            <w:r w:rsidRPr="00F24AF3">
              <w:rPr>
                <w:b/>
                <w:bCs/>
                <w:sz w:val="24"/>
                <w:szCs w:val="24"/>
              </w:rPr>
              <w:t xml:space="preserve"> proyecto</w:t>
            </w:r>
            <w:r w:rsidR="0027656B" w:rsidRPr="00F24AF3">
              <w:rPr>
                <w:b/>
                <w:bCs/>
                <w:sz w:val="24"/>
                <w:szCs w:val="24"/>
              </w:rPr>
              <w:t xml:space="preserve"> de nueva Recomendación</w:t>
            </w:r>
            <w:r w:rsidRPr="00F24AF3">
              <w:rPr>
                <w:b/>
                <w:bCs/>
                <w:sz w:val="24"/>
                <w:szCs w:val="24"/>
              </w:rPr>
              <w:t xml:space="preserve"> UIT-R </w:t>
            </w:r>
            <w:r w:rsidR="003E0466" w:rsidRPr="00F24AF3">
              <w:rPr>
                <w:b/>
                <w:bCs/>
                <w:sz w:val="24"/>
                <w:szCs w:val="24"/>
              </w:rPr>
              <w:br/>
            </w:r>
            <w:r w:rsidRPr="00F24AF3">
              <w:rPr>
                <w:b/>
                <w:bCs/>
                <w:sz w:val="24"/>
                <w:szCs w:val="24"/>
              </w:rPr>
              <w:t xml:space="preserve">y </w:t>
            </w:r>
            <w:r w:rsidR="0027656B" w:rsidRPr="00F24AF3">
              <w:rPr>
                <w:b/>
                <w:bCs/>
                <w:sz w:val="24"/>
                <w:szCs w:val="24"/>
              </w:rPr>
              <w:t>1</w:t>
            </w:r>
            <w:r w:rsidRPr="00F24AF3">
              <w:rPr>
                <w:b/>
                <w:bCs/>
                <w:sz w:val="24"/>
                <w:szCs w:val="24"/>
              </w:rPr>
              <w:t xml:space="preserve"> </w:t>
            </w:r>
            <w:r w:rsidR="0027656B" w:rsidRPr="00F24AF3">
              <w:rPr>
                <w:b/>
                <w:sz w:val="24"/>
                <w:szCs w:val="24"/>
              </w:rPr>
              <w:t>proyecto de Recomendación</w:t>
            </w:r>
            <w:r w:rsidRPr="00F24AF3">
              <w:rPr>
                <w:b/>
                <w:sz w:val="24"/>
                <w:szCs w:val="24"/>
              </w:rPr>
              <w:t xml:space="preserve"> UIT-R revisada</w:t>
            </w:r>
            <w:bookmarkEnd w:id="5"/>
            <w:bookmarkEnd w:id="6"/>
          </w:p>
        </w:tc>
      </w:tr>
      <w:tr w:rsidR="00786E9F" w:rsidRPr="0027656B" w:rsidTr="00621E6C">
        <w:tblPrEx>
          <w:jc w:val="left"/>
        </w:tblPrEx>
        <w:tc>
          <w:tcPr>
            <w:tcW w:w="1418" w:type="dxa"/>
            <w:shd w:val="clear" w:color="auto" w:fill="auto"/>
          </w:tcPr>
          <w:p w:rsidR="00786E9F" w:rsidRPr="00F24AF3" w:rsidRDefault="00786E9F" w:rsidP="003A4CE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786E9F" w:rsidRPr="00F24AF3" w:rsidRDefault="00786E9F" w:rsidP="003A4CE8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86E9F" w:rsidRPr="0027656B" w:rsidTr="00621E6C">
        <w:tblPrEx>
          <w:jc w:val="left"/>
        </w:tblPrEx>
        <w:tc>
          <w:tcPr>
            <w:tcW w:w="1418" w:type="dxa"/>
            <w:shd w:val="clear" w:color="auto" w:fill="auto"/>
          </w:tcPr>
          <w:p w:rsidR="00786E9F" w:rsidRPr="00F24AF3" w:rsidRDefault="00786E9F" w:rsidP="003A4CE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786E9F" w:rsidRPr="00F24AF3" w:rsidRDefault="00786E9F" w:rsidP="003A4CE8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86E9F" w:rsidRPr="0027656B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F24AF3" w:rsidRDefault="00786E9F" w:rsidP="00786E9F">
            <w:pPr>
              <w:spacing w:before="0" w:line="240" w:lineRule="auto"/>
              <w:ind w:left="794" w:hanging="794"/>
              <w:rPr>
                <w:b/>
                <w:bCs/>
                <w:sz w:val="24"/>
                <w:szCs w:val="24"/>
              </w:rPr>
            </w:pPr>
          </w:p>
        </w:tc>
      </w:tr>
      <w:tr w:rsidR="00786E9F" w:rsidRPr="0027656B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F24AF3" w:rsidRDefault="00786E9F" w:rsidP="00786E9F">
            <w:pPr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E1794" w:rsidRPr="00BE1794" w:rsidRDefault="00BE1794" w:rsidP="00F24AF3">
      <w:pPr>
        <w:pStyle w:val="Normalaftertitle"/>
        <w:rPr>
          <w:sz w:val="24"/>
          <w:szCs w:val="24"/>
          <w:lang w:val="es-ES"/>
        </w:rPr>
      </w:pPr>
      <w:r w:rsidRPr="00BE1794">
        <w:rPr>
          <w:sz w:val="24"/>
          <w:szCs w:val="24"/>
          <w:lang w:val="es-ES"/>
        </w:rPr>
        <w:t xml:space="preserve">En la reunión de la Comisión de Estudio 4 de Radiocomunicaciones celebrada el 7 de octubre de 2016, la Comisión de Estudio adoptó </w:t>
      </w:r>
      <w:r w:rsidR="00E15EA6">
        <w:rPr>
          <w:sz w:val="24"/>
          <w:szCs w:val="24"/>
          <w:lang w:val="es-ES"/>
        </w:rPr>
        <w:t xml:space="preserve">los </w:t>
      </w:r>
      <w:r w:rsidRPr="00BE1794">
        <w:rPr>
          <w:sz w:val="24"/>
          <w:szCs w:val="24"/>
          <w:lang w:val="es-ES"/>
        </w:rPr>
        <w:t>textos de 1 proyecto de nueva Recomendación UIT-R y 1 proyecto de Recomendación UIT-R revisada</w:t>
      </w:r>
      <w:r w:rsidR="00E15EA6">
        <w:rPr>
          <w:sz w:val="24"/>
          <w:szCs w:val="24"/>
          <w:lang w:val="es-ES"/>
        </w:rPr>
        <w:t>,</w:t>
      </w:r>
      <w:r w:rsidRPr="00BE1794">
        <w:rPr>
          <w:sz w:val="24"/>
          <w:szCs w:val="24"/>
          <w:lang w:val="es-ES"/>
        </w:rPr>
        <w:t xml:space="preserve"> y acordó aplicar el procedimiento de la Resolución UIT</w:t>
      </w:r>
      <w:r w:rsidRPr="00BE1794">
        <w:rPr>
          <w:sz w:val="24"/>
          <w:szCs w:val="24"/>
          <w:lang w:val="es-ES"/>
        </w:rPr>
        <w:noBreakHyphen/>
        <w:t xml:space="preserve">R 1-7 (véase el § </w:t>
      </w:r>
      <w:proofErr w:type="spellStart"/>
      <w:r w:rsidRPr="00BE1794">
        <w:rPr>
          <w:sz w:val="24"/>
          <w:szCs w:val="24"/>
          <w:lang w:val="es-ES"/>
        </w:rPr>
        <w:t>A2.6.2.3</w:t>
      </w:r>
      <w:proofErr w:type="spellEnd"/>
      <w:r w:rsidRPr="00BE1794">
        <w:rPr>
          <w:sz w:val="24"/>
          <w:szCs w:val="24"/>
          <w:lang w:val="es-ES"/>
        </w:rPr>
        <w:t>) para la aprobación de Recomendaciones por consulta. Los</w:t>
      </w:r>
      <w:r w:rsidR="00F24AF3">
        <w:rPr>
          <w:sz w:val="24"/>
          <w:szCs w:val="24"/>
          <w:lang w:val="es-ES"/>
        </w:rPr>
        <w:t> </w:t>
      </w:r>
      <w:r w:rsidRPr="00BE1794">
        <w:rPr>
          <w:sz w:val="24"/>
          <w:szCs w:val="24"/>
          <w:lang w:val="es-ES"/>
        </w:rPr>
        <w:t xml:space="preserve">títulos y resúmenes de los proyectos de Recomendaciones figuran en el Anexo a la presente </w:t>
      </w:r>
      <w:r w:rsidR="002D365B" w:rsidRPr="00BE1794">
        <w:rPr>
          <w:sz w:val="24"/>
          <w:szCs w:val="24"/>
          <w:lang w:val="es-ES"/>
        </w:rPr>
        <w:t>carta</w:t>
      </w:r>
      <w:r w:rsidRPr="00BE1794">
        <w:rPr>
          <w:sz w:val="24"/>
          <w:szCs w:val="24"/>
          <w:lang w:val="es-ES"/>
        </w:rPr>
        <w:t>. Todo Estado Miembro que objete la aprobación de un proyecto de Recomendación debe informar al Director y al Presidente de la Comisión de Estudio de los motivos de dicha objeción.</w:t>
      </w:r>
    </w:p>
    <w:p w:rsidR="00BE1794" w:rsidRPr="00BE1794" w:rsidRDefault="00BE1794" w:rsidP="00E15EA6">
      <w:pPr>
        <w:rPr>
          <w:sz w:val="24"/>
          <w:szCs w:val="24"/>
          <w:lang w:val="es-ES"/>
        </w:rPr>
      </w:pPr>
      <w:r w:rsidRPr="00BE1794">
        <w:rPr>
          <w:sz w:val="24"/>
          <w:szCs w:val="24"/>
          <w:lang w:val="es-ES"/>
        </w:rPr>
        <w:t xml:space="preserve">Con respecto a las disposiciones del § </w:t>
      </w:r>
      <w:proofErr w:type="spellStart"/>
      <w:r w:rsidRPr="00BE1794">
        <w:rPr>
          <w:sz w:val="24"/>
          <w:szCs w:val="24"/>
          <w:lang w:val="es-ES"/>
        </w:rPr>
        <w:t>A2.6.2.3</w:t>
      </w:r>
      <w:proofErr w:type="spellEnd"/>
      <w:r w:rsidRPr="00BE1794">
        <w:rPr>
          <w:sz w:val="24"/>
          <w:szCs w:val="24"/>
          <w:lang w:val="es-ES"/>
        </w:rPr>
        <w:t xml:space="preserve"> de la Resolución UIT-R 1-7, se solicita a los Estados Miembros que informen a la Secretaría (</w:t>
      </w:r>
      <w:proofErr w:type="spellStart"/>
      <w:r w:rsidRPr="00BE1794">
        <w:rPr>
          <w:sz w:val="24"/>
          <w:szCs w:val="24"/>
        </w:rPr>
        <w:fldChar w:fldCharType="begin"/>
      </w:r>
      <w:r w:rsidRPr="00BE1794">
        <w:rPr>
          <w:sz w:val="24"/>
          <w:szCs w:val="24"/>
        </w:rPr>
        <w:instrText xml:space="preserve"> HYPERLINK "mailto:brsgd@itu.int" </w:instrText>
      </w:r>
      <w:r w:rsidRPr="00BE1794">
        <w:rPr>
          <w:sz w:val="24"/>
          <w:szCs w:val="24"/>
        </w:rPr>
        <w:fldChar w:fldCharType="separate"/>
      </w:r>
      <w:r w:rsidRPr="00BE1794">
        <w:rPr>
          <w:color w:val="0000FF"/>
          <w:sz w:val="24"/>
          <w:szCs w:val="24"/>
          <w:u w:val="single"/>
          <w:lang w:val="es-ES"/>
        </w:rPr>
        <w:t>brsgd@itu.int</w:t>
      </w:r>
      <w:proofErr w:type="spellEnd"/>
      <w:r w:rsidRPr="00BE1794">
        <w:rPr>
          <w:color w:val="0000FF"/>
          <w:sz w:val="24"/>
          <w:szCs w:val="24"/>
          <w:u w:val="single"/>
          <w:lang w:val="es-ES"/>
        </w:rPr>
        <w:fldChar w:fldCharType="end"/>
      </w:r>
      <w:r w:rsidRPr="00BE1794">
        <w:rPr>
          <w:sz w:val="24"/>
          <w:szCs w:val="24"/>
          <w:lang w:val="es-ES"/>
        </w:rPr>
        <w:t xml:space="preserve">) antes del </w:t>
      </w:r>
      <w:r w:rsidRPr="00BE1794">
        <w:rPr>
          <w:sz w:val="24"/>
          <w:szCs w:val="24"/>
          <w:u w:val="single"/>
          <w:lang w:val="es-ES"/>
        </w:rPr>
        <w:t>19 de diciembre de 2016</w:t>
      </w:r>
      <w:r w:rsidRPr="00BE1794">
        <w:rPr>
          <w:sz w:val="24"/>
          <w:szCs w:val="24"/>
          <w:lang w:val="es-ES"/>
        </w:rPr>
        <w:t xml:space="preserve"> si</w:t>
      </w:r>
      <w:r w:rsidR="00E15EA6">
        <w:rPr>
          <w:sz w:val="24"/>
          <w:szCs w:val="24"/>
          <w:lang w:val="es-ES"/>
        </w:rPr>
        <w:t> </w:t>
      </w:r>
      <w:r w:rsidRPr="00BE1794">
        <w:rPr>
          <w:sz w:val="24"/>
          <w:szCs w:val="24"/>
          <w:lang w:val="es-ES"/>
        </w:rPr>
        <w:t>aprueban o no la propuesta anterior.</w:t>
      </w:r>
    </w:p>
    <w:p w:rsidR="00BE1794" w:rsidRPr="00BE1794" w:rsidRDefault="00BE1794" w:rsidP="00E15EA6">
      <w:pPr>
        <w:rPr>
          <w:sz w:val="24"/>
          <w:szCs w:val="24"/>
          <w:lang w:val="es-ES"/>
        </w:rPr>
      </w:pPr>
      <w:r w:rsidRPr="00BE1794">
        <w:rPr>
          <w:sz w:val="24"/>
          <w:szCs w:val="24"/>
          <w:lang w:val="es-ES"/>
        </w:rPr>
        <w:t>Tras la fecha límite mencionada, los resultados de esta consulta se comunicarán mediante Circular Administrativa y las Recomendaciones aprobadas se publicarán tan pronto como sea posible (véase</w:t>
      </w:r>
      <w:r w:rsidR="00E15EA6">
        <w:rPr>
          <w:sz w:val="24"/>
          <w:szCs w:val="24"/>
          <w:lang w:val="es-ES"/>
        </w:rPr>
        <w:t> </w:t>
      </w:r>
      <w:hyperlink r:id="rId7" w:history="1">
        <w:r w:rsidRPr="00BE1794">
          <w:rPr>
            <w:color w:val="0000FF"/>
            <w:sz w:val="24"/>
            <w:szCs w:val="24"/>
            <w:u w:val="single"/>
            <w:lang w:val="es-ES"/>
          </w:rPr>
          <w:t>http://</w:t>
        </w:r>
        <w:proofErr w:type="spellStart"/>
        <w:r w:rsidRPr="00BE1794">
          <w:rPr>
            <w:color w:val="0000FF"/>
            <w:sz w:val="24"/>
            <w:szCs w:val="24"/>
            <w:u w:val="single"/>
            <w:lang w:val="es-ES"/>
          </w:rPr>
          <w:t>www.itu.int</w:t>
        </w:r>
        <w:proofErr w:type="spellEnd"/>
        <w:r w:rsidRPr="00BE1794">
          <w:rPr>
            <w:color w:val="0000FF"/>
            <w:sz w:val="24"/>
            <w:szCs w:val="24"/>
            <w:u w:val="single"/>
            <w:lang w:val="es-ES"/>
          </w:rPr>
          <w:t>/pub/R-</w:t>
        </w:r>
        <w:proofErr w:type="spellStart"/>
        <w:r w:rsidRPr="00BE1794">
          <w:rPr>
            <w:color w:val="0000FF"/>
            <w:sz w:val="24"/>
            <w:szCs w:val="24"/>
            <w:u w:val="single"/>
            <w:lang w:val="es-ES"/>
          </w:rPr>
          <w:t>REC</w:t>
        </w:r>
        <w:proofErr w:type="spellEnd"/>
      </w:hyperlink>
      <w:r w:rsidRPr="00BE1794">
        <w:rPr>
          <w:sz w:val="24"/>
          <w:szCs w:val="24"/>
          <w:lang w:val="es-ES"/>
        </w:rPr>
        <w:t>).</w:t>
      </w:r>
    </w:p>
    <w:p w:rsidR="007E0705" w:rsidRPr="0027656B" w:rsidRDefault="007E0705" w:rsidP="007E07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27656B">
        <w:br w:type="page"/>
      </w:r>
    </w:p>
    <w:p w:rsidR="007E0705" w:rsidRPr="00A15808" w:rsidRDefault="007E0705" w:rsidP="002051C3">
      <w:pPr>
        <w:rPr>
          <w:sz w:val="24"/>
          <w:szCs w:val="24"/>
        </w:rPr>
      </w:pPr>
      <w:r w:rsidRPr="00A15808">
        <w:rPr>
          <w:sz w:val="24"/>
          <w:szCs w:val="24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</w:t>
      </w:r>
      <w:proofErr w:type="spellStart"/>
      <w:r w:rsidRPr="00A15808">
        <w:rPr>
          <w:sz w:val="24"/>
          <w:szCs w:val="24"/>
        </w:rPr>
        <w:t>CEI</w:t>
      </w:r>
      <w:proofErr w:type="spellEnd"/>
      <w:r w:rsidRPr="00A15808">
        <w:rPr>
          <w:sz w:val="24"/>
          <w:szCs w:val="24"/>
        </w:rPr>
        <w:t xml:space="preserve"> puede consultarse en </w:t>
      </w:r>
      <w:hyperlink r:id="rId8" w:history="1">
        <w:r w:rsidR="002051C3" w:rsidRPr="00333604">
          <w:rPr>
            <w:rStyle w:val="Hyperlink"/>
            <w:rFonts w:cs="Calibri"/>
            <w:sz w:val="24"/>
            <w:szCs w:val="24"/>
          </w:rPr>
          <w:t>http://</w:t>
        </w:r>
        <w:proofErr w:type="spellStart"/>
        <w:r w:rsidR="002051C3" w:rsidRPr="00333604">
          <w:rPr>
            <w:rStyle w:val="Hyperlink"/>
            <w:rFonts w:cs="Calibri"/>
            <w:sz w:val="24"/>
            <w:szCs w:val="24"/>
          </w:rPr>
          <w:t>www.itu.int</w:t>
        </w:r>
        <w:proofErr w:type="spellEnd"/>
        <w:r w:rsidR="002051C3" w:rsidRPr="00333604">
          <w:rPr>
            <w:rStyle w:val="Hyperlink"/>
            <w:rFonts w:cs="Calibri"/>
            <w:sz w:val="24"/>
            <w:szCs w:val="24"/>
          </w:rPr>
          <w:t>/en/ITU-T/</w:t>
        </w:r>
        <w:proofErr w:type="spellStart"/>
        <w:r w:rsidR="002051C3" w:rsidRPr="00333604">
          <w:rPr>
            <w:rStyle w:val="Hyperlink"/>
            <w:rFonts w:cs="Calibri"/>
            <w:sz w:val="24"/>
            <w:szCs w:val="24"/>
          </w:rPr>
          <w:t>ipr</w:t>
        </w:r>
        <w:proofErr w:type="spellEnd"/>
        <w:r w:rsidR="002051C3" w:rsidRPr="00333604">
          <w:rPr>
            <w:rStyle w:val="Hyperlink"/>
            <w:rFonts w:cs="Calibri"/>
            <w:sz w:val="24"/>
            <w:szCs w:val="24"/>
          </w:rPr>
          <w:t>/</w:t>
        </w:r>
        <w:proofErr w:type="spellStart"/>
        <w:r w:rsidR="002051C3" w:rsidRPr="00333604">
          <w:rPr>
            <w:rStyle w:val="Hyperlink"/>
            <w:rFonts w:cs="Calibri"/>
            <w:sz w:val="24"/>
            <w:szCs w:val="24"/>
          </w:rPr>
          <w:t>Pages</w:t>
        </w:r>
        <w:proofErr w:type="spellEnd"/>
        <w:r w:rsidR="002051C3" w:rsidRPr="00333604">
          <w:rPr>
            <w:rStyle w:val="Hyperlink"/>
            <w:rFonts w:cs="Calibri"/>
            <w:sz w:val="24"/>
            <w:szCs w:val="24"/>
          </w:rPr>
          <w:t>/</w:t>
        </w:r>
        <w:proofErr w:type="spellStart"/>
        <w:r w:rsidR="002051C3" w:rsidRPr="00333604">
          <w:rPr>
            <w:rStyle w:val="Hyperlink"/>
            <w:rFonts w:cs="Calibri"/>
            <w:sz w:val="24"/>
            <w:szCs w:val="24"/>
          </w:rPr>
          <w:t>policy.aspx</w:t>
        </w:r>
        <w:proofErr w:type="spellEnd"/>
      </w:hyperlink>
      <w:r w:rsidRPr="00A15808">
        <w:rPr>
          <w:sz w:val="24"/>
          <w:szCs w:val="24"/>
        </w:rPr>
        <w:t>.</w:t>
      </w:r>
    </w:p>
    <w:p w:rsidR="007E0705" w:rsidRPr="00A15808" w:rsidRDefault="007E0705" w:rsidP="003C1FDD">
      <w:pPr>
        <w:spacing w:before="1560" w:line="240" w:lineRule="auto"/>
        <w:rPr>
          <w:sz w:val="24"/>
          <w:szCs w:val="24"/>
        </w:rPr>
      </w:pPr>
      <w:proofErr w:type="spellStart"/>
      <w:r w:rsidRPr="00A15808">
        <w:rPr>
          <w:sz w:val="24"/>
          <w:szCs w:val="24"/>
        </w:rPr>
        <w:t>Francois</w:t>
      </w:r>
      <w:proofErr w:type="spellEnd"/>
      <w:r w:rsidRPr="00A15808">
        <w:rPr>
          <w:sz w:val="24"/>
          <w:szCs w:val="24"/>
        </w:rPr>
        <w:t xml:space="preserve"> </w:t>
      </w:r>
      <w:proofErr w:type="spellStart"/>
      <w:r w:rsidRPr="00A15808">
        <w:rPr>
          <w:sz w:val="24"/>
          <w:szCs w:val="24"/>
        </w:rPr>
        <w:t>Rancy</w:t>
      </w:r>
      <w:proofErr w:type="spellEnd"/>
    </w:p>
    <w:p w:rsidR="007E0705" w:rsidRPr="0027656B" w:rsidRDefault="007E0705" w:rsidP="00A15808">
      <w:pPr>
        <w:spacing w:before="0" w:line="240" w:lineRule="auto"/>
      </w:pPr>
      <w:r w:rsidRPr="00A15808">
        <w:rPr>
          <w:sz w:val="24"/>
          <w:szCs w:val="24"/>
        </w:rPr>
        <w:t>Director</w:t>
      </w:r>
    </w:p>
    <w:p w:rsidR="007E0705" w:rsidRPr="00EB3990" w:rsidRDefault="007E0705" w:rsidP="00EB3990">
      <w:pPr>
        <w:tabs>
          <w:tab w:val="clear" w:pos="794"/>
          <w:tab w:val="clear" w:pos="1191"/>
          <w:tab w:val="clear" w:pos="1588"/>
          <w:tab w:val="left" w:pos="1701"/>
        </w:tabs>
        <w:spacing w:before="1680"/>
        <w:rPr>
          <w:sz w:val="24"/>
          <w:szCs w:val="24"/>
        </w:rPr>
      </w:pPr>
      <w:r w:rsidRPr="00EB3990">
        <w:rPr>
          <w:b/>
          <w:bCs/>
          <w:sz w:val="24"/>
          <w:szCs w:val="24"/>
        </w:rPr>
        <w:t>Anexo:</w:t>
      </w:r>
      <w:r w:rsidR="00786E9F" w:rsidRPr="00EB3990">
        <w:rPr>
          <w:sz w:val="24"/>
          <w:szCs w:val="24"/>
        </w:rPr>
        <w:tab/>
      </w:r>
      <w:r w:rsidRPr="00EB3990">
        <w:rPr>
          <w:sz w:val="24"/>
          <w:szCs w:val="24"/>
        </w:rPr>
        <w:t>Títulos y resúmenes de los proyectos de Recomendaciones</w:t>
      </w:r>
    </w:p>
    <w:p w:rsidR="007E0705" w:rsidRPr="00EB3990" w:rsidRDefault="007E0705" w:rsidP="00EB3990">
      <w:pPr>
        <w:tabs>
          <w:tab w:val="clear" w:pos="794"/>
          <w:tab w:val="clear" w:pos="1191"/>
          <w:tab w:val="clear" w:pos="1588"/>
          <w:tab w:val="left" w:pos="1701"/>
        </w:tabs>
        <w:spacing w:before="1200"/>
        <w:rPr>
          <w:sz w:val="24"/>
          <w:szCs w:val="24"/>
        </w:rPr>
      </w:pPr>
      <w:r w:rsidRPr="00EB3990">
        <w:rPr>
          <w:b/>
          <w:bCs/>
          <w:sz w:val="24"/>
          <w:szCs w:val="24"/>
        </w:rPr>
        <w:t>Documentos:</w:t>
      </w:r>
      <w:r w:rsidRPr="00EB3990">
        <w:rPr>
          <w:sz w:val="24"/>
          <w:szCs w:val="24"/>
        </w:rPr>
        <w:t xml:space="preserve"> </w:t>
      </w:r>
      <w:r w:rsidR="00D02720" w:rsidRPr="00EB3990">
        <w:rPr>
          <w:sz w:val="24"/>
          <w:szCs w:val="24"/>
        </w:rPr>
        <w:tab/>
      </w:r>
      <w:r w:rsidRPr="00EB3990">
        <w:rPr>
          <w:sz w:val="24"/>
          <w:szCs w:val="24"/>
        </w:rPr>
        <w:t xml:space="preserve">Documentos </w:t>
      </w:r>
      <w:r w:rsidR="00D02720" w:rsidRPr="00EB3990">
        <w:rPr>
          <w:sz w:val="24"/>
          <w:szCs w:val="24"/>
        </w:rPr>
        <w:t>4/7(</w:t>
      </w:r>
      <w:proofErr w:type="spellStart"/>
      <w:r w:rsidR="00D02720" w:rsidRPr="00EB3990">
        <w:rPr>
          <w:sz w:val="24"/>
          <w:szCs w:val="24"/>
        </w:rPr>
        <w:t>Rev.1</w:t>
      </w:r>
      <w:proofErr w:type="spellEnd"/>
      <w:r w:rsidR="00D02720" w:rsidRPr="00EB3990">
        <w:rPr>
          <w:sz w:val="24"/>
          <w:szCs w:val="24"/>
        </w:rPr>
        <w:t>) y</w:t>
      </w:r>
      <w:r w:rsidRPr="00EB3990">
        <w:rPr>
          <w:sz w:val="24"/>
          <w:szCs w:val="24"/>
        </w:rPr>
        <w:t xml:space="preserve"> </w:t>
      </w:r>
      <w:r w:rsidR="00D02720" w:rsidRPr="00EB3990">
        <w:rPr>
          <w:sz w:val="24"/>
          <w:szCs w:val="24"/>
        </w:rPr>
        <w:t>4/8(</w:t>
      </w:r>
      <w:proofErr w:type="spellStart"/>
      <w:r w:rsidR="00D02720" w:rsidRPr="00EB3990">
        <w:rPr>
          <w:sz w:val="24"/>
          <w:szCs w:val="24"/>
        </w:rPr>
        <w:t>Rev.1</w:t>
      </w:r>
      <w:proofErr w:type="spellEnd"/>
      <w:r w:rsidR="00D02720" w:rsidRPr="00EB3990">
        <w:rPr>
          <w:sz w:val="24"/>
          <w:szCs w:val="24"/>
        </w:rPr>
        <w:t>)</w:t>
      </w:r>
    </w:p>
    <w:p w:rsidR="007E0705" w:rsidRPr="00EB3990" w:rsidRDefault="007E0705" w:rsidP="00EB3990">
      <w:pPr>
        <w:jc w:val="left"/>
        <w:rPr>
          <w:sz w:val="24"/>
          <w:szCs w:val="24"/>
        </w:rPr>
      </w:pPr>
      <w:r w:rsidRPr="00EB3990">
        <w:rPr>
          <w:sz w:val="24"/>
          <w:szCs w:val="24"/>
        </w:rPr>
        <w:t>Estos documentos están disponibles en formato electrónico en la dirección:</w:t>
      </w:r>
      <w:r w:rsidR="00D02720" w:rsidRPr="00EB3990">
        <w:rPr>
          <w:sz w:val="24"/>
          <w:szCs w:val="24"/>
        </w:rPr>
        <w:t xml:space="preserve"> </w:t>
      </w:r>
      <w:r w:rsidR="00D02720" w:rsidRPr="00EB3990">
        <w:rPr>
          <w:sz w:val="24"/>
          <w:szCs w:val="24"/>
        </w:rPr>
        <w:br/>
      </w:r>
      <w:hyperlink r:id="rId9" w:history="1">
        <w:r w:rsidR="00D02720" w:rsidRPr="00EB3990">
          <w:rPr>
            <w:rStyle w:val="Hyperlink"/>
            <w:rFonts w:cs="Calibri"/>
            <w:sz w:val="24"/>
            <w:szCs w:val="24"/>
          </w:rPr>
          <w:t>http://</w:t>
        </w:r>
        <w:proofErr w:type="spellStart"/>
        <w:r w:rsidR="00D02720" w:rsidRPr="00EB3990">
          <w:rPr>
            <w:rStyle w:val="Hyperlink"/>
            <w:rFonts w:cs="Calibri"/>
            <w:sz w:val="24"/>
            <w:szCs w:val="24"/>
          </w:rPr>
          <w:t>www.itu.int</w:t>
        </w:r>
        <w:proofErr w:type="spellEnd"/>
        <w:r w:rsidR="00D02720" w:rsidRPr="00EB3990">
          <w:rPr>
            <w:rStyle w:val="Hyperlink"/>
            <w:rFonts w:cs="Calibri"/>
            <w:sz w:val="24"/>
            <w:szCs w:val="24"/>
          </w:rPr>
          <w:t>/md/</w:t>
        </w:r>
        <w:proofErr w:type="spellStart"/>
        <w:r w:rsidR="00D02720" w:rsidRPr="00EB3990">
          <w:rPr>
            <w:rStyle w:val="Hyperlink"/>
            <w:rFonts w:cs="Calibri"/>
            <w:sz w:val="24"/>
            <w:szCs w:val="24"/>
          </w:rPr>
          <w:t>R15</w:t>
        </w:r>
        <w:proofErr w:type="spellEnd"/>
        <w:r w:rsidR="00D02720" w:rsidRPr="00EB3990">
          <w:rPr>
            <w:rStyle w:val="Hyperlink"/>
            <w:rFonts w:cs="Calibri"/>
            <w:sz w:val="24"/>
            <w:szCs w:val="24"/>
          </w:rPr>
          <w:t>-</w:t>
        </w:r>
        <w:proofErr w:type="spellStart"/>
        <w:r w:rsidR="00D02720" w:rsidRPr="00EB3990">
          <w:rPr>
            <w:rStyle w:val="Hyperlink"/>
            <w:rFonts w:cs="Calibri"/>
            <w:sz w:val="24"/>
            <w:szCs w:val="24"/>
          </w:rPr>
          <w:t>SG04</w:t>
        </w:r>
        <w:proofErr w:type="spellEnd"/>
        <w:r w:rsidR="00D02720" w:rsidRPr="00EB3990">
          <w:rPr>
            <w:rStyle w:val="Hyperlink"/>
            <w:rFonts w:cs="Calibri"/>
            <w:sz w:val="24"/>
            <w:szCs w:val="24"/>
          </w:rPr>
          <w:t>-C/en</w:t>
        </w:r>
      </w:hyperlink>
      <w:r w:rsidR="00D02720" w:rsidRPr="00EB3990">
        <w:rPr>
          <w:sz w:val="24"/>
          <w:szCs w:val="24"/>
        </w:rPr>
        <w:t xml:space="preserve"> </w:t>
      </w:r>
    </w:p>
    <w:p w:rsidR="007E0705" w:rsidRPr="0027656B" w:rsidRDefault="007E0705" w:rsidP="00EB3990">
      <w:pPr>
        <w:tabs>
          <w:tab w:val="left" w:pos="284"/>
          <w:tab w:val="left" w:pos="568"/>
        </w:tabs>
        <w:spacing w:before="3960"/>
        <w:rPr>
          <w:b/>
          <w:bCs/>
          <w:sz w:val="18"/>
          <w:szCs w:val="18"/>
        </w:rPr>
      </w:pPr>
      <w:r w:rsidRPr="0027656B">
        <w:rPr>
          <w:b/>
          <w:bCs/>
          <w:sz w:val="18"/>
          <w:szCs w:val="18"/>
        </w:rPr>
        <w:t>Distribuci</w:t>
      </w:r>
      <w:bookmarkStart w:id="7" w:name="_GoBack"/>
      <w:bookmarkEnd w:id="7"/>
      <w:r w:rsidRPr="0027656B">
        <w:rPr>
          <w:b/>
          <w:bCs/>
          <w:sz w:val="18"/>
          <w:szCs w:val="18"/>
        </w:rPr>
        <w:t>ón:</w:t>
      </w:r>
    </w:p>
    <w:p w:rsidR="007E0705" w:rsidRPr="0027656B" w:rsidRDefault="007E0705" w:rsidP="00742602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27656B">
        <w:rPr>
          <w:sz w:val="18"/>
          <w:szCs w:val="18"/>
        </w:rPr>
        <w:t>–</w:t>
      </w:r>
      <w:r w:rsidRPr="0027656B">
        <w:rPr>
          <w:sz w:val="18"/>
          <w:szCs w:val="18"/>
        </w:rPr>
        <w:tab/>
        <w:t xml:space="preserve">Administraciones de los Estados Miembros del Sector de Radiocomunicaciones que participan en los trabajos de la Comisión de Estudio </w:t>
      </w:r>
      <w:r w:rsidR="00742602">
        <w:rPr>
          <w:sz w:val="18"/>
          <w:szCs w:val="18"/>
        </w:rPr>
        <w:t>4</w:t>
      </w:r>
      <w:r w:rsidRPr="0027656B">
        <w:rPr>
          <w:sz w:val="18"/>
          <w:szCs w:val="18"/>
        </w:rPr>
        <w:t xml:space="preserve"> de Radiocomunicaciones </w:t>
      </w:r>
    </w:p>
    <w:p w:rsidR="007E0705" w:rsidRPr="0027656B" w:rsidRDefault="007E0705" w:rsidP="0074260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27656B">
        <w:rPr>
          <w:sz w:val="18"/>
          <w:szCs w:val="18"/>
        </w:rPr>
        <w:t>–</w:t>
      </w:r>
      <w:r w:rsidRPr="0027656B">
        <w:rPr>
          <w:sz w:val="18"/>
          <w:szCs w:val="18"/>
        </w:rPr>
        <w:tab/>
        <w:t xml:space="preserve">Asociados del UIT-R que participan en los trabajos de la Comisión de Estudio </w:t>
      </w:r>
      <w:r w:rsidR="00742602">
        <w:rPr>
          <w:sz w:val="18"/>
          <w:szCs w:val="18"/>
        </w:rPr>
        <w:t>4</w:t>
      </w:r>
      <w:r w:rsidRPr="0027656B">
        <w:rPr>
          <w:sz w:val="18"/>
          <w:szCs w:val="18"/>
        </w:rPr>
        <w:t xml:space="preserve"> de Radiocomunicaciones </w:t>
      </w:r>
    </w:p>
    <w:p w:rsidR="007E0705" w:rsidRPr="0027656B" w:rsidRDefault="007E0705" w:rsidP="00400AF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27656B">
        <w:rPr>
          <w:sz w:val="18"/>
          <w:szCs w:val="18"/>
        </w:rPr>
        <w:t>–</w:t>
      </w:r>
      <w:r w:rsidRPr="0027656B">
        <w:rPr>
          <w:sz w:val="18"/>
          <w:szCs w:val="18"/>
        </w:rPr>
        <w:tab/>
        <w:t xml:space="preserve">Instituciones Académicas de la UIT </w:t>
      </w:r>
    </w:p>
    <w:p w:rsidR="007E0705" w:rsidRPr="0027656B" w:rsidRDefault="007E0705" w:rsidP="00742602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27656B">
        <w:rPr>
          <w:sz w:val="18"/>
          <w:szCs w:val="18"/>
        </w:rPr>
        <w:t>–</w:t>
      </w:r>
      <w:r w:rsidRPr="0027656B">
        <w:rPr>
          <w:sz w:val="18"/>
          <w:szCs w:val="18"/>
        </w:rPr>
        <w:tab/>
        <w:t xml:space="preserve">Presidente y Vicepresidentes de las Comisiones de Estudio de Radiocomunicaciones </w:t>
      </w:r>
    </w:p>
    <w:p w:rsidR="007E0705" w:rsidRPr="0027656B" w:rsidRDefault="007E0705" w:rsidP="00400AF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27656B">
        <w:rPr>
          <w:sz w:val="18"/>
          <w:szCs w:val="18"/>
        </w:rPr>
        <w:t>–</w:t>
      </w:r>
      <w:r w:rsidRPr="0027656B">
        <w:rPr>
          <w:sz w:val="18"/>
          <w:szCs w:val="18"/>
        </w:rPr>
        <w:tab/>
        <w:t xml:space="preserve">Presidente y Vicepresidentes de la Reunión Preparatoria de la Conferencia </w:t>
      </w:r>
    </w:p>
    <w:p w:rsidR="007E0705" w:rsidRPr="0027656B" w:rsidRDefault="007E0705" w:rsidP="00400AF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27656B">
        <w:rPr>
          <w:sz w:val="18"/>
          <w:szCs w:val="18"/>
        </w:rPr>
        <w:t>–</w:t>
      </w:r>
      <w:r w:rsidRPr="0027656B">
        <w:rPr>
          <w:sz w:val="18"/>
          <w:szCs w:val="18"/>
        </w:rPr>
        <w:tab/>
        <w:t xml:space="preserve">Miembros de la Junta del Reglamento de Radiocomunicaciones </w:t>
      </w:r>
    </w:p>
    <w:p w:rsidR="00742602" w:rsidRDefault="007E0705" w:rsidP="00400AF2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</w:rPr>
      </w:pPr>
      <w:r w:rsidRPr="0027656B">
        <w:rPr>
          <w:sz w:val="18"/>
          <w:szCs w:val="18"/>
        </w:rPr>
        <w:t>–</w:t>
      </w:r>
      <w:r w:rsidRPr="0027656B">
        <w:rPr>
          <w:sz w:val="18"/>
          <w:szCs w:val="18"/>
        </w:rPr>
        <w:tab/>
        <w:t>Secretario General de la UIT, Director de la Oficina de Normalización de las Telecomunicaciones, Director de la Oficina de Desarrollo</w:t>
      </w:r>
      <w:r w:rsidR="00400AF2" w:rsidRPr="0027656B">
        <w:rPr>
          <w:sz w:val="18"/>
          <w:szCs w:val="18"/>
        </w:rPr>
        <w:t xml:space="preserve"> de Telecomunicaciones</w:t>
      </w:r>
    </w:p>
    <w:p w:rsidR="00742602" w:rsidRDefault="007426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0673F" w:rsidRPr="00E42264" w:rsidRDefault="00A0673F" w:rsidP="00A0673F">
      <w:pPr>
        <w:pStyle w:val="AnnexNoTitle"/>
      </w:pPr>
      <w:r w:rsidRPr="00214B79">
        <w:rPr>
          <w:sz w:val="28"/>
          <w:szCs w:val="24"/>
          <w:lang w:val="es-ES"/>
        </w:rPr>
        <w:lastRenderedPageBreak/>
        <w:t xml:space="preserve">Anexo </w:t>
      </w:r>
      <w:r w:rsidRPr="00214B79">
        <w:rPr>
          <w:sz w:val="28"/>
          <w:szCs w:val="24"/>
          <w:lang w:val="es-ES"/>
        </w:rPr>
        <w:br/>
      </w:r>
      <w:r w:rsidRPr="00E42264">
        <w:rPr>
          <w:sz w:val="28"/>
          <w:szCs w:val="24"/>
        </w:rPr>
        <w:br/>
        <w:t xml:space="preserve">Títulos y resúmenes de los proyectos de Recomendación adoptados </w:t>
      </w:r>
      <w:r w:rsidRPr="00E42264">
        <w:rPr>
          <w:sz w:val="28"/>
          <w:szCs w:val="24"/>
        </w:rPr>
        <w:br/>
        <w:t>por la Comisión de Estudio 4 de Radiocomunicaciones</w:t>
      </w:r>
    </w:p>
    <w:p w:rsidR="00A0673F" w:rsidRPr="00F24AF3" w:rsidRDefault="00A0673F" w:rsidP="00A0673F">
      <w:pPr>
        <w:tabs>
          <w:tab w:val="right" w:pos="9639"/>
        </w:tabs>
        <w:spacing w:before="480"/>
        <w:rPr>
          <w:sz w:val="24"/>
          <w:szCs w:val="24"/>
        </w:rPr>
      </w:pPr>
      <w:r w:rsidRPr="00F24AF3">
        <w:rPr>
          <w:sz w:val="24"/>
          <w:szCs w:val="24"/>
          <w:u w:val="single"/>
        </w:rPr>
        <w:t>Proyecto de nueva Recomendación UIT-R BO</w:t>
      </w:r>
      <w:proofErr w:type="gramStart"/>
      <w:r w:rsidRPr="00F24AF3">
        <w:rPr>
          <w:sz w:val="24"/>
          <w:szCs w:val="24"/>
          <w:u w:val="single"/>
        </w:rPr>
        <w:t>.[</w:t>
      </w:r>
      <w:proofErr w:type="spellStart"/>
      <w:proofErr w:type="gramEnd"/>
      <w:r w:rsidRPr="00F24AF3">
        <w:rPr>
          <w:sz w:val="24"/>
          <w:szCs w:val="24"/>
          <w:u w:val="single"/>
        </w:rPr>
        <w:t>UHDTV_TRANSMISSION</w:t>
      </w:r>
      <w:proofErr w:type="spellEnd"/>
      <w:r w:rsidRPr="00F24AF3">
        <w:rPr>
          <w:sz w:val="24"/>
          <w:szCs w:val="24"/>
          <w:u w:val="single"/>
        </w:rPr>
        <w:t>]</w:t>
      </w:r>
      <w:r w:rsidRPr="00F24AF3">
        <w:rPr>
          <w:sz w:val="24"/>
          <w:szCs w:val="24"/>
        </w:rPr>
        <w:tab/>
      </w:r>
      <w:r w:rsidR="002F7508">
        <w:rPr>
          <w:sz w:val="24"/>
          <w:szCs w:val="24"/>
        </w:rPr>
        <w:t>Doc. 4/7</w:t>
      </w:r>
      <w:r w:rsidRPr="00F24AF3">
        <w:rPr>
          <w:sz w:val="24"/>
          <w:szCs w:val="24"/>
        </w:rPr>
        <w:t>(</w:t>
      </w:r>
      <w:proofErr w:type="spellStart"/>
      <w:r w:rsidRPr="00F24AF3">
        <w:rPr>
          <w:sz w:val="24"/>
          <w:szCs w:val="24"/>
        </w:rPr>
        <w:t>Rev.1</w:t>
      </w:r>
      <w:proofErr w:type="spellEnd"/>
      <w:r w:rsidRPr="00F24AF3">
        <w:rPr>
          <w:sz w:val="24"/>
          <w:szCs w:val="24"/>
        </w:rPr>
        <w:t>)</w:t>
      </w:r>
    </w:p>
    <w:p w:rsidR="00A0673F" w:rsidRPr="00E42264" w:rsidRDefault="00A0673F" w:rsidP="00A0673F">
      <w:pPr>
        <w:tabs>
          <w:tab w:val="left" w:pos="8080"/>
        </w:tabs>
        <w:spacing w:before="360"/>
        <w:jc w:val="center"/>
        <w:rPr>
          <w:b/>
          <w:sz w:val="28"/>
        </w:rPr>
      </w:pPr>
      <w:r w:rsidRPr="00E42264">
        <w:rPr>
          <w:b/>
          <w:sz w:val="28"/>
        </w:rPr>
        <w:t xml:space="preserve">Sistema de transmisión para la radiodifusión de </w:t>
      </w:r>
      <w:proofErr w:type="spellStart"/>
      <w:r w:rsidRPr="00E42264">
        <w:rPr>
          <w:b/>
          <w:sz w:val="28"/>
        </w:rPr>
        <w:t>TVUAD</w:t>
      </w:r>
      <w:proofErr w:type="spellEnd"/>
      <w:r w:rsidRPr="00E42264">
        <w:rPr>
          <w:b/>
          <w:sz w:val="28"/>
        </w:rPr>
        <w:t xml:space="preserve"> por satélite</w:t>
      </w:r>
    </w:p>
    <w:p w:rsidR="00A0673F" w:rsidRPr="00F24AF3" w:rsidRDefault="00A0673F" w:rsidP="00A0673F">
      <w:pPr>
        <w:pStyle w:val="Normalaftertitle"/>
        <w:rPr>
          <w:sz w:val="24"/>
          <w:szCs w:val="24"/>
        </w:rPr>
      </w:pPr>
      <w:r w:rsidRPr="00F24AF3">
        <w:rPr>
          <w:sz w:val="24"/>
          <w:szCs w:val="24"/>
        </w:rPr>
        <w:t xml:space="preserve">La radiodifusión de </w:t>
      </w:r>
      <w:proofErr w:type="spellStart"/>
      <w:r w:rsidRPr="00F24AF3">
        <w:rPr>
          <w:sz w:val="24"/>
          <w:szCs w:val="24"/>
        </w:rPr>
        <w:t>TVUAD</w:t>
      </w:r>
      <w:proofErr w:type="spellEnd"/>
      <w:r w:rsidRPr="00F24AF3">
        <w:rPr>
          <w:sz w:val="24"/>
          <w:szCs w:val="24"/>
        </w:rPr>
        <w:t xml:space="preserve"> requiere una capacidad de transmisión que rebasa la de la radiodifusión de </w:t>
      </w:r>
      <w:proofErr w:type="spellStart"/>
      <w:r w:rsidRPr="00F24AF3">
        <w:rPr>
          <w:sz w:val="24"/>
          <w:szCs w:val="24"/>
        </w:rPr>
        <w:t>TVAD</w:t>
      </w:r>
      <w:proofErr w:type="spellEnd"/>
      <w:r w:rsidRPr="00F24AF3">
        <w:rPr>
          <w:sz w:val="24"/>
          <w:szCs w:val="24"/>
        </w:rPr>
        <w:t xml:space="preserve"> convencional. En esta Recomendación se define un sistema de transmisión para la radiodifusión de </w:t>
      </w:r>
      <w:proofErr w:type="spellStart"/>
      <w:r w:rsidRPr="00F24AF3">
        <w:rPr>
          <w:sz w:val="24"/>
          <w:szCs w:val="24"/>
        </w:rPr>
        <w:t>TVUAD</w:t>
      </w:r>
      <w:proofErr w:type="spellEnd"/>
      <w:r w:rsidRPr="00F24AF3">
        <w:rPr>
          <w:sz w:val="24"/>
          <w:szCs w:val="24"/>
        </w:rPr>
        <w:t xml:space="preserve"> por satélite.</w:t>
      </w:r>
    </w:p>
    <w:p w:rsidR="00A0673F" w:rsidRPr="00F24AF3" w:rsidRDefault="00A0673F" w:rsidP="00A0673F">
      <w:pPr>
        <w:tabs>
          <w:tab w:val="right" w:pos="9639"/>
        </w:tabs>
        <w:spacing w:before="480"/>
        <w:rPr>
          <w:sz w:val="24"/>
          <w:szCs w:val="24"/>
        </w:rPr>
      </w:pPr>
      <w:r w:rsidRPr="00F24AF3">
        <w:rPr>
          <w:sz w:val="24"/>
          <w:szCs w:val="24"/>
          <w:u w:val="single"/>
        </w:rPr>
        <w:t xml:space="preserve">Proyecto de revisión de la Recomendación UIT-R </w:t>
      </w:r>
      <w:proofErr w:type="spellStart"/>
      <w:r w:rsidRPr="00F24AF3">
        <w:rPr>
          <w:sz w:val="24"/>
          <w:szCs w:val="24"/>
          <w:u w:val="single"/>
        </w:rPr>
        <w:t>BO.1784</w:t>
      </w:r>
      <w:proofErr w:type="spellEnd"/>
      <w:r w:rsidRPr="00F24AF3">
        <w:rPr>
          <w:sz w:val="24"/>
          <w:szCs w:val="24"/>
        </w:rPr>
        <w:tab/>
      </w:r>
      <w:r w:rsidR="002F7508">
        <w:rPr>
          <w:sz w:val="24"/>
          <w:szCs w:val="24"/>
        </w:rPr>
        <w:t>Doc. 4/8</w:t>
      </w:r>
      <w:r w:rsidRPr="00F24AF3">
        <w:rPr>
          <w:sz w:val="24"/>
          <w:szCs w:val="24"/>
        </w:rPr>
        <w:t>(</w:t>
      </w:r>
      <w:proofErr w:type="spellStart"/>
      <w:r w:rsidRPr="00F24AF3">
        <w:rPr>
          <w:sz w:val="24"/>
          <w:szCs w:val="24"/>
        </w:rPr>
        <w:t>Rev.1</w:t>
      </w:r>
      <w:proofErr w:type="spellEnd"/>
      <w:r w:rsidRPr="00F24AF3">
        <w:rPr>
          <w:sz w:val="24"/>
          <w:szCs w:val="24"/>
        </w:rPr>
        <w:t>)</w:t>
      </w:r>
    </w:p>
    <w:p w:rsidR="00A0673F" w:rsidRPr="00E42264" w:rsidRDefault="00A0673F" w:rsidP="00A0673F">
      <w:pPr>
        <w:tabs>
          <w:tab w:val="left" w:pos="8080"/>
        </w:tabs>
        <w:spacing w:before="360"/>
        <w:jc w:val="center"/>
        <w:rPr>
          <w:b/>
          <w:sz w:val="28"/>
        </w:rPr>
      </w:pPr>
      <w:r w:rsidRPr="00E42264">
        <w:rPr>
          <w:b/>
          <w:sz w:val="28"/>
        </w:rPr>
        <w:t xml:space="preserve">Sistema de radiodifusión digital por satélite (televisión, sonido, datos) </w:t>
      </w:r>
      <w:r w:rsidRPr="00E42264">
        <w:rPr>
          <w:b/>
          <w:sz w:val="28"/>
        </w:rPr>
        <w:br/>
        <w:t>con configuración flexible</w:t>
      </w:r>
    </w:p>
    <w:p w:rsidR="00A0673F" w:rsidRPr="00F24AF3" w:rsidRDefault="00A0673F" w:rsidP="00A0673F">
      <w:pPr>
        <w:rPr>
          <w:sz w:val="24"/>
          <w:szCs w:val="24"/>
          <w:lang w:val="es-ES"/>
        </w:rPr>
      </w:pPr>
      <w:r w:rsidRPr="00F24AF3">
        <w:rPr>
          <w:sz w:val="24"/>
          <w:szCs w:val="24"/>
        </w:rPr>
        <w:t xml:space="preserve">El objeto de esta revisión es añadir las especificaciones de </w:t>
      </w:r>
      <w:proofErr w:type="spellStart"/>
      <w:r w:rsidRPr="00F24AF3">
        <w:rPr>
          <w:sz w:val="24"/>
          <w:szCs w:val="24"/>
        </w:rPr>
        <w:t>DVB-S2X</w:t>
      </w:r>
      <w:proofErr w:type="spellEnd"/>
      <w:r w:rsidRPr="00F24AF3">
        <w:rPr>
          <w:sz w:val="24"/>
          <w:szCs w:val="24"/>
        </w:rPr>
        <w:t xml:space="preserve">. </w:t>
      </w:r>
      <w:proofErr w:type="spellStart"/>
      <w:r w:rsidRPr="00F24AF3">
        <w:rPr>
          <w:sz w:val="24"/>
          <w:szCs w:val="24"/>
        </w:rPr>
        <w:t>DVB-S2X</w:t>
      </w:r>
      <w:proofErr w:type="spellEnd"/>
      <w:r w:rsidRPr="00F24AF3">
        <w:rPr>
          <w:sz w:val="24"/>
          <w:szCs w:val="24"/>
        </w:rPr>
        <w:t xml:space="preserve"> es una extensión de la especificación </w:t>
      </w:r>
      <w:proofErr w:type="spellStart"/>
      <w:r w:rsidRPr="00F24AF3">
        <w:rPr>
          <w:sz w:val="24"/>
          <w:szCs w:val="24"/>
        </w:rPr>
        <w:t>DVB-S2</w:t>
      </w:r>
      <w:proofErr w:type="spellEnd"/>
      <w:r w:rsidRPr="00F24AF3">
        <w:rPr>
          <w:sz w:val="24"/>
          <w:szCs w:val="24"/>
        </w:rPr>
        <w:t xml:space="preserve">, tal y como se describe en la Recomendación UIT-R </w:t>
      </w:r>
      <w:proofErr w:type="spellStart"/>
      <w:r w:rsidRPr="00F24AF3">
        <w:rPr>
          <w:sz w:val="24"/>
          <w:szCs w:val="24"/>
        </w:rPr>
        <w:t>BO.1784</w:t>
      </w:r>
      <w:proofErr w:type="spellEnd"/>
      <w:r w:rsidRPr="00F24AF3">
        <w:rPr>
          <w:sz w:val="24"/>
          <w:szCs w:val="24"/>
        </w:rPr>
        <w:t>, para aplicaciones de banda ancha por satélite, y ofrece tecnologías</w:t>
      </w:r>
      <w:r w:rsidRPr="00F24AF3">
        <w:rPr>
          <w:sz w:val="24"/>
          <w:szCs w:val="24"/>
          <w:lang w:val="es-ES"/>
        </w:rPr>
        <w:t xml:space="preserve"> y características adicionales.</w:t>
      </w:r>
    </w:p>
    <w:p w:rsidR="00A0673F" w:rsidRPr="00F24AF3" w:rsidRDefault="00A0673F" w:rsidP="00A0673F">
      <w:pPr>
        <w:pStyle w:val="Normalaftertitle"/>
        <w:rPr>
          <w:sz w:val="24"/>
          <w:szCs w:val="24"/>
        </w:rPr>
      </w:pPr>
    </w:p>
    <w:p w:rsidR="00A0673F" w:rsidRDefault="00A0673F" w:rsidP="0032202E">
      <w:pPr>
        <w:pStyle w:val="Reasons"/>
      </w:pPr>
    </w:p>
    <w:p w:rsidR="00A0673F" w:rsidRPr="00A0673F" w:rsidRDefault="00A0673F" w:rsidP="00A0673F">
      <w:pPr>
        <w:jc w:val="center"/>
      </w:pPr>
      <w:r>
        <w:t>______________</w:t>
      </w:r>
    </w:p>
    <w:sectPr w:rsidR="00A0673F" w:rsidRPr="00A0673F" w:rsidSect="00235A29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05" w:rsidRDefault="007E0705">
      <w:r>
        <w:separator/>
      </w:r>
    </w:p>
  </w:endnote>
  <w:endnote w:type="continuationSeparator" w:id="0">
    <w:p w:rsidR="007E0705" w:rsidRDefault="007E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BA" w:rsidRPr="00836C8A" w:rsidRDefault="00350BBA" w:rsidP="00350BB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</w:rPr>
      <w:t>Nations</w:t>
    </w:r>
    <w:proofErr w:type="spellEnd"/>
    <w:r w:rsidRPr="00836C8A">
      <w:rPr>
        <w:color w:val="3E8EDE"/>
        <w:sz w:val="18"/>
        <w:szCs w:val="18"/>
      </w:rPr>
      <w:t xml:space="preserve">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>Tel</w:t>
    </w:r>
    <w:r w:rsidR="003E0466">
      <w:rPr>
        <w:color w:val="3E8EDE"/>
        <w:sz w:val="18"/>
        <w:szCs w:val="18"/>
      </w:rPr>
      <w:t>.</w:t>
    </w:r>
    <w:r w:rsidRPr="00836C8A">
      <w:rPr>
        <w:color w:val="3E8EDE"/>
        <w:sz w:val="18"/>
        <w:szCs w:val="18"/>
      </w:rPr>
      <w:t xml:space="preserve">: +41 22 730 5111 • Fax: +41 22 733 7256 • </w:t>
    </w:r>
  </w:p>
  <w:p w:rsidR="00350BBA" w:rsidRPr="00A05567" w:rsidRDefault="00350BBA" w:rsidP="000E5E18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836C8A">
      <w:rPr>
        <w:color w:val="3E8EDE"/>
        <w:sz w:val="18"/>
        <w:szCs w:val="18"/>
      </w:rPr>
      <w:t xml:space="preserve">Correo-e: </w:t>
    </w:r>
    <w:hyperlink r:id="rId1" w:history="1">
      <w:r w:rsidR="000E5E18">
        <w:rPr>
          <w:rStyle w:val="Hyperlink"/>
          <w:color w:val="3E8EDE"/>
          <w:sz w:val="18"/>
          <w:szCs w:val="18"/>
        </w:rPr>
        <w:t>itumail@itu.int</w:t>
      </w:r>
    </w:hyperlink>
    <w:r w:rsidR="000E5E18">
      <w:rPr>
        <w:color w:val="3E8EDE"/>
        <w:sz w:val="18"/>
        <w:szCs w:val="18"/>
      </w:rPr>
      <w:t xml:space="preserve"> • </w:t>
    </w:r>
    <w:hyperlink r:id="rId2" w:history="1">
      <w:r w:rsidR="000E5E18">
        <w:rPr>
          <w:rStyle w:val="Hyperlink"/>
          <w:color w:val="3E8EDE"/>
          <w:sz w:val="18"/>
          <w:szCs w:val="18"/>
        </w:rPr>
        <w:t>www.itu.int</w:t>
      </w:r>
    </w:hyperlink>
    <w:r w:rsidR="000E5E18">
      <w:rPr>
        <w:color w:val="3E8EDE"/>
        <w:sz w:val="18"/>
        <w:szCs w:val="18"/>
      </w:rPr>
      <w:t xml:space="preserve"> • </w:t>
    </w:r>
    <w:hyperlink r:id="rId3" w:history="1">
      <w:r w:rsidR="000E5E18"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05" w:rsidRDefault="007E0705">
      <w:r>
        <w:t>____________________</w:t>
      </w:r>
    </w:p>
  </w:footnote>
  <w:footnote w:type="continuationSeparator" w:id="0">
    <w:p w:rsidR="007E0705" w:rsidRDefault="007E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3E0466" w:rsidRDefault="00D15CFA" w:rsidP="003E0466">
    <w:pPr>
      <w:pStyle w:val="Header"/>
      <w:jc w:val="center"/>
      <w:rPr>
        <w:sz w:val="18"/>
        <w:szCs w:val="18"/>
      </w:rPr>
    </w:pPr>
    <w:r w:rsidRPr="003E0466">
      <w:rPr>
        <w:sz w:val="18"/>
        <w:szCs w:val="18"/>
      </w:rPr>
      <w:t xml:space="preserve">- </w:t>
    </w:r>
    <w:r w:rsidR="00026CF8" w:rsidRPr="003E0466">
      <w:rPr>
        <w:rStyle w:val="PageNumber"/>
        <w:rFonts w:cs="Calibri"/>
        <w:sz w:val="18"/>
        <w:szCs w:val="18"/>
      </w:rPr>
      <w:fldChar w:fldCharType="begin"/>
    </w:r>
    <w:r w:rsidR="00026CF8" w:rsidRPr="003E0466">
      <w:rPr>
        <w:rStyle w:val="PageNumber"/>
        <w:rFonts w:cs="Calibri"/>
        <w:sz w:val="18"/>
        <w:szCs w:val="18"/>
      </w:rPr>
      <w:instrText xml:space="preserve"> PAGE </w:instrText>
    </w:r>
    <w:r w:rsidR="00026CF8" w:rsidRPr="003E0466">
      <w:rPr>
        <w:rStyle w:val="PageNumber"/>
        <w:rFonts w:cs="Calibri"/>
        <w:sz w:val="18"/>
        <w:szCs w:val="18"/>
      </w:rPr>
      <w:fldChar w:fldCharType="separate"/>
    </w:r>
    <w:r w:rsidR="003C1FDD">
      <w:rPr>
        <w:rStyle w:val="PageNumber"/>
        <w:rFonts w:cs="Calibri"/>
        <w:noProof/>
        <w:sz w:val="18"/>
        <w:szCs w:val="18"/>
      </w:rPr>
      <w:t>2</w:t>
    </w:r>
    <w:r w:rsidR="00026CF8" w:rsidRPr="003E0466">
      <w:rPr>
        <w:rStyle w:val="PageNumber"/>
        <w:rFonts w:cs="Calibri"/>
        <w:sz w:val="18"/>
        <w:szCs w:val="18"/>
      </w:rPr>
      <w:fldChar w:fldCharType="end"/>
    </w:r>
    <w:r w:rsidRPr="003E0466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52" w:rsidRPr="00742602" w:rsidRDefault="00F31C52" w:rsidP="00742602">
    <w:pPr>
      <w:pStyle w:val="Header"/>
      <w:jc w:val="center"/>
      <w:rPr>
        <w:sz w:val="18"/>
        <w:szCs w:val="18"/>
      </w:rPr>
    </w:pPr>
    <w:r w:rsidRPr="00742602">
      <w:rPr>
        <w:sz w:val="18"/>
        <w:szCs w:val="18"/>
      </w:rPr>
      <w:t xml:space="preserve">- </w:t>
    </w:r>
    <w:r w:rsidRPr="00742602">
      <w:rPr>
        <w:rStyle w:val="PageNumber"/>
        <w:rFonts w:cs="Calibri"/>
        <w:sz w:val="18"/>
        <w:szCs w:val="18"/>
      </w:rPr>
      <w:fldChar w:fldCharType="begin"/>
    </w:r>
    <w:r w:rsidRPr="00742602">
      <w:rPr>
        <w:rStyle w:val="PageNumber"/>
        <w:rFonts w:cs="Calibri"/>
        <w:sz w:val="18"/>
        <w:szCs w:val="18"/>
      </w:rPr>
      <w:instrText xml:space="preserve"> PAGE </w:instrText>
    </w:r>
    <w:r w:rsidRPr="00742602">
      <w:rPr>
        <w:rStyle w:val="PageNumber"/>
        <w:rFonts w:cs="Calibri"/>
        <w:sz w:val="18"/>
        <w:szCs w:val="18"/>
      </w:rPr>
      <w:fldChar w:fldCharType="separate"/>
    </w:r>
    <w:r w:rsidR="003C1FDD">
      <w:rPr>
        <w:rStyle w:val="PageNumber"/>
        <w:rFonts w:cs="Calibri"/>
        <w:noProof/>
        <w:sz w:val="18"/>
        <w:szCs w:val="18"/>
      </w:rPr>
      <w:t>3</w:t>
    </w:r>
    <w:r w:rsidRPr="00742602">
      <w:rPr>
        <w:rStyle w:val="PageNumber"/>
        <w:rFonts w:cs="Calibri"/>
        <w:sz w:val="18"/>
        <w:szCs w:val="18"/>
      </w:rPr>
      <w:fldChar w:fldCharType="end"/>
    </w:r>
    <w:r w:rsidRPr="00742602">
      <w:rPr>
        <w:rStyle w:val="PageNumber"/>
        <w:rFonts w:cs="Calibri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350BBA" w:rsidRPr="007B275E" w:rsidTr="00350BBA">
      <w:tc>
        <w:tcPr>
          <w:tcW w:w="5031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</w:pPr>
          <w:r w:rsidRPr="007B275E">
            <w:rPr>
              <w:b/>
              <w:bCs/>
              <w:noProof/>
              <w:lang w:val="en-US" w:eastAsia="zh-CN"/>
            </w:rPr>
            <w:drawing>
              <wp:inline distT="0" distB="0" distL="0" distR="0" wp14:anchorId="3C05C71E" wp14:editId="44B4A84F">
                <wp:extent cx="579396" cy="65722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</w:pPr>
          <w:r w:rsidRPr="007B275E">
            <w:rPr>
              <w:rFonts w:cs="Arial"/>
              <w:noProof/>
              <w:lang w:val="en-US" w:eastAsia="zh-CN"/>
            </w:rPr>
            <w:drawing>
              <wp:inline distT="0" distB="0" distL="0" distR="0" wp14:anchorId="61A9B371" wp14:editId="4655E099">
                <wp:extent cx="1017905" cy="925067"/>
                <wp:effectExtent l="0" t="0" r="0" b="8890"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0BBA" w:rsidRPr="00A05567" w:rsidRDefault="00350BBA" w:rsidP="00350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E0705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0E5E18"/>
    <w:rsid w:val="00103C76"/>
    <w:rsid w:val="00105660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051C3"/>
    <w:rsid w:val="0021334D"/>
    <w:rsid w:val="002240B2"/>
    <w:rsid w:val="00235A29"/>
    <w:rsid w:val="0027656B"/>
    <w:rsid w:val="002861E6"/>
    <w:rsid w:val="002A2700"/>
    <w:rsid w:val="002D3428"/>
    <w:rsid w:val="002D365B"/>
    <w:rsid w:val="002D6688"/>
    <w:rsid w:val="002F0890"/>
    <w:rsid w:val="002F7508"/>
    <w:rsid w:val="003370B8"/>
    <w:rsid w:val="00337394"/>
    <w:rsid w:val="00350BBA"/>
    <w:rsid w:val="003519FA"/>
    <w:rsid w:val="003666FF"/>
    <w:rsid w:val="003741EE"/>
    <w:rsid w:val="003B2BDA"/>
    <w:rsid w:val="003B55EC"/>
    <w:rsid w:val="003C1FDD"/>
    <w:rsid w:val="003C4471"/>
    <w:rsid w:val="003E0466"/>
    <w:rsid w:val="003E504F"/>
    <w:rsid w:val="00400AF2"/>
    <w:rsid w:val="00405EAD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5B3B14"/>
    <w:rsid w:val="005D4A93"/>
    <w:rsid w:val="00602D53"/>
    <w:rsid w:val="00621E6C"/>
    <w:rsid w:val="00631F5F"/>
    <w:rsid w:val="00651777"/>
    <w:rsid w:val="0067458B"/>
    <w:rsid w:val="00674F4F"/>
    <w:rsid w:val="006B0590"/>
    <w:rsid w:val="006B49DA"/>
    <w:rsid w:val="006C18EB"/>
    <w:rsid w:val="00700636"/>
    <w:rsid w:val="00707216"/>
    <w:rsid w:val="007234B1"/>
    <w:rsid w:val="00730B9A"/>
    <w:rsid w:val="00742602"/>
    <w:rsid w:val="00783681"/>
    <w:rsid w:val="00786E9F"/>
    <w:rsid w:val="007921A7"/>
    <w:rsid w:val="007A5C27"/>
    <w:rsid w:val="007B3DB1"/>
    <w:rsid w:val="007D183E"/>
    <w:rsid w:val="007E0705"/>
    <w:rsid w:val="007E304D"/>
    <w:rsid w:val="007E3F13"/>
    <w:rsid w:val="007E480E"/>
    <w:rsid w:val="00800012"/>
    <w:rsid w:val="0081513E"/>
    <w:rsid w:val="00823210"/>
    <w:rsid w:val="00843445"/>
    <w:rsid w:val="00847D46"/>
    <w:rsid w:val="00854131"/>
    <w:rsid w:val="0085652D"/>
    <w:rsid w:val="0087694B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95AEB"/>
    <w:rsid w:val="009A6BB6"/>
    <w:rsid w:val="009B3F43"/>
    <w:rsid w:val="009C161F"/>
    <w:rsid w:val="009E4AEC"/>
    <w:rsid w:val="009E5BD8"/>
    <w:rsid w:val="009E681E"/>
    <w:rsid w:val="00A0673F"/>
    <w:rsid w:val="00A15808"/>
    <w:rsid w:val="00A34D6F"/>
    <w:rsid w:val="00A41F91"/>
    <w:rsid w:val="00A9168B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1794"/>
    <w:rsid w:val="00BE6574"/>
    <w:rsid w:val="00C57E2C"/>
    <w:rsid w:val="00C608B7"/>
    <w:rsid w:val="00C66F24"/>
    <w:rsid w:val="00C764BA"/>
    <w:rsid w:val="00C9291E"/>
    <w:rsid w:val="00CA3F44"/>
    <w:rsid w:val="00CA4E58"/>
    <w:rsid w:val="00CB3771"/>
    <w:rsid w:val="00CB5153"/>
    <w:rsid w:val="00CC0DA0"/>
    <w:rsid w:val="00CF6752"/>
    <w:rsid w:val="00D02720"/>
    <w:rsid w:val="00D10BA0"/>
    <w:rsid w:val="00D15CFA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B3A18"/>
    <w:rsid w:val="00DC003B"/>
    <w:rsid w:val="00DE66A5"/>
    <w:rsid w:val="00DF2B50"/>
    <w:rsid w:val="00E003F5"/>
    <w:rsid w:val="00E04C86"/>
    <w:rsid w:val="00E15EA6"/>
    <w:rsid w:val="00E20F30"/>
    <w:rsid w:val="00E27BBA"/>
    <w:rsid w:val="00E34CD1"/>
    <w:rsid w:val="00E35E8F"/>
    <w:rsid w:val="00E438E8"/>
    <w:rsid w:val="00E520E2"/>
    <w:rsid w:val="00E64254"/>
    <w:rsid w:val="00E7474D"/>
    <w:rsid w:val="00EA15B3"/>
    <w:rsid w:val="00EB2358"/>
    <w:rsid w:val="00EB3990"/>
    <w:rsid w:val="00EB3EB8"/>
    <w:rsid w:val="00F24AF3"/>
    <w:rsid w:val="00F31C52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  <w15:docId w15:val="{0D5415CF-5AC5-47AF-BEE2-86D8092B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7E07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abletextChar">
    <w:name w:val="Table_text Char"/>
    <w:link w:val="Tabletext"/>
    <w:uiPriority w:val="99"/>
    <w:locked/>
    <w:rsid w:val="007E0705"/>
    <w:rPr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7E0705"/>
    <w:rPr>
      <w:b/>
      <w:szCs w:val="22"/>
      <w:lang w:val="es-ES_tradnl" w:eastAsia="en-US"/>
    </w:rPr>
  </w:style>
  <w:style w:type="paragraph" w:customStyle="1" w:styleId="Reasons">
    <w:name w:val="Reasons"/>
    <w:basedOn w:val="Normal"/>
    <w:qFormat/>
    <w:rsid w:val="007E07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pub/R-RE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5-SG04-C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18</TotalTime>
  <Pages>3</Pages>
  <Words>576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I .T. U.</cp:lastModifiedBy>
  <cp:revision>17</cp:revision>
  <cp:lastPrinted>2010-01-19T09:33:00Z</cp:lastPrinted>
  <dcterms:created xsi:type="dcterms:W3CDTF">2016-10-17T06:31:00Z</dcterms:created>
  <dcterms:modified xsi:type="dcterms:W3CDTF">2016-10-18T08:27:00Z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