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Pr="006F38C7" w:rsidRDefault="00E53DCE" w:rsidP="006F38C7">
            <w:pPr>
              <w:spacing w:before="0" w:line="240" w:lineRule="auto"/>
              <w:jc w:val="left"/>
              <w:rPr>
                <w:rFonts w:cstheme="minorHAnsi"/>
                <w:b/>
                <w:bCs/>
                <w:color w:val="808080"/>
                <w:sz w:val="22"/>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F55652"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52448D">
            <w:pPr>
              <w:spacing w:before="0"/>
              <w:jc w:val="left"/>
              <w:rPr>
                <w:b/>
                <w:bCs/>
                <w:sz w:val="28"/>
                <w:szCs w:val="28"/>
                <w:lang w:val="fr-CH"/>
              </w:rPr>
            </w:pPr>
            <w:proofErr w:type="spellStart"/>
            <w:r w:rsidRPr="00773F7E">
              <w:rPr>
                <w:b/>
                <w:bCs/>
                <w:szCs w:val="24"/>
                <w:lang w:val="fr-CH"/>
              </w:rPr>
              <w:t>CA</w:t>
            </w:r>
            <w:r w:rsidR="00F55652">
              <w:rPr>
                <w:b/>
                <w:bCs/>
                <w:szCs w:val="24"/>
                <w:lang w:val="fr-CH"/>
              </w:rPr>
              <w:t>CE</w:t>
            </w:r>
            <w:proofErr w:type="spellEnd"/>
            <w:r w:rsidRPr="00773F7E">
              <w:rPr>
                <w:b/>
                <w:bCs/>
                <w:szCs w:val="24"/>
                <w:lang w:val="fr-CH"/>
              </w:rPr>
              <w:t>/</w:t>
            </w:r>
            <w:r w:rsidR="0052448D">
              <w:rPr>
                <w:b/>
                <w:bCs/>
                <w:szCs w:val="24"/>
                <w:lang w:val="fr-CH"/>
              </w:rPr>
              <w:t>781</w:t>
            </w:r>
          </w:p>
        </w:tc>
        <w:tc>
          <w:tcPr>
            <w:tcW w:w="2835" w:type="dxa"/>
            <w:shd w:val="clear" w:color="auto" w:fill="auto"/>
          </w:tcPr>
          <w:p w:rsidR="00E53DCE" w:rsidRPr="00F55652" w:rsidRDefault="00F55652" w:rsidP="0066580D">
            <w:pPr>
              <w:spacing w:before="0"/>
              <w:jc w:val="right"/>
              <w:rPr>
                <w:sz w:val="28"/>
                <w:szCs w:val="28"/>
                <w:lang w:val="fr-CH"/>
              </w:rPr>
            </w:pPr>
            <w:r w:rsidRPr="00F55652">
              <w:rPr>
                <w:szCs w:val="24"/>
                <w:lang w:val="fr-CH"/>
              </w:rPr>
              <w:t>L</w:t>
            </w:r>
            <w:r w:rsidR="00E53DCE" w:rsidRPr="00F55652">
              <w:rPr>
                <w:szCs w:val="24"/>
                <w:lang w:val="fr-CH"/>
              </w:rPr>
              <w:t xml:space="preserve">e </w:t>
            </w:r>
            <w:sdt>
              <w:sdtPr>
                <w:rPr>
                  <w:rFonts w:cs="Arial"/>
                  <w:szCs w:val="24"/>
                  <w:lang w:val="fr-CH"/>
                </w:rPr>
                <w:alias w:val="Date"/>
                <w:tag w:val="Date"/>
                <w:id w:val="444659277"/>
                <w:placeholder>
                  <w:docPart w:val="CBFF88FF3F5E43DA8AB7D8A295CDC0F3"/>
                </w:placeholder>
                <w:date>
                  <w:dateFormat w:val="d MMMM yyyy"/>
                  <w:lid w:val="fr-FR"/>
                  <w:storeMappedDataAs w:val="date"/>
                  <w:calendar w:val="gregorian"/>
                </w:date>
              </w:sdtPr>
              <w:sdtEndPr/>
              <w:sdtContent>
                <w:r w:rsidR="0052448D">
                  <w:rPr>
                    <w:rFonts w:cs="Arial"/>
                    <w:szCs w:val="24"/>
                    <w:lang w:val="fr-FR"/>
                  </w:rPr>
                  <w:t>2</w:t>
                </w:r>
                <w:r w:rsidR="0066580D">
                  <w:rPr>
                    <w:rFonts w:cs="Arial"/>
                    <w:szCs w:val="24"/>
                    <w:lang w:val="fr-FR"/>
                  </w:rPr>
                  <w:t>9</w:t>
                </w:r>
                <w:r w:rsidR="0052448D">
                  <w:rPr>
                    <w:rFonts w:cs="Arial"/>
                    <w:szCs w:val="24"/>
                    <w:lang w:val="fr-FR"/>
                  </w:rPr>
                  <w:t xml:space="preserve"> août 2016</w:t>
                </w:r>
              </w:sdtContent>
            </w:sdt>
          </w:p>
        </w:tc>
      </w:tr>
      <w:tr w:rsidR="00E53DCE" w:rsidRPr="00F55652" w:rsidTr="004228FA">
        <w:trPr>
          <w:jc w:val="center"/>
        </w:trPr>
        <w:tc>
          <w:tcPr>
            <w:tcW w:w="9889" w:type="dxa"/>
            <w:gridSpan w:val="3"/>
            <w:shd w:val="clear" w:color="auto" w:fill="auto"/>
          </w:tcPr>
          <w:p w:rsidR="00E53DCE" w:rsidRPr="00F55652" w:rsidRDefault="00E53DCE" w:rsidP="006160CB">
            <w:pPr>
              <w:spacing w:before="0"/>
              <w:jc w:val="left"/>
              <w:rPr>
                <w:rFonts w:cs="Arial"/>
                <w:szCs w:val="24"/>
                <w:lang w:val="fr-CH"/>
              </w:rPr>
            </w:pPr>
          </w:p>
        </w:tc>
      </w:tr>
      <w:tr w:rsidR="00E53DCE" w:rsidRPr="00F55652" w:rsidTr="004228FA">
        <w:trPr>
          <w:jc w:val="center"/>
        </w:trPr>
        <w:tc>
          <w:tcPr>
            <w:tcW w:w="9889" w:type="dxa"/>
            <w:gridSpan w:val="3"/>
            <w:shd w:val="clear" w:color="auto" w:fill="auto"/>
          </w:tcPr>
          <w:p w:rsidR="00E53DCE" w:rsidRPr="00F55652" w:rsidRDefault="00E53DCE" w:rsidP="006160CB">
            <w:pPr>
              <w:spacing w:before="0"/>
              <w:jc w:val="left"/>
              <w:rPr>
                <w:szCs w:val="24"/>
                <w:lang w:val="fr-CH"/>
              </w:rPr>
            </w:pPr>
          </w:p>
        </w:tc>
      </w:tr>
      <w:tr w:rsidR="00E53DCE" w:rsidRPr="0066580D" w:rsidTr="004228FA">
        <w:trPr>
          <w:jc w:val="center"/>
        </w:trPr>
        <w:tc>
          <w:tcPr>
            <w:tcW w:w="9889" w:type="dxa"/>
            <w:gridSpan w:val="3"/>
            <w:shd w:val="clear" w:color="auto" w:fill="auto"/>
          </w:tcPr>
          <w:p w:rsidR="00E53DCE" w:rsidRPr="00773F7E" w:rsidRDefault="00EE1A57" w:rsidP="0052448D">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6F38C7">
              <w:rPr>
                <w:b/>
                <w:bCs/>
                <w:szCs w:val="24"/>
                <w:lang w:val="fr-CH"/>
              </w:rPr>
              <w:t>,</w:t>
            </w:r>
            <w:r w:rsidR="006F38C7" w:rsidRPr="006E0087">
              <w:rPr>
                <w:b/>
                <w:lang w:val="fr-CH"/>
              </w:rPr>
              <w:t xml:space="preserve"> aux Membres du Secteur des radiocommunications, </w:t>
            </w:r>
            <w:r w:rsidR="006F38C7" w:rsidRPr="006E0087">
              <w:rPr>
                <w:b/>
                <w:bCs/>
                <w:lang w:val="fr-CH"/>
              </w:rPr>
              <w:t>aux</w:t>
            </w:r>
            <w:r w:rsidR="006F38C7" w:rsidRPr="006E0087">
              <w:rPr>
                <w:b/>
                <w:lang w:val="fr-CH"/>
              </w:rPr>
              <w:t xml:space="preserve"> </w:t>
            </w:r>
            <w:r w:rsidR="006F38C7" w:rsidRPr="006E0087">
              <w:rPr>
                <w:b/>
                <w:bCs/>
                <w:lang w:val="fr-CH"/>
              </w:rPr>
              <w:t>Associés de l</w:t>
            </w:r>
            <w:r w:rsidR="006F38C7">
              <w:rPr>
                <w:b/>
                <w:bCs/>
                <w:lang w:val="fr-CH"/>
              </w:rPr>
              <w:t>'</w:t>
            </w:r>
            <w:r w:rsidR="006F38C7" w:rsidRPr="006E0087">
              <w:rPr>
                <w:b/>
                <w:bCs/>
                <w:lang w:val="fr-CH"/>
              </w:rPr>
              <w:t>UIT</w:t>
            </w:r>
            <w:r w:rsidR="006F38C7" w:rsidRPr="006E0087">
              <w:rPr>
                <w:b/>
                <w:bCs/>
                <w:lang w:val="fr-CH"/>
              </w:rPr>
              <w:noBreakHyphen/>
              <w:t>R</w:t>
            </w:r>
            <w:r w:rsidR="006F38C7" w:rsidRPr="006E0087">
              <w:rPr>
                <w:b/>
                <w:lang w:val="fr-CH"/>
              </w:rPr>
              <w:t xml:space="preserve"> participant aux travaux</w:t>
            </w:r>
            <w:r w:rsidR="006F38C7">
              <w:rPr>
                <w:b/>
                <w:lang w:val="fr-CH"/>
              </w:rPr>
              <w:t xml:space="preserve"> </w:t>
            </w:r>
            <w:r w:rsidR="006F38C7" w:rsidRPr="006E0087">
              <w:rPr>
                <w:b/>
                <w:lang w:val="fr-CH"/>
              </w:rPr>
              <w:t>de la Commission d</w:t>
            </w:r>
            <w:r w:rsidR="006F38C7">
              <w:rPr>
                <w:b/>
                <w:lang w:val="fr-CH"/>
              </w:rPr>
              <w:t>'</w:t>
            </w:r>
            <w:r w:rsidR="006F38C7" w:rsidRPr="006E0087">
              <w:rPr>
                <w:b/>
                <w:lang w:val="fr-CH"/>
              </w:rPr>
              <w:t>études </w:t>
            </w:r>
            <w:r w:rsidR="0052448D">
              <w:rPr>
                <w:b/>
                <w:lang w:val="fr-CH"/>
              </w:rPr>
              <w:t>1</w:t>
            </w:r>
            <w:r w:rsidR="006F38C7" w:rsidRPr="006E0087">
              <w:rPr>
                <w:b/>
                <w:lang w:val="fr-CH"/>
              </w:rPr>
              <w:t xml:space="preserve"> des radiocommunications</w:t>
            </w:r>
            <w:r w:rsidR="006F38C7">
              <w:rPr>
                <w:b/>
                <w:lang w:val="fr-CH"/>
              </w:rPr>
              <w:t xml:space="preserve"> </w:t>
            </w:r>
            <w:r w:rsidR="006F38C7" w:rsidRPr="006E0087">
              <w:rPr>
                <w:b/>
                <w:lang w:val="fr-CH"/>
              </w:rPr>
              <w:t xml:space="preserve">et </w:t>
            </w:r>
            <w:r w:rsidR="006F38C7">
              <w:rPr>
                <w:b/>
                <w:szCs w:val="24"/>
                <w:lang w:val="fr-CH"/>
              </w:rPr>
              <w:t>aux ét</w:t>
            </w:r>
            <w:r w:rsidR="006F38C7" w:rsidRPr="006E0087">
              <w:rPr>
                <w:b/>
                <w:szCs w:val="24"/>
                <w:lang w:val="fr-CH"/>
              </w:rPr>
              <w:t xml:space="preserve">ablissements universitaires </w:t>
            </w:r>
            <w:r w:rsidR="006F38C7">
              <w:rPr>
                <w:b/>
                <w:szCs w:val="24"/>
                <w:lang w:val="fr-CH"/>
              </w:rPr>
              <w:t>participant aux travaux de</w:t>
            </w:r>
            <w:r w:rsidR="006F38C7" w:rsidRPr="006E0087">
              <w:rPr>
                <w:b/>
                <w:szCs w:val="24"/>
                <w:lang w:val="fr-CH"/>
              </w:rPr>
              <w:t xml:space="preserve"> l</w:t>
            </w:r>
            <w:r w:rsidR="006F38C7">
              <w:rPr>
                <w:b/>
                <w:szCs w:val="24"/>
                <w:lang w:val="fr-CH"/>
              </w:rPr>
              <w:t>'</w:t>
            </w:r>
            <w:r w:rsidR="006F38C7" w:rsidRPr="006E0087">
              <w:rPr>
                <w:b/>
                <w:szCs w:val="24"/>
                <w:lang w:val="fr-CH"/>
              </w:rPr>
              <w:t>UIT</w:t>
            </w:r>
          </w:p>
        </w:tc>
      </w:tr>
      <w:tr w:rsidR="00E53DCE" w:rsidRPr="0066580D" w:rsidTr="004228FA">
        <w:trPr>
          <w:jc w:val="center"/>
        </w:trPr>
        <w:tc>
          <w:tcPr>
            <w:tcW w:w="9889" w:type="dxa"/>
            <w:gridSpan w:val="3"/>
            <w:shd w:val="clear" w:color="auto" w:fill="auto"/>
          </w:tcPr>
          <w:p w:rsidR="00E53DCE" w:rsidRPr="006F38C7" w:rsidRDefault="00E53DCE" w:rsidP="006F38C7">
            <w:pPr>
              <w:spacing w:before="0" w:line="240" w:lineRule="auto"/>
              <w:jc w:val="left"/>
              <w:rPr>
                <w:sz w:val="16"/>
                <w:szCs w:val="16"/>
                <w:lang w:val="fr-CH"/>
              </w:rPr>
            </w:pPr>
          </w:p>
        </w:tc>
      </w:tr>
      <w:tr w:rsidR="00E53DCE" w:rsidRPr="0066580D" w:rsidTr="004228FA">
        <w:trPr>
          <w:jc w:val="center"/>
        </w:trPr>
        <w:tc>
          <w:tcPr>
            <w:tcW w:w="9889" w:type="dxa"/>
            <w:gridSpan w:val="3"/>
            <w:shd w:val="clear" w:color="auto" w:fill="auto"/>
          </w:tcPr>
          <w:p w:rsidR="00E53DCE" w:rsidRPr="006F38C7" w:rsidRDefault="00E53DCE" w:rsidP="006F38C7">
            <w:pPr>
              <w:spacing w:before="0" w:line="240" w:lineRule="auto"/>
              <w:jc w:val="left"/>
              <w:rPr>
                <w:sz w:val="16"/>
                <w:szCs w:val="16"/>
                <w:lang w:val="fr-CH"/>
              </w:rPr>
            </w:pPr>
          </w:p>
        </w:tc>
      </w:tr>
      <w:tr w:rsidR="00E53DCE" w:rsidRPr="0066580D" w:rsidTr="004228FA">
        <w:trPr>
          <w:jc w:val="center"/>
        </w:trPr>
        <w:tc>
          <w:tcPr>
            <w:tcW w:w="1526" w:type="dxa"/>
            <w:shd w:val="clear" w:color="auto" w:fill="auto"/>
          </w:tcPr>
          <w:p w:rsidR="00E53DCE" w:rsidRPr="00F55652" w:rsidRDefault="003471C9" w:rsidP="006160CB">
            <w:pPr>
              <w:tabs>
                <w:tab w:val="clear" w:pos="1588"/>
                <w:tab w:val="left" w:pos="1560"/>
              </w:tabs>
              <w:spacing w:before="0"/>
              <w:jc w:val="left"/>
              <w:rPr>
                <w:szCs w:val="24"/>
                <w:lang w:val="fr-CH"/>
              </w:rPr>
            </w:pPr>
            <w:r>
              <w:rPr>
                <w:lang w:val="fr-CH"/>
              </w:rPr>
              <w:t>Objet</w:t>
            </w:r>
            <w:r w:rsidR="00E53DCE" w:rsidRPr="00F55652">
              <w:rPr>
                <w:szCs w:val="24"/>
                <w:lang w:val="fr-CH"/>
              </w:rPr>
              <w:t>:</w:t>
            </w:r>
          </w:p>
        </w:tc>
        <w:tc>
          <w:tcPr>
            <w:tcW w:w="8363" w:type="dxa"/>
            <w:gridSpan w:val="2"/>
            <w:vMerge w:val="restart"/>
            <w:shd w:val="clear" w:color="auto" w:fill="auto"/>
          </w:tcPr>
          <w:p w:rsidR="00E53DCE" w:rsidRDefault="006F38C7" w:rsidP="0052448D">
            <w:pPr>
              <w:tabs>
                <w:tab w:val="clear" w:pos="1588"/>
                <w:tab w:val="left" w:pos="1560"/>
              </w:tabs>
              <w:spacing w:before="0"/>
              <w:jc w:val="left"/>
              <w:rPr>
                <w:b/>
                <w:bCs/>
                <w:lang w:val="fr-CH"/>
              </w:rPr>
            </w:pPr>
            <w:r w:rsidRPr="006E0087">
              <w:rPr>
                <w:b/>
                <w:bCs/>
                <w:lang w:val="fr-CH"/>
              </w:rPr>
              <w:t>Commission d</w:t>
            </w:r>
            <w:r>
              <w:rPr>
                <w:b/>
                <w:bCs/>
                <w:lang w:val="fr-CH"/>
              </w:rPr>
              <w:t>'</w:t>
            </w:r>
            <w:r w:rsidRPr="006E0087">
              <w:rPr>
                <w:b/>
                <w:bCs/>
                <w:lang w:val="fr-CH"/>
              </w:rPr>
              <w:t xml:space="preserve">études </w:t>
            </w:r>
            <w:r w:rsidR="0052448D">
              <w:rPr>
                <w:b/>
                <w:bCs/>
                <w:lang w:val="fr-CH"/>
              </w:rPr>
              <w:t>1</w:t>
            </w:r>
            <w:r w:rsidRPr="006E0087">
              <w:rPr>
                <w:b/>
                <w:bCs/>
                <w:lang w:val="fr-CH"/>
              </w:rPr>
              <w:t xml:space="preserve"> des radiocommunications</w:t>
            </w:r>
            <w:r w:rsidR="003708BF">
              <w:rPr>
                <w:b/>
                <w:bCs/>
                <w:lang w:val="fr-CH"/>
              </w:rPr>
              <w:t xml:space="preserve"> (</w:t>
            </w:r>
            <w:r w:rsidR="0052448D" w:rsidRPr="0052448D">
              <w:rPr>
                <w:b/>
                <w:bCs/>
                <w:lang w:val="fr-CH"/>
              </w:rPr>
              <w:t>Gestion du spectre</w:t>
            </w:r>
            <w:r w:rsidR="003708BF">
              <w:rPr>
                <w:b/>
                <w:bCs/>
                <w:lang w:val="fr-CH"/>
              </w:rPr>
              <w:t>)</w:t>
            </w:r>
          </w:p>
          <w:p w:rsidR="006F38C7" w:rsidRPr="0052448D" w:rsidRDefault="006F38C7" w:rsidP="0052448D">
            <w:pPr>
              <w:tabs>
                <w:tab w:val="clear" w:pos="1588"/>
                <w:tab w:val="left" w:pos="1560"/>
              </w:tabs>
              <w:spacing w:before="80"/>
              <w:ind w:left="794" w:hanging="794"/>
              <w:jc w:val="left"/>
              <w:rPr>
                <w:b/>
                <w:bCs/>
                <w:lang w:val="fr-CH"/>
              </w:rPr>
            </w:pPr>
            <w:r w:rsidRPr="006E0087">
              <w:rPr>
                <w:b/>
                <w:bCs/>
                <w:lang w:val="fr-CH"/>
              </w:rPr>
              <w:t>–</w:t>
            </w:r>
            <w:r w:rsidRPr="006E0087">
              <w:rPr>
                <w:b/>
                <w:bCs/>
                <w:lang w:val="fr-CH"/>
              </w:rPr>
              <w:tab/>
              <w:t xml:space="preserve">Adoption de </w:t>
            </w:r>
            <w:r w:rsidR="0052448D">
              <w:rPr>
                <w:b/>
                <w:bCs/>
                <w:lang w:val="fr-CH"/>
              </w:rPr>
              <w:t>3</w:t>
            </w:r>
            <w:r w:rsidRPr="006E0087">
              <w:rPr>
                <w:b/>
                <w:bCs/>
                <w:lang w:val="fr-CH"/>
              </w:rPr>
              <w:t xml:space="preserve"> nouvelles Recommandations</w:t>
            </w:r>
            <w:r>
              <w:rPr>
                <w:b/>
                <w:bCs/>
                <w:lang w:val="fr-CH"/>
              </w:rPr>
              <w:t xml:space="preserve"> UIT-R</w:t>
            </w:r>
            <w:r w:rsidRPr="006E0087">
              <w:rPr>
                <w:b/>
                <w:bCs/>
                <w:lang w:val="fr-CH"/>
              </w:rPr>
              <w:t xml:space="preserve"> </w:t>
            </w:r>
            <w:r w:rsidR="003708BF">
              <w:rPr>
                <w:b/>
                <w:bCs/>
                <w:lang w:val="fr-CH"/>
              </w:rPr>
              <w:t xml:space="preserve">et approbation simultanée </w:t>
            </w:r>
            <w:r>
              <w:rPr>
                <w:b/>
                <w:bCs/>
                <w:lang w:val="fr-CH"/>
              </w:rPr>
              <w:t xml:space="preserve">par correspondance </w:t>
            </w:r>
            <w:r w:rsidR="003708BF">
              <w:rPr>
                <w:b/>
                <w:bCs/>
                <w:lang w:val="fr-CH"/>
              </w:rPr>
              <w:t>de ces textes</w:t>
            </w:r>
            <w:r>
              <w:rPr>
                <w:b/>
                <w:bCs/>
                <w:lang w:val="fr-CH"/>
              </w:rPr>
              <w:t>, conformément au </w:t>
            </w:r>
            <w:r w:rsidRPr="006E0087">
              <w:rPr>
                <w:b/>
                <w:bCs/>
                <w:lang w:val="fr-CH"/>
              </w:rPr>
              <w:t>§ </w:t>
            </w:r>
            <w:proofErr w:type="spellStart"/>
            <w:r>
              <w:rPr>
                <w:b/>
                <w:bCs/>
                <w:lang w:val="fr-CH"/>
              </w:rPr>
              <w:t>A2.6.2.4</w:t>
            </w:r>
            <w:proofErr w:type="spellEnd"/>
            <w:r w:rsidRPr="006E0087">
              <w:rPr>
                <w:b/>
                <w:bCs/>
                <w:lang w:val="fr-CH"/>
              </w:rPr>
              <w:t xml:space="preserve"> de la Résolution UIT</w:t>
            </w:r>
            <w:r w:rsidRPr="006E0087">
              <w:rPr>
                <w:b/>
                <w:bCs/>
                <w:lang w:val="fr-CH"/>
              </w:rPr>
              <w:noBreakHyphen/>
              <w:t>R 1</w:t>
            </w:r>
            <w:r w:rsidRPr="006E0087">
              <w:rPr>
                <w:b/>
                <w:bCs/>
                <w:lang w:val="fr-CH"/>
              </w:rPr>
              <w:noBreakHyphen/>
            </w:r>
            <w:r>
              <w:rPr>
                <w:b/>
                <w:bCs/>
                <w:lang w:val="fr-CH"/>
              </w:rPr>
              <w:t>7</w:t>
            </w:r>
            <w:r w:rsidRPr="006E0087">
              <w:rPr>
                <w:b/>
                <w:bCs/>
                <w:lang w:val="fr-CH"/>
              </w:rPr>
              <w:t xml:space="preserve"> (Procédure d</w:t>
            </w:r>
            <w:r>
              <w:rPr>
                <w:b/>
                <w:bCs/>
                <w:lang w:val="fr-CH"/>
              </w:rPr>
              <w:t>'</w:t>
            </w:r>
            <w:r w:rsidRPr="006E0087">
              <w:rPr>
                <w:b/>
                <w:bCs/>
                <w:lang w:val="fr-CH"/>
              </w:rPr>
              <w:t>adoption et d</w:t>
            </w:r>
            <w:r>
              <w:rPr>
                <w:b/>
                <w:bCs/>
                <w:lang w:val="fr-CH"/>
              </w:rPr>
              <w:t>'</w:t>
            </w:r>
            <w:r w:rsidRPr="006E0087">
              <w:rPr>
                <w:b/>
                <w:bCs/>
                <w:lang w:val="fr-CH"/>
              </w:rPr>
              <w:t>approbation simultanées par correspondance)</w:t>
            </w:r>
          </w:p>
        </w:tc>
      </w:tr>
      <w:tr w:rsidR="00E53DCE" w:rsidRPr="0066580D" w:rsidTr="004228FA">
        <w:trPr>
          <w:jc w:val="center"/>
        </w:trPr>
        <w:tc>
          <w:tcPr>
            <w:tcW w:w="1526" w:type="dxa"/>
            <w:shd w:val="clear" w:color="auto" w:fill="auto"/>
          </w:tcPr>
          <w:p w:rsidR="00E53DCE" w:rsidRPr="00F556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55652" w:rsidRDefault="00E53DCE" w:rsidP="006160CB">
            <w:pPr>
              <w:tabs>
                <w:tab w:val="clear" w:pos="1588"/>
                <w:tab w:val="left" w:pos="1560"/>
              </w:tabs>
              <w:spacing w:before="0"/>
              <w:rPr>
                <w:b/>
                <w:bCs/>
                <w:szCs w:val="24"/>
                <w:lang w:val="fr-CH"/>
              </w:rPr>
            </w:pPr>
          </w:p>
        </w:tc>
      </w:tr>
      <w:tr w:rsidR="00E53DCE" w:rsidRPr="0066580D" w:rsidTr="004228FA">
        <w:trPr>
          <w:jc w:val="center"/>
        </w:trPr>
        <w:tc>
          <w:tcPr>
            <w:tcW w:w="1526" w:type="dxa"/>
            <w:shd w:val="clear" w:color="auto" w:fill="auto"/>
          </w:tcPr>
          <w:p w:rsidR="00E53DCE" w:rsidRPr="00F556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55652" w:rsidRDefault="00E53DCE" w:rsidP="006160CB">
            <w:pPr>
              <w:tabs>
                <w:tab w:val="clear" w:pos="1588"/>
                <w:tab w:val="left" w:pos="1560"/>
              </w:tabs>
              <w:spacing w:before="0"/>
              <w:rPr>
                <w:b/>
                <w:bCs/>
                <w:szCs w:val="24"/>
                <w:lang w:val="fr-CH"/>
              </w:rPr>
            </w:pPr>
          </w:p>
        </w:tc>
      </w:tr>
      <w:tr w:rsidR="00E53DCE" w:rsidRPr="0066580D" w:rsidTr="004228FA">
        <w:trPr>
          <w:jc w:val="center"/>
        </w:trPr>
        <w:tc>
          <w:tcPr>
            <w:tcW w:w="9889" w:type="dxa"/>
            <w:gridSpan w:val="3"/>
            <w:shd w:val="clear" w:color="auto" w:fill="auto"/>
          </w:tcPr>
          <w:p w:rsidR="00E53DCE" w:rsidRPr="00F55652" w:rsidRDefault="00E53DCE" w:rsidP="00E53DCE">
            <w:pPr>
              <w:tabs>
                <w:tab w:val="clear" w:pos="1588"/>
                <w:tab w:val="left" w:pos="1560"/>
              </w:tabs>
              <w:spacing w:before="0"/>
              <w:jc w:val="left"/>
              <w:rPr>
                <w:szCs w:val="24"/>
                <w:lang w:val="fr-CH"/>
              </w:rPr>
            </w:pPr>
          </w:p>
        </w:tc>
      </w:tr>
    </w:tbl>
    <w:p w:rsidR="006F38C7" w:rsidRPr="006E0087" w:rsidRDefault="006F38C7" w:rsidP="00F8090C">
      <w:pPr>
        <w:spacing w:before="240"/>
        <w:rPr>
          <w:lang w:val="fr-CH"/>
        </w:rPr>
      </w:pPr>
      <w:r w:rsidRPr="006E0087">
        <w:rPr>
          <w:lang w:val="fr-CH"/>
        </w:rPr>
        <w:t xml:space="preserve">Dans la Circulaire administrative </w:t>
      </w:r>
      <w:proofErr w:type="spellStart"/>
      <w:r w:rsidRPr="006E0087">
        <w:rPr>
          <w:lang w:val="fr-CH"/>
        </w:rPr>
        <w:t>CA</w:t>
      </w:r>
      <w:r>
        <w:rPr>
          <w:lang w:val="fr-CH"/>
        </w:rPr>
        <w:t>CE</w:t>
      </w:r>
      <w:proofErr w:type="spellEnd"/>
      <w:r w:rsidRPr="006E0087">
        <w:rPr>
          <w:lang w:val="fr-CH"/>
        </w:rPr>
        <w:t>/</w:t>
      </w:r>
      <w:r w:rsidR="008754E6">
        <w:rPr>
          <w:lang w:val="fr-CH"/>
        </w:rPr>
        <w:t>774</w:t>
      </w:r>
      <w:r w:rsidRPr="006E0087">
        <w:rPr>
          <w:lang w:val="fr-CH"/>
        </w:rPr>
        <w:t xml:space="preserve"> datée du</w:t>
      </w:r>
      <w:r>
        <w:rPr>
          <w:lang w:val="fr-CH"/>
        </w:rPr>
        <w:t xml:space="preserve"> </w:t>
      </w:r>
      <w:r w:rsidR="008754E6">
        <w:rPr>
          <w:lang w:val="fr-CH"/>
        </w:rPr>
        <w:t>21</w:t>
      </w:r>
      <w:r>
        <w:rPr>
          <w:lang w:val="fr-CH"/>
        </w:rPr>
        <w:t xml:space="preserve"> </w:t>
      </w:r>
      <w:r w:rsidR="008754E6">
        <w:rPr>
          <w:lang w:val="fr-CH"/>
        </w:rPr>
        <w:t>juin</w:t>
      </w:r>
      <w:r>
        <w:rPr>
          <w:lang w:val="fr-CH"/>
        </w:rPr>
        <w:t xml:space="preserve"> 2016</w:t>
      </w:r>
      <w:r w:rsidRPr="006E0087">
        <w:rPr>
          <w:lang w:val="fr-CH"/>
        </w:rPr>
        <w:t xml:space="preserve">, </w:t>
      </w:r>
      <w:r w:rsidR="008754E6">
        <w:rPr>
          <w:lang w:val="fr-CH"/>
        </w:rPr>
        <w:t>3</w:t>
      </w:r>
      <w:r w:rsidRPr="006E0087">
        <w:rPr>
          <w:lang w:val="fr-CH"/>
        </w:rPr>
        <w:t xml:space="preserve"> projets de nouvelle Recommandation </w:t>
      </w:r>
      <w:r w:rsidRPr="00643D20">
        <w:rPr>
          <w:lang w:val="fr-CH"/>
        </w:rPr>
        <w:t>UIT</w:t>
      </w:r>
      <w:r>
        <w:rPr>
          <w:lang w:val="fr-CH"/>
        </w:rPr>
        <w:noBreakHyphen/>
      </w:r>
      <w:r w:rsidRPr="00643D20">
        <w:rPr>
          <w:lang w:val="fr-CH"/>
        </w:rPr>
        <w:t xml:space="preserve">R </w:t>
      </w:r>
      <w:r w:rsidRPr="006E0087">
        <w:rPr>
          <w:lang w:val="fr-CH"/>
        </w:rPr>
        <w:t>ont été soumis pour adoption et approbation simultanées par correspondance (</w:t>
      </w:r>
      <w:proofErr w:type="spellStart"/>
      <w:r w:rsidRPr="006E0087">
        <w:rPr>
          <w:lang w:val="fr-CH"/>
        </w:rPr>
        <w:t>PAAS</w:t>
      </w:r>
      <w:proofErr w:type="spellEnd"/>
      <w:r w:rsidRPr="006E0087">
        <w:rPr>
          <w:lang w:val="fr-CH"/>
        </w:rPr>
        <w:t xml:space="preserve">), conformément à la </w:t>
      </w:r>
      <w:r>
        <w:rPr>
          <w:lang w:val="fr-CH"/>
        </w:rPr>
        <w:t>procédure prévue dans la </w:t>
      </w:r>
      <w:r w:rsidRPr="006E0087">
        <w:rPr>
          <w:lang w:val="fr-CH"/>
        </w:rPr>
        <w:t>Résolution UIT</w:t>
      </w:r>
      <w:r w:rsidRPr="006E0087">
        <w:rPr>
          <w:lang w:val="fr-CH"/>
        </w:rPr>
        <w:noBreakHyphen/>
        <w:t>R 1-</w:t>
      </w:r>
      <w:r>
        <w:rPr>
          <w:lang w:val="fr-CH"/>
        </w:rPr>
        <w:t>7</w:t>
      </w:r>
      <w:r w:rsidRPr="006E0087">
        <w:rPr>
          <w:lang w:val="fr-CH"/>
        </w:rPr>
        <w:t xml:space="preserve"> (§ </w:t>
      </w:r>
      <w:proofErr w:type="spellStart"/>
      <w:r w:rsidRPr="00DD00F8">
        <w:rPr>
          <w:lang w:val="fr-CH"/>
        </w:rPr>
        <w:t>A2.6.2.4</w:t>
      </w:r>
      <w:proofErr w:type="spellEnd"/>
      <w:r w:rsidRPr="006E0087">
        <w:rPr>
          <w:lang w:val="fr-CH"/>
        </w:rPr>
        <w:t xml:space="preserve">). </w:t>
      </w:r>
    </w:p>
    <w:p w:rsidR="006F38C7" w:rsidRPr="006E0087" w:rsidRDefault="006F38C7" w:rsidP="00F8090C">
      <w:pPr>
        <w:spacing w:before="120"/>
        <w:rPr>
          <w:lang w:val="fr-CH"/>
        </w:rPr>
      </w:pPr>
      <w:r w:rsidRPr="006E0087">
        <w:rPr>
          <w:lang w:val="fr-CH"/>
        </w:rPr>
        <w:t xml:space="preserve">Les conditions régissant cette procédure ont été satisfaites </w:t>
      </w:r>
      <w:r>
        <w:rPr>
          <w:lang w:val="fr-CH"/>
        </w:rPr>
        <w:t xml:space="preserve">au </w:t>
      </w:r>
      <w:r w:rsidR="008754E6">
        <w:rPr>
          <w:lang w:val="fr-CH"/>
        </w:rPr>
        <w:t>21</w:t>
      </w:r>
      <w:r>
        <w:rPr>
          <w:lang w:val="fr-CH"/>
        </w:rPr>
        <w:t xml:space="preserve"> </w:t>
      </w:r>
      <w:r w:rsidR="008754E6">
        <w:rPr>
          <w:lang w:val="fr-CH"/>
        </w:rPr>
        <w:t xml:space="preserve">août </w:t>
      </w:r>
      <w:r w:rsidRPr="006E0087">
        <w:rPr>
          <w:lang w:val="fr-CH"/>
        </w:rPr>
        <w:t>201</w:t>
      </w:r>
      <w:r>
        <w:rPr>
          <w:lang w:val="fr-CH"/>
        </w:rPr>
        <w:t>6.</w:t>
      </w:r>
    </w:p>
    <w:p w:rsidR="006F38C7" w:rsidRDefault="006F38C7" w:rsidP="00F8090C">
      <w:pPr>
        <w:spacing w:before="120"/>
        <w:rPr>
          <w:lang w:val="fr-CH"/>
        </w:rPr>
      </w:pPr>
      <w:r w:rsidRPr="006E0087">
        <w:rPr>
          <w:lang w:val="fr-CH"/>
        </w:rPr>
        <w:t>Les Recommandations approuvées</w:t>
      </w:r>
      <w:r>
        <w:rPr>
          <w:lang w:val="fr-CH"/>
        </w:rPr>
        <w:t xml:space="preserve"> </w:t>
      </w:r>
      <w:r w:rsidRPr="006E0087">
        <w:rPr>
          <w:lang w:val="fr-CH"/>
        </w:rPr>
        <w:t>seront publiées par l</w:t>
      </w:r>
      <w:r>
        <w:rPr>
          <w:lang w:val="fr-CH"/>
        </w:rPr>
        <w:t>'</w:t>
      </w:r>
      <w:r w:rsidRPr="006E0087">
        <w:rPr>
          <w:lang w:val="fr-CH"/>
        </w:rPr>
        <w:t>UIT et vous trouverez dans l</w:t>
      </w:r>
      <w:r>
        <w:rPr>
          <w:lang w:val="fr-CH"/>
        </w:rPr>
        <w:t>'</w:t>
      </w:r>
      <w:r w:rsidRPr="006E0087">
        <w:rPr>
          <w:lang w:val="fr-CH"/>
        </w:rPr>
        <w:t xml:space="preserve">Annexe de la présente Circulaire leurs titres ainsi que les numéros qui leur ont été attribués. </w:t>
      </w:r>
    </w:p>
    <w:p w:rsidR="002569F7" w:rsidRDefault="00E80E61" w:rsidP="00E83F36">
      <w:pPr>
        <w:spacing w:before="1440"/>
        <w:jc w:val="left"/>
        <w:rPr>
          <w:lang w:val="fr-FR"/>
        </w:rPr>
      </w:pPr>
      <w:r>
        <w:rPr>
          <w:lang w:val="fr-FR"/>
        </w:rPr>
        <w:t xml:space="preserve">François </w:t>
      </w:r>
      <w:proofErr w:type="spellStart"/>
      <w:r>
        <w:rPr>
          <w:lang w:val="fr-FR"/>
        </w:rPr>
        <w:t>Rancy</w:t>
      </w:r>
      <w:proofErr w:type="spellEnd"/>
      <w:r>
        <w:rPr>
          <w:lang w:val="fr-FR"/>
        </w:rPr>
        <w:br/>
        <w:t>Directeur</w:t>
      </w:r>
    </w:p>
    <w:p w:rsidR="006F38C7" w:rsidRPr="00136CBE" w:rsidRDefault="006F38C7" w:rsidP="00E7256A">
      <w:pPr>
        <w:keepNext/>
        <w:keepLines/>
        <w:tabs>
          <w:tab w:val="center" w:pos="7939"/>
          <w:tab w:val="right" w:pos="8505"/>
        </w:tabs>
        <w:spacing w:before="480"/>
        <w:rPr>
          <w:lang w:val="fr-CH"/>
        </w:rPr>
      </w:pPr>
      <w:r w:rsidRPr="00136CBE">
        <w:rPr>
          <w:b/>
          <w:lang w:val="fr-CH"/>
        </w:rPr>
        <w:t>Annex</w:t>
      </w:r>
      <w:r w:rsidR="00E83F36">
        <w:rPr>
          <w:b/>
          <w:lang w:val="fr-CH"/>
        </w:rPr>
        <w:t>e</w:t>
      </w:r>
      <w:r w:rsidRPr="003F4FA0">
        <w:rPr>
          <w:bCs/>
          <w:lang w:val="fr-CH"/>
        </w:rPr>
        <w:t>:</w:t>
      </w:r>
      <w:r w:rsidR="00E83F36">
        <w:rPr>
          <w:lang w:val="fr-CH"/>
        </w:rPr>
        <w:t xml:space="preserve"> 1</w:t>
      </w:r>
    </w:p>
    <w:p w:rsidR="006F38C7" w:rsidRPr="00136CBE" w:rsidRDefault="006F38C7" w:rsidP="00E7256A">
      <w:pPr>
        <w:keepNext/>
        <w:keepLines/>
        <w:tabs>
          <w:tab w:val="left" w:pos="284"/>
          <w:tab w:val="left" w:pos="568"/>
        </w:tabs>
        <w:spacing w:before="300" w:after="40" w:line="240" w:lineRule="auto"/>
        <w:rPr>
          <w:b/>
          <w:bCs/>
          <w:sz w:val="18"/>
          <w:szCs w:val="18"/>
          <w:lang w:val="fr-CH"/>
        </w:rPr>
      </w:pPr>
      <w:r w:rsidRPr="00136CBE">
        <w:rPr>
          <w:b/>
          <w:bCs/>
          <w:sz w:val="18"/>
          <w:szCs w:val="18"/>
          <w:lang w:val="fr-CH"/>
        </w:rPr>
        <w:t>Distribution:</w:t>
      </w:r>
    </w:p>
    <w:p w:rsidR="006F38C7" w:rsidRPr="006E0087" w:rsidRDefault="006F38C7" w:rsidP="008754E6">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 xml:space="preserve">Administrations des </w:t>
      </w:r>
      <w:proofErr w:type="spellStart"/>
      <w:r w:rsidRPr="006E0087">
        <w:rPr>
          <w:sz w:val="18"/>
          <w:szCs w:val="18"/>
          <w:lang w:val="fr-CH"/>
        </w:rPr>
        <w:t>Etats</w:t>
      </w:r>
      <w:proofErr w:type="spellEnd"/>
      <w:r w:rsidRPr="006E0087">
        <w:rPr>
          <w:sz w:val="18"/>
          <w:szCs w:val="18"/>
          <w:lang w:val="fr-CH"/>
        </w:rPr>
        <w:t xml:space="preserve"> Membres de l</w:t>
      </w:r>
      <w:r>
        <w:rPr>
          <w:sz w:val="18"/>
          <w:szCs w:val="18"/>
          <w:lang w:val="fr-CH"/>
        </w:rPr>
        <w:t>'</w:t>
      </w:r>
      <w:r w:rsidRPr="006E0087">
        <w:rPr>
          <w:sz w:val="18"/>
          <w:szCs w:val="18"/>
          <w:lang w:val="fr-CH"/>
        </w:rPr>
        <w:t>UIT et Membres du Secteur des radiocommunications participant aux tra</w:t>
      </w:r>
      <w:r>
        <w:rPr>
          <w:sz w:val="18"/>
          <w:szCs w:val="18"/>
          <w:lang w:val="fr-CH"/>
        </w:rPr>
        <w:t xml:space="preserve">vaux de la Commission d'études </w:t>
      </w:r>
      <w:r w:rsidR="008754E6">
        <w:rPr>
          <w:sz w:val="18"/>
          <w:szCs w:val="18"/>
          <w:lang w:val="fr-CH"/>
        </w:rPr>
        <w:t>1</w:t>
      </w:r>
      <w:r w:rsidRPr="006E0087">
        <w:rPr>
          <w:sz w:val="18"/>
          <w:szCs w:val="18"/>
          <w:lang w:val="fr-CH"/>
        </w:rPr>
        <w:t xml:space="preserve"> des radiocommunications </w:t>
      </w:r>
    </w:p>
    <w:p w:rsidR="006F38C7" w:rsidRPr="006E0087" w:rsidRDefault="006F38C7" w:rsidP="008754E6">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8754E6">
        <w:rPr>
          <w:sz w:val="18"/>
          <w:szCs w:val="18"/>
          <w:lang w:val="fr-CH"/>
        </w:rPr>
        <w:t>1</w:t>
      </w:r>
      <w:r w:rsidRPr="006E0087">
        <w:rPr>
          <w:sz w:val="18"/>
          <w:szCs w:val="18"/>
          <w:lang w:val="fr-CH"/>
        </w:rPr>
        <w:t xml:space="preserve"> des radiocommunications </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r>
      <w:proofErr w:type="spellStart"/>
      <w:r>
        <w:rPr>
          <w:sz w:val="18"/>
          <w:szCs w:val="18"/>
          <w:lang w:val="fr-CH"/>
        </w:rPr>
        <w:t>E</w:t>
      </w:r>
      <w:r w:rsidRPr="006E0087">
        <w:rPr>
          <w:sz w:val="18"/>
          <w:szCs w:val="18"/>
          <w:lang w:val="fr-CH"/>
        </w:rPr>
        <w:t>tablissements</w:t>
      </w:r>
      <w:proofErr w:type="spellEnd"/>
      <w:r w:rsidRPr="006E0087">
        <w:rPr>
          <w:sz w:val="18"/>
          <w:szCs w:val="18"/>
          <w:lang w:val="fr-CH"/>
        </w:rPr>
        <w:t xml:space="preserve"> universitaires</w:t>
      </w:r>
      <w:r w:rsidRPr="00643D20">
        <w:rPr>
          <w:sz w:val="18"/>
          <w:szCs w:val="18"/>
          <w:lang w:val="fr-CH"/>
        </w:rPr>
        <w:t xml:space="preserve"> </w:t>
      </w:r>
      <w:r w:rsidRPr="006E0087">
        <w:rPr>
          <w:sz w:val="18"/>
          <w:szCs w:val="18"/>
          <w:lang w:val="fr-CH"/>
        </w:rPr>
        <w:t>participant aux travaux de l</w:t>
      </w:r>
      <w:r>
        <w:rPr>
          <w:sz w:val="18"/>
          <w:szCs w:val="18"/>
          <w:lang w:val="fr-CH"/>
        </w:rPr>
        <w:t>'</w:t>
      </w:r>
      <w:r w:rsidRPr="006E0087">
        <w:rPr>
          <w:sz w:val="18"/>
          <w:szCs w:val="18"/>
          <w:lang w:val="fr-CH"/>
        </w:rPr>
        <w:t>UIT</w:t>
      </w:r>
      <w:r>
        <w:rPr>
          <w:sz w:val="18"/>
          <w:szCs w:val="18"/>
          <w:lang w:val="fr-CH"/>
        </w:rPr>
        <w:t xml:space="preserve"> </w:t>
      </w:r>
    </w:p>
    <w:p w:rsidR="006F38C7" w:rsidRPr="006E0087" w:rsidRDefault="006F38C7" w:rsidP="008754E6">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008754E6">
        <w:rPr>
          <w:sz w:val="18"/>
          <w:szCs w:val="18"/>
          <w:lang w:val="fr-CH"/>
        </w:rPr>
        <w:t>études des radiocommunications</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6F38C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6F38C7" w:rsidRPr="006F38C7" w:rsidRDefault="008754E6" w:rsidP="008754E6">
      <w:pPr>
        <w:pStyle w:val="AnnexNotitle0"/>
        <w:rPr>
          <w:rFonts w:asciiTheme="minorHAnsi" w:hAnsiTheme="minorHAnsi"/>
          <w:lang w:val="fr-CH"/>
        </w:rPr>
      </w:pPr>
      <w:r>
        <w:rPr>
          <w:rFonts w:asciiTheme="minorHAnsi" w:hAnsiTheme="minorHAnsi"/>
          <w:lang w:val="fr-CH"/>
        </w:rPr>
        <w:lastRenderedPageBreak/>
        <w:t>Annexe</w:t>
      </w:r>
      <w:r>
        <w:rPr>
          <w:rFonts w:asciiTheme="minorHAnsi" w:hAnsiTheme="minorHAnsi"/>
          <w:lang w:val="fr-CH"/>
        </w:rPr>
        <w:br/>
      </w:r>
      <w:r>
        <w:rPr>
          <w:rFonts w:asciiTheme="minorHAnsi" w:hAnsiTheme="minorHAnsi"/>
          <w:lang w:val="fr-CH"/>
        </w:rPr>
        <w:br/>
        <w:t>Titres</w:t>
      </w:r>
      <w:r w:rsidR="006F38C7" w:rsidRPr="006F38C7">
        <w:rPr>
          <w:rFonts w:asciiTheme="minorHAnsi" w:hAnsiTheme="minorHAnsi"/>
          <w:lang w:val="fr-CH"/>
        </w:rPr>
        <w:t xml:space="preserve"> des Recommandations</w:t>
      </w:r>
      <w:r w:rsidR="006F38C7" w:rsidRPr="006F38C7">
        <w:rPr>
          <w:rFonts w:asciiTheme="minorHAnsi" w:hAnsiTheme="minorHAnsi"/>
          <w:bCs/>
          <w:lang w:val="fr-CH"/>
        </w:rPr>
        <w:t xml:space="preserve"> UIT</w:t>
      </w:r>
      <w:r w:rsidR="006F38C7" w:rsidRPr="006F38C7">
        <w:rPr>
          <w:rFonts w:asciiTheme="minorHAnsi" w:hAnsiTheme="minorHAnsi"/>
          <w:bCs/>
          <w:lang w:val="fr-CH"/>
        </w:rPr>
        <w:noBreakHyphen/>
        <w:t>R</w:t>
      </w:r>
      <w:r w:rsidR="006F38C7" w:rsidRPr="006F38C7">
        <w:rPr>
          <w:rFonts w:asciiTheme="minorHAnsi" w:hAnsiTheme="minorHAnsi"/>
          <w:lang w:val="fr-CH"/>
        </w:rPr>
        <w:t xml:space="preserve"> approuvées</w:t>
      </w:r>
    </w:p>
    <w:p w:rsidR="00816045" w:rsidRPr="00C50188" w:rsidRDefault="00816045" w:rsidP="00816045">
      <w:pPr>
        <w:tabs>
          <w:tab w:val="right" w:pos="9639"/>
        </w:tabs>
        <w:spacing w:before="480"/>
        <w:rPr>
          <w:rFonts w:asciiTheme="minorHAnsi" w:hAnsiTheme="minorHAnsi" w:cstheme="minorHAnsi"/>
          <w:szCs w:val="24"/>
          <w:lang w:val="fr-FR"/>
        </w:rPr>
      </w:pPr>
      <w:r w:rsidRPr="00C50188">
        <w:rPr>
          <w:rFonts w:asciiTheme="minorHAnsi" w:hAnsiTheme="minorHAnsi" w:cstheme="minorHAnsi"/>
          <w:szCs w:val="24"/>
          <w:u w:val="single"/>
          <w:lang w:val="fr-FR"/>
        </w:rPr>
        <w:t xml:space="preserve">Recommandation UIT-R </w:t>
      </w:r>
      <w:proofErr w:type="spellStart"/>
      <w:r w:rsidRPr="00C50188">
        <w:rPr>
          <w:rFonts w:asciiTheme="minorHAnsi" w:hAnsiTheme="minorHAnsi" w:cstheme="minorHAnsi"/>
          <w:szCs w:val="24"/>
          <w:u w:val="single"/>
          <w:lang w:val="fr-FR"/>
        </w:rPr>
        <w:t>SM.</w:t>
      </w:r>
      <w:r>
        <w:rPr>
          <w:rFonts w:asciiTheme="minorHAnsi" w:hAnsiTheme="minorHAnsi" w:cstheme="minorHAnsi"/>
          <w:szCs w:val="24"/>
          <w:u w:val="single"/>
          <w:lang w:val="fr-FR"/>
        </w:rPr>
        <w:t>2093-0</w:t>
      </w:r>
      <w:proofErr w:type="spellEnd"/>
      <w:r w:rsidRPr="00C50188">
        <w:rPr>
          <w:rFonts w:asciiTheme="minorHAnsi" w:hAnsiTheme="minorHAnsi" w:cstheme="minorHAnsi"/>
          <w:szCs w:val="24"/>
          <w:lang w:val="fr-FR"/>
        </w:rPr>
        <w:tab/>
        <w:t>Doc. 1/22(</w:t>
      </w:r>
      <w:proofErr w:type="spellStart"/>
      <w:r w:rsidRPr="00C50188">
        <w:rPr>
          <w:rFonts w:asciiTheme="minorHAnsi" w:hAnsiTheme="minorHAnsi" w:cstheme="minorHAnsi"/>
          <w:szCs w:val="24"/>
          <w:lang w:val="fr-FR"/>
        </w:rPr>
        <w:t>Rév.1</w:t>
      </w:r>
      <w:proofErr w:type="spellEnd"/>
      <w:r w:rsidRPr="00C50188">
        <w:rPr>
          <w:rFonts w:asciiTheme="minorHAnsi" w:hAnsiTheme="minorHAnsi" w:cstheme="minorHAnsi"/>
          <w:szCs w:val="24"/>
          <w:lang w:val="fr-FR"/>
        </w:rPr>
        <w:t>)</w:t>
      </w:r>
    </w:p>
    <w:p w:rsidR="00816045" w:rsidRPr="00C50188" w:rsidRDefault="00816045" w:rsidP="00816045">
      <w:pPr>
        <w:pStyle w:val="RectitleAsianMSMincho"/>
        <w:rPr>
          <w:rStyle w:val="RectitleChar"/>
          <w:rFonts w:asciiTheme="minorHAnsi" w:hAnsiTheme="minorHAnsi" w:cstheme="minorHAnsi"/>
          <w:b/>
          <w:bCs/>
          <w:szCs w:val="28"/>
          <w:lang w:val="fr-FR"/>
        </w:rPr>
      </w:pPr>
      <w:r w:rsidRPr="00C50188">
        <w:rPr>
          <w:lang w:val="fr-FR"/>
        </w:rPr>
        <w:t>Méthodes de mesure d'un environnement radioélectrique en intérieur</w:t>
      </w:r>
    </w:p>
    <w:p w:rsidR="00816045" w:rsidRPr="00C50188" w:rsidRDefault="00816045" w:rsidP="00816045">
      <w:pPr>
        <w:spacing w:before="120"/>
        <w:rPr>
          <w:rFonts w:asciiTheme="minorHAnsi" w:hAnsiTheme="minorHAnsi" w:cstheme="minorHAnsi"/>
          <w:szCs w:val="24"/>
          <w:lang w:val="fr-FR"/>
        </w:rPr>
      </w:pPr>
      <w:r w:rsidRPr="00C50188">
        <w:rPr>
          <w:rFonts w:asciiTheme="minorHAnsi" w:hAnsiTheme="minorHAnsi" w:cstheme="minorHAnsi"/>
          <w:szCs w:val="24"/>
          <w:lang w:val="fr-FR"/>
        </w:rPr>
        <w:t>Cette Recommandation décrit des méthodes de mesure et d'évaluation de l'environnement radioélectrique en intérieur dans lequel des applications de radiocommunication fonctionnent. Compte tenu de l'utilisation de dispositifs radioélectriques en intérieur, il est recommandé de mesurer l'environnement radioélectrique dans des gammes de fréquences au-dessus de 30 MHz.</w:t>
      </w:r>
    </w:p>
    <w:p w:rsidR="00816045" w:rsidRPr="00C50188" w:rsidRDefault="00816045" w:rsidP="00816045">
      <w:pPr>
        <w:spacing w:before="120"/>
        <w:rPr>
          <w:rFonts w:asciiTheme="minorHAnsi" w:hAnsiTheme="minorHAnsi" w:cstheme="minorHAnsi"/>
          <w:szCs w:val="24"/>
          <w:lang w:val="fr-FR"/>
        </w:rPr>
      </w:pPr>
      <w:r w:rsidRPr="00C50188">
        <w:rPr>
          <w:rFonts w:asciiTheme="minorHAnsi" w:hAnsiTheme="minorHAnsi" w:cstheme="minorHAnsi"/>
          <w:szCs w:val="24"/>
          <w:lang w:val="fr-FR"/>
        </w:rPr>
        <w:t>Pour mesurer l'environnement radioélectrique en intérieur, il est nécessaire de disposer d'une méthode uniforme et indépendante de la fréquence si l'on veut obtenir des résultats comparables, précis et reproductibles entre différents systèmes de mesure. Dans cette Recommandation, on trouvera un ensemble de processus ou d'étapes qui devront être intégrés dans une procédure de mesure afin d'obtenir des résultats comparables.</w:t>
      </w:r>
    </w:p>
    <w:p w:rsidR="008754E6" w:rsidRPr="00E83F36" w:rsidRDefault="008754E6" w:rsidP="00EF078A">
      <w:pPr>
        <w:tabs>
          <w:tab w:val="right" w:pos="9639"/>
        </w:tabs>
        <w:spacing w:before="480"/>
        <w:rPr>
          <w:rFonts w:asciiTheme="minorHAnsi" w:hAnsiTheme="minorHAnsi" w:cstheme="minorHAnsi"/>
          <w:szCs w:val="24"/>
          <w:lang w:val="fr-CH"/>
        </w:rPr>
      </w:pPr>
      <w:r w:rsidRPr="00E83F36">
        <w:rPr>
          <w:rFonts w:asciiTheme="minorHAnsi" w:hAnsiTheme="minorHAnsi" w:cstheme="minorHAnsi"/>
          <w:szCs w:val="24"/>
          <w:u w:val="single"/>
          <w:lang w:val="fr-CH"/>
        </w:rPr>
        <w:t xml:space="preserve">Recommandation UIT-R </w:t>
      </w:r>
      <w:proofErr w:type="spellStart"/>
      <w:r w:rsidRPr="00E83F36">
        <w:rPr>
          <w:rFonts w:asciiTheme="minorHAnsi" w:hAnsiTheme="minorHAnsi" w:cstheme="minorHAnsi"/>
          <w:szCs w:val="24"/>
          <w:u w:val="single"/>
          <w:lang w:val="fr-CH"/>
        </w:rPr>
        <w:t>SM.</w:t>
      </w:r>
      <w:r w:rsidR="00EF078A" w:rsidRPr="00E83F36">
        <w:rPr>
          <w:rFonts w:asciiTheme="minorHAnsi" w:hAnsiTheme="minorHAnsi" w:cstheme="minorHAnsi"/>
          <w:szCs w:val="24"/>
          <w:u w:val="single"/>
          <w:lang w:val="fr-CH"/>
        </w:rPr>
        <w:t>2096-0</w:t>
      </w:r>
      <w:proofErr w:type="spellEnd"/>
      <w:r w:rsidRPr="00E83F36">
        <w:rPr>
          <w:rFonts w:asciiTheme="minorHAnsi" w:hAnsiTheme="minorHAnsi" w:cstheme="minorHAnsi"/>
          <w:szCs w:val="24"/>
          <w:lang w:val="fr-CH"/>
        </w:rPr>
        <w:tab/>
        <w:t>Doc. 1/21(</w:t>
      </w:r>
      <w:proofErr w:type="spellStart"/>
      <w:r w:rsidRPr="00E83F36">
        <w:rPr>
          <w:rFonts w:asciiTheme="minorHAnsi" w:hAnsiTheme="minorHAnsi" w:cstheme="minorHAnsi"/>
          <w:szCs w:val="24"/>
          <w:lang w:val="fr-CH"/>
        </w:rPr>
        <w:t>Rév.1</w:t>
      </w:r>
      <w:proofErr w:type="spellEnd"/>
      <w:r w:rsidRPr="00E83F36">
        <w:rPr>
          <w:rFonts w:asciiTheme="minorHAnsi" w:hAnsiTheme="minorHAnsi" w:cstheme="minorHAnsi"/>
          <w:szCs w:val="24"/>
          <w:lang w:val="fr-CH"/>
        </w:rPr>
        <w:t>)</w:t>
      </w:r>
    </w:p>
    <w:p w:rsidR="008754E6" w:rsidRPr="00EF078A" w:rsidRDefault="008754E6" w:rsidP="008754E6">
      <w:pPr>
        <w:pStyle w:val="RectitleAsianMSMincho"/>
        <w:rPr>
          <w:rStyle w:val="RectitleChar"/>
          <w:rFonts w:asciiTheme="minorHAnsi" w:hAnsiTheme="minorHAnsi" w:cstheme="minorHAnsi"/>
          <w:b/>
          <w:bCs/>
          <w:szCs w:val="28"/>
          <w:lang w:val="fr-FR"/>
        </w:rPr>
      </w:pPr>
      <w:r w:rsidRPr="00EF078A">
        <w:rPr>
          <w:lang w:val="fr-FR"/>
        </w:rPr>
        <w:t xml:space="preserve">Procédure de test pour mesurer la sensibilité des radiogoniomètres </w:t>
      </w:r>
      <w:r w:rsidRPr="00EF078A">
        <w:rPr>
          <w:lang w:val="fr-FR"/>
        </w:rPr>
        <w:br/>
      </w:r>
      <w:r w:rsidRPr="00EF078A">
        <w:rPr>
          <w:rStyle w:val="RectitleChar"/>
          <w:rFonts w:asciiTheme="minorHAnsi" w:hAnsiTheme="minorHAnsi" w:cstheme="minorHAnsi"/>
          <w:b/>
          <w:bCs/>
          <w:szCs w:val="28"/>
          <w:lang w:val="fr-FR"/>
        </w:rPr>
        <w:t xml:space="preserve">dans la gamme des ondes métriques et décimétriques </w:t>
      </w:r>
    </w:p>
    <w:p w:rsidR="008754E6" w:rsidRPr="00C50188" w:rsidRDefault="008754E6" w:rsidP="008754E6">
      <w:pPr>
        <w:spacing w:before="120"/>
        <w:rPr>
          <w:rFonts w:asciiTheme="minorHAnsi" w:hAnsiTheme="minorHAnsi" w:cstheme="minorHAnsi"/>
          <w:szCs w:val="24"/>
          <w:lang w:val="fr-FR"/>
        </w:rPr>
      </w:pPr>
      <w:r w:rsidRPr="00C50188">
        <w:rPr>
          <w:rFonts w:asciiTheme="minorHAnsi" w:hAnsiTheme="minorHAnsi" w:cstheme="minorHAnsi"/>
          <w:szCs w:val="24"/>
          <w:lang w:val="fr-FR"/>
        </w:rPr>
        <w:t>La sensibilité des systèmes de radiogoniométrie est importante pour les autorités de régulation et autres entités amenées à localiser des émetteurs. Il est souvent difficile de comparer différents systèmes en raison d'un certain nombre de facteurs, tels que l'architecture des systèmes, l'utilisation/application type, les dimensions, les conditions d'installation, etc. Afin de faciliter la comparaison des systèmes de radiogoniométrie, cette Recommandation donne des indications sur une méthode normalisée à utiliser pour évaluer la sensibilité des radiogoniomètres et communiquer les résultats.</w:t>
      </w:r>
    </w:p>
    <w:p w:rsidR="008754E6" w:rsidRPr="00C50188" w:rsidRDefault="008754E6" w:rsidP="00EF078A">
      <w:pPr>
        <w:tabs>
          <w:tab w:val="right" w:pos="9639"/>
        </w:tabs>
        <w:spacing w:before="480"/>
        <w:rPr>
          <w:rFonts w:asciiTheme="minorHAnsi" w:hAnsiTheme="minorHAnsi" w:cstheme="minorHAnsi"/>
          <w:szCs w:val="24"/>
          <w:lang w:val="fr-FR"/>
        </w:rPr>
      </w:pPr>
      <w:r w:rsidRPr="00C50188">
        <w:rPr>
          <w:rFonts w:asciiTheme="minorHAnsi" w:hAnsiTheme="minorHAnsi" w:cstheme="minorHAnsi"/>
          <w:szCs w:val="24"/>
          <w:u w:val="single"/>
          <w:lang w:val="fr-FR"/>
        </w:rPr>
        <w:t xml:space="preserve">Recommandation UIT-R </w:t>
      </w:r>
      <w:proofErr w:type="spellStart"/>
      <w:r w:rsidRPr="00C50188">
        <w:rPr>
          <w:rFonts w:asciiTheme="minorHAnsi" w:hAnsiTheme="minorHAnsi" w:cstheme="minorHAnsi"/>
          <w:szCs w:val="24"/>
          <w:u w:val="single"/>
          <w:lang w:val="fr-FR"/>
        </w:rPr>
        <w:t>SM.</w:t>
      </w:r>
      <w:r w:rsidR="00EF078A">
        <w:rPr>
          <w:rFonts w:asciiTheme="minorHAnsi" w:hAnsiTheme="minorHAnsi" w:cstheme="minorHAnsi"/>
          <w:szCs w:val="24"/>
          <w:u w:val="single"/>
          <w:lang w:val="fr-FR"/>
        </w:rPr>
        <w:t>2097-0</w:t>
      </w:r>
      <w:proofErr w:type="spellEnd"/>
      <w:r w:rsidRPr="00C50188">
        <w:rPr>
          <w:rFonts w:asciiTheme="minorHAnsi" w:hAnsiTheme="minorHAnsi" w:cstheme="minorHAnsi"/>
          <w:szCs w:val="24"/>
          <w:lang w:val="fr-FR"/>
        </w:rPr>
        <w:tab/>
        <w:t>Doc. 1/28(</w:t>
      </w:r>
      <w:proofErr w:type="spellStart"/>
      <w:r w:rsidRPr="00C50188">
        <w:rPr>
          <w:rFonts w:asciiTheme="minorHAnsi" w:hAnsiTheme="minorHAnsi" w:cstheme="minorHAnsi"/>
          <w:szCs w:val="24"/>
          <w:lang w:val="fr-FR"/>
        </w:rPr>
        <w:t>Rév.1</w:t>
      </w:r>
      <w:proofErr w:type="spellEnd"/>
      <w:r w:rsidRPr="00C50188">
        <w:rPr>
          <w:rFonts w:asciiTheme="minorHAnsi" w:hAnsiTheme="minorHAnsi" w:cstheme="minorHAnsi"/>
          <w:szCs w:val="24"/>
          <w:lang w:val="fr-FR"/>
        </w:rPr>
        <w:t>)</w:t>
      </w:r>
    </w:p>
    <w:p w:rsidR="008754E6" w:rsidRPr="00C50188" w:rsidRDefault="008754E6" w:rsidP="008754E6">
      <w:pPr>
        <w:pStyle w:val="RectitleAsianMSMincho"/>
        <w:rPr>
          <w:rStyle w:val="RectitleChar"/>
          <w:rFonts w:asciiTheme="minorHAnsi" w:hAnsiTheme="minorHAnsi" w:cstheme="minorHAnsi"/>
          <w:b/>
          <w:bCs/>
          <w:szCs w:val="28"/>
          <w:lang w:val="fr-FR"/>
        </w:rPr>
      </w:pPr>
      <w:r w:rsidRPr="00C50188">
        <w:rPr>
          <w:lang w:val="fr-FR"/>
        </w:rPr>
        <w:t>Mesures sur site de la précision d'un radiogoniomètre fixe</w:t>
      </w:r>
    </w:p>
    <w:p w:rsidR="008754E6" w:rsidRDefault="008754E6" w:rsidP="008754E6">
      <w:pPr>
        <w:spacing w:before="120"/>
        <w:rPr>
          <w:rFonts w:asciiTheme="minorHAnsi" w:hAnsiTheme="minorHAnsi" w:cstheme="minorHAnsi"/>
          <w:szCs w:val="24"/>
          <w:lang w:val="fr-FR"/>
        </w:rPr>
      </w:pPr>
      <w:r w:rsidRPr="00C50188">
        <w:rPr>
          <w:rFonts w:asciiTheme="minorHAnsi" w:hAnsiTheme="minorHAnsi" w:cstheme="minorHAnsi"/>
          <w:szCs w:val="24"/>
          <w:lang w:val="fr-FR"/>
        </w:rPr>
        <w:t>Cette Recommandation donne des indications sur les méthodes normalisées à utiliser pour évaluer la précision de relèvement d'un radiogoniomètre fixe dans son environnement final et communiquer les résultats. Elle peut être utilisée dans le cadre d'un test de validation sur site pour les services de contrôle après l'installation sur le site.</w:t>
      </w:r>
    </w:p>
    <w:p w:rsidR="00EF078A" w:rsidRPr="00C50188" w:rsidRDefault="00EF078A" w:rsidP="008754E6">
      <w:pPr>
        <w:spacing w:before="120"/>
        <w:rPr>
          <w:rStyle w:val="RectitleChar"/>
          <w:rFonts w:asciiTheme="minorHAnsi" w:hAnsiTheme="minorHAnsi" w:cstheme="minorHAnsi"/>
          <w:b w:val="0"/>
          <w:szCs w:val="24"/>
          <w:lang w:val="fr-FR"/>
        </w:rPr>
      </w:pPr>
    </w:p>
    <w:p w:rsidR="008754E6" w:rsidRPr="00E83F36" w:rsidRDefault="008754E6" w:rsidP="0032202E">
      <w:pPr>
        <w:pStyle w:val="Reasons"/>
        <w:rPr>
          <w:lang w:val="fr-CH"/>
        </w:rPr>
      </w:pPr>
    </w:p>
    <w:p w:rsidR="003708BF" w:rsidRPr="008754E6" w:rsidRDefault="008754E6" w:rsidP="008754E6">
      <w:pPr>
        <w:jc w:val="center"/>
      </w:pPr>
      <w:r>
        <w:t>______________</w:t>
      </w:r>
    </w:p>
    <w:sectPr w:rsidR="003708BF" w:rsidRPr="008754E6"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52" w:rsidRDefault="00F55652">
      <w:r>
        <w:separator/>
      </w:r>
    </w:p>
  </w:endnote>
  <w:endnote w:type="continuationSeparator" w:id="0">
    <w:p w:rsidR="00F55652" w:rsidRDefault="00F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F55652">
      <w:rPr>
        <w:color w:val="3E8EDE"/>
        <w:sz w:val="18"/>
        <w:szCs w:val="18"/>
        <w:lang w:val="fr-CH"/>
      </w:rPr>
      <w:t>Union internationale des télécommunications • Place des Nations • CH</w:t>
    </w:r>
    <w:r w:rsidRPr="00F55652">
      <w:rPr>
        <w:color w:val="3E8EDE"/>
        <w:sz w:val="18"/>
        <w:szCs w:val="18"/>
        <w:lang w:val="fr-CH"/>
      </w:rPr>
      <w:noBreakHyphen/>
      <w:t xml:space="preserve">1211 Genève 20 • Suisse </w:t>
    </w:r>
    <w:r w:rsidRPr="00F55652">
      <w:rPr>
        <w:color w:val="3E8EDE"/>
        <w:sz w:val="18"/>
        <w:szCs w:val="18"/>
        <w:lang w:val="fr-CH"/>
      </w:rPr>
      <w:br/>
      <w:t xml:space="preserve">Tél: +41 22 730 5111 • Fax: +41 22 733 7256 • </w:t>
    </w:r>
    <w:r w:rsidR="0088443B" w:rsidRPr="00F55652">
      <w:rPr>
        <w:color w:val="3E8EDE"/>
        <w:sz w:val="18"/>
        <w:szCs w:val="18"/>
        <w:lang w:val="fr-CH"/>
      </w:rPr>
      <w:br/>
    </w:r>
    <w:r w:rsidRPr="00F55652">
      <w:rPr>
        <w:color w:val="3E8EDE"/>
        <w:sz w:val="18"/>
        <w:szCs w:val="18"/>
        <w:lang w:val="fr-CH"/>
      </w:rPr>
      <w:t>Courriel:</w:t>
    </w:r>
    <w:r w:rsidRPr="00E53DCE">
      <w:rPr>
        <w:sz w:val="18"/>
        <w:szCs w:val="18"/>
        <w:lang w:val="fr-FR"/>
      </w:rPr>
      <w:t xml:space="preserve"> </w:t>
    </w:r>
    <w:r w:rsidR="0066580D">
      <w:fldChar w:fldCharType="begin"/>
    </w:r>
    <w:r w:rsidR="0066580D" w:rsidRPr="0066580D">
      <w:rPr>
        <w:lang w:val="fr-CH"/>
      </w:rPr>
      <w:instrText xml:space="preserve"> HYPERLINK "mailto:itumail@itu.int" </w:instrText>
    </w:r>
    <w:r w:rsidR="0066580D">
      <w:fldChar w:fldCharType="separate"/>
    </w:r>
    <w:proofErr w:type="spellStart"/>
    <w:r w:rsidR="00C236AF" w:rsidRPr="00F55652">
      <w:rPr>
        <w:rStyle w:val="Hyperlink"/>
        <w:color w:val="3E8EDE"/>
        <w:sz w:val="18"/>
        <w:szCs w:val="18"/>
        <w:lang w:val="fr-CH"/>
      </w:rPr>
      <w:t>itumail@itu.int</w:t>
    </w:r>
    <w:proofErr w:type="spellEnd"/>
    <w:r w:rsidR="0066580D">
      <w:rPr>
        <w:rStyle w:val="Hyperlink"/>
        <w:color w:val="3E8EDE"/>
        <w:sz w:val="18"/>
        <w:szCs w:val="18"/>
        <w:lang w:val="fr-CH"/>
      </w:rPr>
      <w:fldChar w:fldCharType="end"/>
    </w:r>
    <w:r w:rsidR="00C236AF" w:rsidRPr="00F55652">
      <w:rPr>
        <w:color w:val="3E8EDE"/>
        <w:sz w:val="18"/>
        <w:szCs w:val="18"/>
        <w:lang w:val="fr-CH"/>
      </w:rPr>
      <w:t xml:space="preserve"> • </w:t>
    </w:r>
    <w:r w:rsidR="0066580D">
      <w:fldChar w:fldCharType="begin"/>
    </w:r>
    <w:r w:rsidR="0066580D" w:rsidRPr="0066580D">
      <w:rPr>
        <w:lang w:val="fr-CH"/>
      </w:rPr>
      <w:instrText xml:space="preserve"> HYPERLINK "http://www.itu.int" </w:instrText>
    </w:r>
    <w:r w:rsidR="0066580D">
      <w:fldChar w:fldCharType="separate"/>
    </w:r>
    <w:proofErr w:type="spellStart"/>
    <w:r w:rsidR="00C236AF" w:rsidRPr="00F55652">
      <w:rPr>
        <w:rStyle w:val="Hyperlink"/>
        <w:color w:val="3E8EDE"/>
        <w:sz w:val="18"/>
        <w:szCs w:val="18"/>
        <w:lang w:val="fr-CH"/>
      </w:rPr>
      <w:t>www.itu.int</w:t>
    </w:r>
    <w:proofErr w:type="spellEnd"/>
    <w:r w:rsidR="0066580D">
      <w:rPr>
        <w:rStyle w:val="Hyperlink"/>
        <w:color w:val="3E8EDE"/>
        <w:sz w:val="18"/>
        <w:szCs w:val="18"/>
        <w:lang w:val="fr-CH"/>
      </w:rPr>
      <w:fldChar w:fldCharType="end"/>
    </w:r>
    <w:r w:rsidR="00C236AF" w:rsidRPr="00F55652">
      <w:rPr>
        <w:color w:val="3E8EDE"/>
        <w:sz w:val="18"/>
        <w:szCs w:val="18"/>
        <w:lang w:val="fr-CH"/>
      </w:rPr>
      <w:t xml:space="preserve"> • </w:t>
    </w:r>
    <w:r w:rsidR="0066580D">
      <w:fldChar w:fldCharType="begin"/>
    </w:r>
    <w:r w:rsidR="0066580D" w:rsidRPr="0066580D">
      <w:rPr>
        <w:lang w:val="fr-CH"/>
      </w:rPr>
      <w:instrText xml:space="preserve"> HYPERLINK "http://www.itu.int/go/RR110" </w:instrText>
    </w:r>
    <w:r w:rsidR="0066580D">
      <w:fldChar w:fldCharType="separate"/>
    </w:r>
    <w:proofErr w:type="spellStart"/>
    <w:r w:rsidR="00C236AF" w:rsidRPr="00F55652">
      <w:rPr>
        <w:rStyle w:val="Hyperlink"/>
        <w:color w:val="3E8EDE"/>
        <w:sz w:val="18"/>
        <w:szCs w:val="18"/>
        <w:lang w:val="fr-CH"/>
      </w:rPr>
      <w:t>www.itu.int</w:t>
    </w:r>
    <w:proofErr w:type="spellEnd"/>
    <w:r w:rsidR="00C236AF" w:rsidRPr="00F55652">
      <w:rPr>
        <w:rStyle w:val="Hyperlink"/>
        <w:color w:val="3E8EDE"/>
        <w:sz w:val="18"/>
        <w:szCs w:val="18"/>
        <w:lang w:val="fr-CH"/>
      </w:rPr>
      <w:t>/go/</w:t>
    </w:r>
    <w:proofErr w:type="spellStart"/>
    <w:r w:rsidR="00C236AF" w:rsidRPr="00F55652">
      <w:rPr>
        <w:rStyle w:val="Hyperlink"/>
        <w:color w:val="3E8EDE"/>
        <w:sz w:val="18"/>
        <w:szCs w:val="18"/>
        <w:lang w:val="fr-CH"/>
      </w:rPr>
      <w:t>RR110</w:t>
    </w:r>
    <w:proofErr w:type="spellEnd"/>
    <w:r w:rsidR="0066580D">
      <w:rPr>
        <w:rStyle w:val="Hyperlink"/>
        <w:color w:val="3E8EDE"/>
        <w:sz w:val="18"/>
        <w:szCs w:val="18"/>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52" w:rsidRDefault="00F55652">
      <w:r>
        <w:t>____________________</w:t>
      </w:r>
    </w:p>
  </w:footnote>
  <w:footnote w:type="continuationSeparator" w:id="0">
    <w:p w:rsidR="00F55652" w:rsidRDefault="00F55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8754E6">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66580D">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6F38C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5565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08B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2448D"/>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6580D"/>
    <w:rsid w:val="006829F3"/>
    <w:rsid w:val="006A518B"/>
    <w:rsid w:val="006B0590"/>
    <w:rsid w:val="006B49DA"/>
    <w:rsid w:val="006C53F8"/>
    <w:rsid w:val="006C7CDE"/>
    <w:rsid w:val="006F38C7"/>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16045"/>
    <w:rsid w:val="00854131"/>
    <w:rsid w:val="0085652D"/>
    <w:rsid w:val="008754E6"/>
    <w:rsid w:val="00875524"/>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66EB"/>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56A"/>
    <w:rsid w:val="00E80E61"/>
    <w:rsid w:val="00E83F36"/>
    <w:rsid w:val="00E915AF"/>
    <w:rsid w:val="00E96415"/>
    <w:rsid w:val="00EA15B3"/>
    <w:rsid w:val="00EA2C83"/>
    <w:rsid w:val="00EB2358"/>
    <w:rsid w:val="00EB3EB8"/>
    <w:rsid w:val="00EC00EF"/>
    <w:rsid w:val="00EC02FE"/>
    <w:rsid w:val="00EC4A96"/>
    <w:rsid w:val="00EE03A0"/>
    <w:rsid w:val="00EE1A57"/>
    <w:rsid w:val="00EF078A"/>
    <w:rsid w:val="00F424BF"/>
    <w:rsid w:val="00F44FC3"/>
    <w:rsid w:val="00F46107"/>
    <w:rsid w:val="00F468C5"/>
    <w:rsid w:val="00F52F39"/>
    <w:rsid w:val="00F55652"/>
    <w:rsid w:val="00F6184F"/>
    <w:rsid w:val="00F73DBD"/>
    <w:rsid w:val="00F8090C"/>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FA92672-0ED4-453E-8509-0BEA3B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F38C7"/>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70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8754E6"/>
    <w:rPr>
      <w:b/>
      <w:sz w:val="28"/>
      <w:szCs w:val="22"/>
      <w:lang w:val="en-US" w:eastAsia="en-US"/>
    </w:rPr>
  </w:style>
  <w:style w:type="paragraph" w:customStyle="1" w:styleId="RectitleAsianMSMincho">
    <w:name w:val="Rec_title + (Asian) MS Mincho"/>
    <w:basedOn w:val="Rectitle"/>
    <w:rsid w:val="008754E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F88FF3F5E43DA8AB7D8A295CDC0F3"/>
        <w:category>
          <w:name w:val="General"/>
          <w:gallery w:val="placeholder"/>
        </w:category>
        <w:types>
          <w:type w:val="bbPlcHdr"/>
        </w:types>
        <w:behaviors>
          <w:behavior w:val="content"/>
        </w:behaviors>
        <w:guid w:val="{ADC79732-BCC5-49F5-8118-ED1AE8E29C3E}"/>
      </w:docPartPr>
      <w:docPartBody>
        <w:p w:rsidR="0052358D" w:rsidRDefault="0052358D">
          <w:pPr>
            <w:pStyle w:val="CBFF88FF3F5E43DA8AB7D8A295CDC0F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8D"/>
    <w:rsid w:val="00523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FF88FF3F5E43DA8AB7D8A295CDC0F3">
    <w:name w:val="CBFF88FF3F5E43DA8AB7D8A295CDC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242A-3953-4644-ADFB-542604DE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19</TotalTime>
  <Pages>2</Pages>
  <Words>548</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I T U</cp:lastModifiedBy>
  <cp:revision>9</cp:revision>
  <cp:lastPrinted>2013-03-08T10:15:00Z</cp:lastPrinted>
  <dcterms:created xsi:type="dcterms:W3CDTF">2016-08-22T09:35:00Z</dcterms:created>
  <dcterms:modified xsi:type="dcterms:W3CDTF">2016-08-25T14:31:00Z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