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C37054">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C37054">
            <w:pPr>
              <w:spacing w:before="0" w:line="240" w:lineRule="auto"/>
              <w:jc w:val="left"/>
              <w:rPr>
                <w:rFonts w:cstheme="minorHAnsi"/>
                <w:b/>
                <w:bCs/>
                <w:color w:val="808080"/>
                <w:sz w:val="28"/>
                <w:szCs w:val="28"/>
                <w:lang w:val="en-GB"/>
              </w:rPr>
            </w:pPr>
          </w:p>
          <w:p w:rsidR="00E53DCE" w:rsidRPr="00AF70DA" w:rsidRDefault="00E53DCE" w:rsidP="00C37054">
            <w:pPr>
              <w:spacing w:before="0" w:line="240" w:lineRule="auto"/>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C37054">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7D4C91" w:rsidP="00C37054">
            <w:pPr>
              <w:spacing w:before="0" w:line="240" w:lineRule="auto"/>
              <w:jc w:val="left"/>
              <w:rPr>
                <w:b/>
                <w:bCs/>
                <w:szCs w:val="24"/>
                <w:lang w:val="fr-CH"/>
              </w:rPr>
            </w:pPr>
            <w:r w:rsidRPr="007D4C91">
              <w:rPr>
                <w:b/>
                <w:bCs/>
                <w:szCs w:val="24"/>
                <w:lang w:val="fr-CH"/>
              </w:rPr>
              <w:t>CACE/</w:t>
            </w:r>
            <w:r w:rsidR="00A23FF2">
              <w:rPr>
                <w:b/>
                <w:bCs/>
                <w:szCs w:val="24"/>
                <w:lang w:val="fr-CH"/>
              </w:rPr>
              <w:t>768</w:t>
            </w:r>
          </w:p>
        </w:tc>
        <w:tc>
          <w:tcPr>
            <w:tcW w:w="2835" w:type="dxa"/>
            <w:shd w:val="clear" w:color="auto" w:fill="auto"/>
          </w:tcPr>
          <w:p w:rsidR="00E53DCE" w:rsidRPr="00334544" w:rsidRDefault="00144A26" w:rsidP="007C4C77">
            <w:pPr>
              <w:spacing w:before="0" w:line="240" w:lineRule="auto"/>
              <w:jc w:val="right"/>
              <w:rPr>
                <w:szCs w:val="24"/>
                <w:lang w:val="en-GB"/>
              </w:rPr>
            </w:pPr>
            <w:r>
              <w:rPr>
                <w:rFonts w:hint="eastAsia"/>
                <w:szCs w:val="24"/>
                <w:lang w:eastAsia="zh-CN"/>
              </w:rPr>
              <w:t>2</w:t>
            </w:r>
            <w:r>
              <w:rPr>
                <w:szCs w:val="24"/>
                <w:lang w:eastAsia="zh-CN"/>
              </w:rPr>
              <w:t>016</w:t>
            </w:r>
            <w:r>
              <w:rPr>
                <w:rFonts w:hint="eastAsia"/>
                <w:szCs w:val="24"/>
                <w:lang w:eastAsia="zh-CN"/>
              </w:rPr>
              <w:t>年</w:t>
            </w:r>
            <w:r w:rsidR="007C4C77">
              <w:rPr>
                <w:szCs w:val="24"/>
                <w:lang w:eastAsia="zh-CN"/>
              </w:rPr>
              <w:t>5</w:t>
            </w:r>
            <w:r>
              <w:rPr>
                <w:rFonts w:hint="eastAsia"/>
                <w:szCs w:val="24"/>
                <w:lang w:eastAsia="zh-CN"/>
              </w:rPr>
              <w:t>月</w:t>
            </w:r>
            <w:r w:rsidR="007C4C77">
              <w:rPr>
                <w:szCs w:val="24"/>
                <w:lang w:eastAsia="zh-CN"/>
              </w:rPr>
              <w:t>3</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C37054">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C37054">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7D4C91" w:rsidRDefault="007D4C91" w:rsidP="00C37054">
            <w:pPr>
              <w:spacing w:before="0" w:line="240" w:lineRule="auto"/>
              <w:jc w:val="left"/>
              <w:rPr>
                <w:rFonts w:eastAsia="SimSun"/>
                <w:b/>
                <w:bCs/>
                <w:szCs w:val="24"/>
                <w:lang w:eastAsia="zh-CN"/>
              </w:rPr>
            </w:pPr>
            <w:r w:rsidRPr="007D4C91">
              <w:rPr>
                <w:rFonts w:eastAsia="SimSun" w:hint="eastAsia"/>
                <w:b/>
                <w:bCs/>
                <w:szCs w:val="24"/>
                <w:lang w:eastAsia="zh-CN"/>
              </w:rPr>
              <w:t>致国际电联各成员国主管部门、无线电通信部门成员、参加无线电通信第</w:t>
            </w:r>
            <w:r w:rsidR="00A23FF2">
              <w:rPr>
                <w:rFonts w:eastAsia="SimSun"/>
                <w:b/>
                <w:bCs/>
                <w:szCs w:val="24"/>
                <w:lang w:eastAsia="zh-CN"/>
              </w:rPr>
              <w:t>6</w:t>
            </w:r>
            <w:r w:rsidRPr="007D4C91">
              <w:rPr>
                <w:rFonts w:eastAsia="SimSun" w:hint="eastAsia"/>
                <w:b/>
                <w:bCs/>
                <w:szCs w:val="24"/>
                <w:lang w:eastAsia="zh-CN"/>
              </w:rPr>
              <w:t>研究组工作的</w:t>
            </w:r>
            <w:r w:rsidRPr="007D4C91">
              <w:rPr>
                <w:rFonts w:eastAsia="SimSun" w:hint="eastAsia"/>
                <w:b/>
                <w:bCs/>
                <w:szCs w:val="24"/>
                <w:lang w:eastAsia="zh-CN"/>
              </w:rPr>
              <w:t>ITU-R</w:t>
            </w:r>
            <w:r w:rsidRPr="007D4C91">
              <w:rPr>
                <w:rFonts w:eastAsia="SimSun" w:hint="eastAsia"/>
                <w:b/>
                <w:bCs/>
                <w:szCs w:val="24"/>
                <w:lang w:eastAsia="zh-CN"/>
              </w:rPr>
              <w:t>部门准成员以及国际电联学术成员</w:t>
            </w:r>
          </w:p>
          <w:p w:rsidR="00E53DCE" w:rsidRPr="00334544" w:rsidRDefault="00E53DCE" w:rsidP="00C37054">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C37054">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C37054">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C37054">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7D4C91" w:rsidRPr="007D4C91" w:rsidRDefault="007D4C91" w:rsidP="00C37054">
            <w:pPr>
              <w:tabs>
                <w:tab w:val="clear" w:pos="1588"/>
                <w:tab w:val="left" w:pos="1560"/>
              </w:tabs>
              <w:spacing w:before="0" w:line="240" w:lineRule="auto"/>
              <w:rPr>
                <w:b/>
                <w:bCs/>
                <w:szCs w:val="24"/>
                <w:lang w:eastAsia="zh-CN"/>
              </w:rPr>
            </w:pPr>
            <w:r w:rsidRPr="007D4C91">
              <w:rPr>
                <w:rFonts w:hint="eastAsia"/>
                <w:b/>
                <w:bCs/>
                <w:szCs w:val="24"/>
                <w:lang w:eastAsia="zh-CN"/>
              </w:rPr>
              <w:t>无线电通信第</w:t>
            </w:r>
            <w:r w:rsidR="00A23FF2">
              <w:rPr>
                <w:b/>
                <w:bCs/>
                <w:szCs w:val="24"/>
                <w:lang w:eastAsia="zh-CN"/>
              </w:rPr>
              <w:t>6</w:t>
            </w:r>
            <w:r w:rsidRPr="007D4C91">
              <w:rPr>
                <w:rFonts w:hint="eastAsia"/>
                <w:b/>
                <w:bCs/>
                <w:szCs w:val="24"/>
                <w:lang w:eastAsia="zh-CN"/>
              </w:rPr>
              <w:t>研究组（</w:t>
            </w:r>
            <w:r w:rsidR="00A23FF2">
              <w:rPr>
                <w:rFonts w:hint="eastAsia"/>
                <w:b/>
                <w:bCs/>
                <w:szCs w:val="24"/>
                <w:lang w:eastAsia="zh-CN"/>
              </w:rPr>
              <w:t>广播</w:t>
            </w:r>
            <w:r w:rsidR="00A23FF2">
              <w:rPr>
                <w:b/>
                <w:bCs/>
                <w:szCs w:val="24"/>
                <w:lang w:eastAsia="zh-CN"/>
              </w:rPr>
              <w:t>业务</w:t>
            </w:r>
            <w:r w:rsidRPr="007D4C91">
              <w:rPr>
                <w:rFonts w:hint="eastAsia"/>
                <w:b/>
                <w:bCs/>
                <w:szCs w:val="24"/>
                <w:lang w:eastAsia="zh-CN"/>
              </w:rPr>
              <w:t>）</w:t>
            </w:r>
          </w:p>
          <w:p w:rsidR="007D4C91" w:rsidRPr="007D4C91" w:rsidRDefault="007D4C91" w:rsidP="00C37054">
            <w:pPr>
              <w:tabs>
                <w:tab w:val="clear" w:pos="794"/>
                <w:tab w:val="clear" w:pos="1588"/>
                <w:tab w:val="left" w:pos="270"/>
                <w:tab w:val="left" w:pos="1560"/>
              </w:tabs>
              <w:spacing w:before="80" w:line="240" w:lineRule="auto"/>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sidR="00A23FF2">
              <w:rPr>
                <w:b/>
                <w:bCs/>
                <w:szCs w:val="24"/>
                <w:lang w:eastAsia="zh-CN"/>
              </w:rPr>
              <w:t>2</w:t>
            </w:r>
            <w:r w:rsidRPr="007D4C91">
              <w:rPr>
                <w:rFonts w:hint="eastAsia"/>
                <w:b/>
                <w:bCs/>
                <w:szCs w:val="24"/>
                <w:lang w:eastAsia="zh-CN"/>
              </w:rPr>
              <w:t>个经修订的</w:t>
            </w:r>
            <w:r w:rsidRPr="007D4C91">
              <w:rPr>
                <w:rFonts w:hint="eastAsia"/>
                <w:b/>
                <w:bCs/>
                <w:szCs w:val="24"/>
                <w:lang w:eastAsia="zh-CN"/>
              </w:rPr>
              <w:t>ITU-R</w:t>
            </w:r>
            <w:r w:rsidRPr="007D4C91">
              <w:rPr>
                <w:rFonts w:hint="eastAsia"/>
                <w:b/>
                <w:bCs/>
                <w:szCs w:val="24"/>
                <w:lang w:eastAsia="zh-CN"/>
              </w:rPr>
              <w:t>课题</w:t>
            </w:r>
          </w:p>
          <w:p w:rsidR="00E53DCE" w:rsidRPr="00334544" w:rsidRDefault="00A23FF2" w:rsidP="00C37054">
            <w:pPr>
              <w:tabs>
                <w:tab w:val="clear" w:pos="794"/>
                <w:tab w:val="clear" w:pos="1588"/>
                <w:tab w:val="left" w:pos="284"/>
                <w:tab w:val="left" w:pos="1560"/>
              </w:tabs>
              <w:spacing w:before="80" w:line="240" w:lineRule="auto"/>
              <w:rPr>
                <w:b/>
                <w:bCs/>
                <w:szCs w:val="24"/>
                <w:lang w:eastAsia="zh-CN"/>
              </w:rPr>
            </w:pPr>
            <w:r>
              <w:rPr>
                <w:b/>
                <w:bCs/>
                <w:szCs w:val="24"/>
                <w:lang w:eastAsia="zh-CN"/>
              </w:rPr>
              <w:t xml:space="preserve"> </w:t>
            </w:r>
          </w:p>
        </w:tc>
      </w:tr>
      <w:tr w:rsidR="00E53DCE" w:rsidRPr="00334544" w:rsidTr="00DA4711">
        <w:trPr>
          <w:jc w:val="center"/>
        </w:trPr>
        <w:tc>
          <w:tcPr>
            <w:tcW w:w="1526" w:type="dxa"/>
            <w:shd w:val="clear" w:color="auto" w:fill="auto"/>
          </w:tcPr>
          <w:p w:rsidR="00E53DCE" w:rsidRPr="00334544" w:rsidRDefault="00E53DCE" w:rsidP="00C3705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C37054">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C3705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C37054">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C37054">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C37054">
            <w:pPr>
              <w:spacing w:before="0" w:line="240" w:lineRule="auto"/>
              <w:jc w:val="left"/>
              <w:rPr>
                <w:b/>
                <w:bCs/>
                <w:szCs w:val="24"/>
                <w:lang w:eastAsia="zh-CN"/>
              </w:rPr>
            </w:pPr>
          </w:p>
        </w:tc>
      </w:tr>
    </w:tbl>
    <w:p w:rsidR="007D4C91" w:rsidRDefault="007D4C91" w:rsidP="00C37054">
      <w:pPr>
        <w:spacing w:line="240" w:lineRule="auto"/>
        <w:ind w:firstLineChars="200" w:firstLine="480"/>
        <w:rPr>
          <w:lang w:eastAsia="zh-CN"/>
        </w:rPr>
      </w:pPr>
      <w:r>
        <w:rPr>
          <w:rFonts w:hint="eastAsia"/>
          <w:lang w:eastAsia="zh-CN"/>
        </w:rPr>
        <w:t>根据</w:t>
      </w:r>
      <w:r>
        <w:rPr>
          <w:lang w:val="fr-FR" w:eastAsia="zh-CN"/>
        </w:rPr>
        <w:t>201</w:t>
      </w:r>
      <w:r>
        <w:rPr>
          <w:rFonts w:hint="eastAsia"/>
          <w:lang w:val="fr-FR" w:eastAsia="zh-CN"/>
        </w:rPr>
        <w:t>6</w:t>
      </w:r>
      <w:r>
        <w:rPr>
          <w:rFonts w:hint="eastAsia"/>
          <w:lang w:eastAsia="zh-CN"/>
        </w:rPr>
        <w:t>年</w:t>
      </w:r>
      <w:r w:rsidR="00A23FF2">
        <w:rPr>
          <w:lang w:eastAsia="zh-CN"/>
        </w:rPr>
        <w:t>2</w:t>
      </w:r>
      <w:r>
        <w:rPr>
          <w:rFonts w:hint="eastAsia"/>
          <w:lang w:eastAsia="zh-CN"/>
        </w:rPr>
        <w:t>月</w:t>
      </w:r>
      <w:r w:rsidR="00A23FF2">
        <w:rPr>
          <w:lang w:eastAsia="zh-CN"/>
        </w:rPr>
        <w:t>19</w:t>
      </w:r>
      <w:r>
        <w:rPr>
          <w:rFonts w:hint="eastAsia"/>
          <w:lang w:eastAsia="zh-CN"/>
        </w:rPr>
        <w:t>日第</w:t>
      </w:r>
      <w:r>
        <w:rPr>
          <w:lang w:val="fr-FR" w:eastAsia="zh-CN"/>
        </w:rPr>
        <w:t>CACE/</w:t>
      </w:r>
      <w:r w:rsidR="00A23FF2">
        <w:rPr>
          <w:lang w:val="fr-FR" w:eastAsia="zh-CN"/>
        </w:rPr>
        <w:t>765</w:t>
      </w:r>
      <w:r>
        <w:rPr>
          <w:rFonts w:hint="eastAsia"/>
          <w:lang w:eastAsia="zh-CN"/>
        </w:rPr>
        <w:t>号行政通函，</w:t>
      </w:r>
      <w:r w:rsidR="00A23FF2">
        <w:rPr>
          <w:lang w:eastAsia="zh-CN"/>
        </w:rPr>
        <w:t>2</w:t>
      </w:r>
      <w:r>
        <w:rPr>
          <w:rFonts w:hint="eastAsia"/>
          <w:lang w:eastAsia="zh-CN"/>
        </w:rPr>
        <w:t>份经修订的</w:t>
      </w:r>
      <w:r>
        <w:rPr>
          <w:lang w:eastAsia="zh-CN"/>
        </w:rPr>
        <w:t>ITU-R</w:t>
      </w:r>
      <w:r>
        <w:rPr>
          <w:rFonts w:hint="eastAsia"/>
          <w:lang w:eastAsia="zh-CN"/>
        </w:rPr>
        <w:t>课题草案已按照</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A2.5.2.3</w:t>
      </w:r>
      <w:r>
        <w:rPr>
          <w:rFonts w:hint="eastAsia"/>
          <w:lang w:eastAsia="zh-CN"/>
        </w:rPr>
        <w:t>段）</w:t>
      </w:r>
      <w:r>
        <w:rPr>
          <w:rFonts w:hint="eastAsia"/>
          <w:lang w:val="fr-FR" w:eastAsia="zh-CN"/>
        </w:rPr>
        <w:t>提交信函</w:t>
      </w:r>
      <w:r>
        <w:rPr>
          <w:rFonts w:hint="eastAsia"/>
          <w:lang w:eastAsia="zh-CN"/>
        </w:rPr>
        <w:t>批准。</w:t>
      </w:r>
      <w:r w:rsidR="00A23FF2">
        <w:rPr>
          <w:rFonts w:hint="eastAsia"/>
          <w:lang w:eastAsia="zh-CN"/>
        </w:rPr>
        <w:t xml:space="preserve"> </w:t>
      </w:r>
    </w:p>
    <w:p w:rsidR="007D4C91" w:rsidRDefault="007D4C91" w:rsidP="00C37054">
      <w:pPr>
        <w:spacing w:line="240" w:lineRule="auto"/>
        <w:ind w:firstLineChars="200" w:firstLine="480"/>
        <w:rPr>
          <w:bCs/>
          <w:lang w:eastAsia="zh-CN"/>
        </w:rPr>
      </w:pPr>
      <w:r>
        <w:rPr>
          <w:rFonts w:hint="eastAsia"/>
          <w:lang w:eastAsia="zh-CN"/>
        </w:rPr>
        <w:t>有关此程序的条件已于</w:t>
      </w:r>
      <w:r>
        <w:rPr>
          <w:lang w:eastAsia="zh-CN"/>
        </w:rPr>
        <w:t>201</w:t>
      </w:r>
      <w:r>
        <w:rPr>
          <w:rFonts w:hint="eastAsia"/>
          <w:lang w:eastAsia="zh-CN"/>
        </w:rPr>
        <w:t>6</w:t>
      </w:r>
      <w:r>
        <w:rPr>
          <w:rFonts w:hint="eastAsia"/>
          <w:lang w:eastAsia="zh-CN"/>
        </w:rPr>
        <w:t>年</w:t>
      </w:r>
      <w:r w:rsidR="00A23FF2">
        <w:rPr>
          <w:lang w:eastAsia="zh-CN"/>
        </w:rPr>
        <w:t>4</w:t>
      </w:r>
      <w:r>
        <w:rPr>
          <w:rFonts w:hint="eastAsia"/>
          <w:lang w:eastAsia="zh-CN"/>
        </w:rPr>
        <w:t>月</w:t>
      </w:r>
      <w:r w:rsidR="00A23FF2">
        <w:rPr>
          <w:lang w:eastAsia="zh-CN"/>
        </w:rPr>
        <w:t>19</w:t>
      </w:r>
      <w:r>
        <w:rPr>
          <w:rFonts w:hint="eastAsia"/>
          <w:lang w:eastAsia="zh-CN"/>
        </w:rPr>
        <w:t>日得到满足</w:t>
      </w:r>
      <w:r>
        <w:rPr>
          <w:rFonts w:hint="eastAsia"/>
          <w:bCs/>
          <w:lang w:eastAsia="zh-CN"/>
        </w:rPr>
        <w:t>。</w:t>
      </w:r>
    </w:p>
    <w:p w:rsidR="007D4C91" w:rsidRPr="002C4903" w:rsidRDefault="007D4C91" w:rsidP="00C37054">
      <w:pPr>
        <w:spacing w:line="240" w:lineRule="auto"/>
        <w:ind w:firstLineChars="200" w:firstLine="480"/>
        <w:rPr>
          <w:rFonts w:hAnsi="SimSun"/>
          <w:lang w:eastAsia="zh-CN"/>
        </w:rPr>
      </w:pPr>
      <w:r>
        <w:rPr>
          <w:rFonts w:hint="eastAsia"/>
          <w:lang w:eastAsia="zh-CN"/>
        </w:rPr>
        <w:t>已</w:t>
      </w:r>
      <w:r>
        <w:rPr>
          <w:rFonts w:hAnsi="SimSun" w:hint="eastAsia"/>
          <w:lang w:eastAsia="zh-CN"/>
        </w:rPr>
        <w:t>经批准的课题案文列在本函附件中供参考（附件</w:t>
      </w:r>
      <w:r>
        <w:rPr>
          <w:lang w:eastAsia="zh-CN"/>
        </w:rPr>
        <w:t>1</w:t>
      </w:r>
      <w:r>
        <w:rPr>
          <w:rFonts w:hAnsi="SimSun" w:hint="eastAsia"/>
          <w:lang w:eastAsia="zh-CN"/>
        </w:rPr>
        <w:t>至</w:t>
      </w:r>
      <w:r w:rsidR="00A23FF2">
        <w:rPr>
          <w:lang w:eastAsia="zh-CN"/>
        </w:rPr>
        <w:t>2</w:t>
      </w:r>
      <w:r>
        <w:rPr>
          <w:rFonts w:hAnsi="SimSun" w:hint="eastAsia"/>
          <w:lang w:eastAsia="zh-CN"/>
        </w:rPr>
        <w:t>），并</w:t>
      </w:r>
      <w:r w:rsidR="008C120D">
        <w:rPr>
          <w:rFonts w:hAnsi="SimSun" w:hint="eastAsia"/>
          <w:lang w:eastAsia="zh-CN"/>
        </w:rPr>
        <w:t>由国际电联</w:t>
      </w:r>
      <w:r>
        <w:rPr>
          <w:rFonts w:hAnsi="SimSun" w:hint="eastAsia"/>
          <w:lang w:eastAsia="zh-CN"/>
        </w:rPr>
        <w:t>予以公布。</w:t>
      </w:r>
      <w:r w:rsidR="00A23FF2">
        <w:rPr>
          <w:rFonts w:hAnsi="SimSun" w:hint="eastAsia"/>
          <w:lang w:eastAsia="zh-CN"/>
        </w:rPr>
        <w:t xml:space="preserve"> </w:t>
      </w:r>
    </w:p>
    <w:p w:rsidR="007D4C91" w:rsidRDefault="007D4C91" w:rsidP="00C37054">
      <w:pPr>
        <w:spacing w:before="960" w:line="240" w:lineRule="auto"/>
        <w:jc w:val="left"/>
        <w:rPr>
          <w:lang w:eastAsia="zh-CN"/>
        </w:rPr>
      </w:pPr>
      <w:r>
        <w:rPr>
          <w:rFonts w:hint="eastAsia"/>
          <w:lang w:eastAsia="zh-CN"/>
        </w:rPr>
        <w:t>主任</w:t>
      </w:r>
      <w:r w:rsidR="003E0795">
        <w:rPr>
          <w:lang w:eastAsia="zh-CN"/>
        </w:rPr>
        <w:br/>
      </w:r>
      <w:r>
        <w:rPr>
          <w:rFonts w:hint="eastAsia"/>
          <w:lang w:val="fr-FR" w:eastAsia="zh-CN"/>
        </w:rPr>
        <w:t>弗朗索瓦</w:t>
      </w:r>
      <w:r w:rsidRPr="00A24CDD">
        <w:rPr>
          <w:sz w:val="20"/>
          <w:lang w:eastAsia="zh-CN"/>
        </w:rPr>
        <w:t>•</w:t>
      </w:r>
      <w:r>
        <w:rPr>
          <w:rFonts w:hint="eastAsia"/>
          <w:lang w:val="fr-FR" w:eastAsia="zh-CN"/>
        </w:rPr>
        <w:t>朗西</w:t>
      </w:r>
    </w:p>
    <w:p w:rsidR="007D4C91" w:rsidRPr="00D16E4E" w:rsidRDefault="007D4C91" w:rsidP="00C37054">
      <w:pPr>
        <w:spacing w:before="1200" w:line="240" w:lineRule="auto"/>
        <w:rPr>
          <w:bCs/>
          <w:lang w:eastAsia="zh-CN"/>
        </w:rPr>
      </w:pPr>
      <w:r>
        <w:rPr>
          <w:rFonts w:hint="eastAsia"/>
          <w:b/>
          <w:bCs/>
          <w:lang w:val="fr-CH" w:eastAsia="zh-CN"/>
        </w:rPr>
        <w:t>附件</w:t>
      </w:r>
      <w:r w:rsidRPr="002C1744">
        <w:rPr>
          <w:rFonts w:hint="eastAsia"/>
          <w:b/>
          <w:bCs/>
          <w:lang w:eastAsia="zh-CN"/>
        </w:rPr>
        <w:t>：</w:t>
      </w:r>
      <w:r w:rsidR="00A23FF2">
        <w:rPr>
          <w:lang w:eastAsia="zh-CN"/>
        </w:rPr>
        <w:t>2</w:t>
      </w:r>
      <w:r>
        <w:rPr>
          <w:rFonts w:hint="eastAsia"/>
          <w:bCs/>
          <w:lang w:eastAsia="zh-CN"/>
        </w:rPr>
        <w:t>件</w:t>
      </w:r>
    </w:p>
    <w:p w:rsidR="007D4C91" w:rsidRPr="003E0795" w:rsidRDefault="007D4C91" w:rsidP="00C37054">
      <w:pPr>
        <w:tabs>
          <w:tab w:val="left" w:pos="284"/>
          <w:tab w:val="left" w:pos="568"/>
        </w:tabs>
        <w:spacing w:before="720" w:after="40" w:line="240" w:lineRule="auto"/>
        <w:rPr>
          <w:b/>
          <w:bCs/>
          <w:sz w:val="18"/>
          <w:szCs w:val="18"/>
          <w:lang w:eastAsia="zh-CN"/>
        </w:rPr>
      </w:pPr>
      <w:r w:rsidRPr="003E0795">
        <w:rPr>
          <w:rFonts w:hint="eastAsia"/>
          <w:b/>
          <w:bCs/>
          <w:sz w:val="18"/>
          <w:szCs w:val="18"/>
          <w:lang w:eastAsia="zh-CN"/>
        </w:rPr>
        <w:t>分发：</w:t>
      </w:r>
    </w:p>
    <w:p w:rsidR="007D4C91" w:rsidRPr="003E0795" w:rsidRDefault="007D4C91" w:rsidP="00C37054">
      <w:pPr>
        <w:tabs>
          <w:tab w:val="left" w:pos="567"/>
          <w:tab w:val="left" w:pos="6237"/>
        </w:tabs>
        <w:spacing w:before="20" w:line="240" w:lineRule="auto"/>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国际电联各成员国主管部门和参与无线电通信第</w:t>
      </w:r>
      <w:r w:rsidR="00A23FF2">
        <w:rPr>
          <w:sz w:val="18"/>
          <w:szCs w:val="18"/>
          <w:lang w:eastAsia="zh-CN"/>
        </w:rPr>
        <w:t>6</w:t>
      </w:r>
      <w:r w:rsidRPr="003E0795">
        <w:rPr>
          <w:rFonts w:hint="eastAsia"/>
          <w:sz w:val="18"/>
          <w:szCs w:val="18"/>
          <w:lang w:eastAsia="zh-CN"/>
        </w:rPr>
        <w:t>研究组工作的无线电通信部门成员</w:t>
      </w:r>
    </w:p>
    <w:p w:rsidR="007D4C91" w:rsidRPr="003E0795" w:rsidRDefault="007D4C91" w:rsidP="00C37054">
      <w:pPr>
        <w:tabs>
          <w:tab w:val="left" w:pos="567"/>
          <w:tab w:val="left" w:pos="6237"/>
        </w:tabs>
        <w:spacing w:before="20" w:line="240" w:lineRule="auto"/>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参加无线电通信第</w:t>
      </w:r>
      <w:r w:rsidR="00A23FF2">
        <w:rPr>
          <w:sz w:val="18"/>
          <w:szCs w:val="18"/>
          <w:lang w:eastAsia="zh-CN"/>
        </w:rPr>
        <w:t>6</w:t>
      </w:r>
      <w:r w:rsidRPr="003E0795">
        <w:rPr>
          <w:rFonts w:hint="eastAsia"/>
          <w:sz w:val="18"/>
          <w:szCs w:val="18"/>
          <w:lang w:eastAsia="zh-CN"/>
        </w:rPr>
        <w:t>研究组工作的</w:t>
      </w:r>
      <w:r w:rsidRPr="003E0795">
        <w:rPr>
          <w:sz w:val="18"/>
          <w:szCs w:val="18"/>
          <w:lang w:eastAsia="zh-CN"/>
        </w:rPr>
        <w:t>ITU-R</w:t>
      </w:r>
      <w:r w:rsidRPr="003E0795">
        <w:rPr>
          <w:rFonts w:hint="eastAsia"/>
          <w:sz w:val="18"/>
          <w:szCs w:val="18"/>
          <w:lang w:eastAsia="zh-CN"/>
        </w:rPr>
        <w:t>部门准成员</w:t>
      </w:r>
    </w:p>
    <w:p w:rsidR="007D4C91" w:rsidRPr="003E0795" w:rsidRDefault="007D4C91" w:rsidP="00C37054">
      <w:pPr>
        <w:tabs>
          <w:tab w:val="left" w:pos="567"/>
          <w:tab w:val="left" w:pos="6237"/>
        </w:tabs>
        <w:spacing w:before="20" w:line="240" w:lineRule="auto"/>
        <w:ind w:left="567" w:hanging="567"/>
        <w:rPr>
          <w:sz w:val="18"/>
          <w:szCs w:val="18"/>
          <w:lang w:eastAsia="zh-CN"/>
        </w:rPr>
      </w:pPr>
      <w:r w:rsidRPr="003E0795">
        <w:rPr>
          <w:sz w:val="18"/>
          <w:szCs w:val="18"/>
          <w:lang w:eastAsia="zh-CN"/>
        </w:rPr>
        <w:t>–</w:t>
      </w:r>
      <w:r w:rsidRPr="003E0795">
        <w:rPr>
          <w:sz w:val="18"/>
          <w:szCs w:val="18"/>
          <w:lang w:eastAsia="zh-CN"/>
        </w:rPr>
        <w:tab/>
        <w:t>ITU-R</w:t>
      </w:r>
      <w:r w:rsidRPr="003E0795">
        <w:rPr>
          <w:rFonts w:hint="eastAsia"/>
          <w:sz w:val="18"/>
          <w:szCs w:val="18"/>
          <w:lang w:eastAsia="zh-CN"/>
        </w:rPr>
        <w:t>学术成员</w:t>
      </w:r>
    </w:p>
    <w:p w:rsidR="007D4C91" w:rsidRPr="003E0795" w:rsidRDefault="007D4C91" w:rsidP="00C37054">
      <w:pPr>
        <w:tabs>
          <w:tab w:val="left" w:pos="567"/>
          <w:tab w:val="left" w:pos="6237"/>
        </w:tabs>
        <w:spacing w:before="20" w:line="240" w:lineRule="auto"/>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无线电通信各研究组和规则</w:t>
      </w:r>
      <w:r w:rsidRPr="003E0795">
        <w:rPr>
          <w:sz w:val="18"/>
          <w:szCs w:val="18"/>
          <w:lang w:eastAsia="zh-CN"/>
        </w:rPr>
        <w:t>/</w:t>
      </w:r>
      <w:r w:rsidRPr="003E0795">
        <w:rPr>
          <w:rFonts w:hint="eastAsia"/>
          <w:sz w:val="18"/>
          <w:szCs w:val="18"/>
          <w:lang w:eastAsia="zh-CN"/>
        </w:rPr>
        <w:t>程序问题特别委员会的正副主席</w:t>
      </w:r>
    </w:p>
    <w:p w:rsidR="007D4C91" w:rsidRPr="003E0795" w:rsidRDefault="007D4C91" w:rsidP="00C37054">
      <w:pPr>
        <w:tabs>
          <w:tab w:val="left" w:pos="567"/>
          <w:tab w:val="left" w:pos="6237"/>
        </w:tabs>
        <w:spacing w:before="20" w:line="240" w:lineRule="auto"/>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大会筹备会议的正副主席</w:t>
      </w:r>
    </w:p>
    <w:p w:rsidR="007D4C91" w:rsidRPr="003E0795" w:rsidRDefault="007D4C91" w:rsidP="00C37054">
      <w:pPr>
        <w:tabs>
          <w:tab w:val="left" w:pos="567"/>
          <w:tab w:val="left" w:pos="6237"/>
        </w:tabs>
        <w:spacing w:before="20" w:line="240" w:lineRule="auto"/>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无线电规则委员会的委员</w:t>
      </w:r>
    </w:p>
    <w:p w:rsidR="0098182C" w:rsidRDefault="003E0795" w:rsidP="00C37054">
      <w:pPr>
        <w:tabs>
          <w:tab w:val="left" w:pos="567"/>
          <w:tab w:val="left" w:pos="6237"/>
        </w:tabs>
        <w:spacing w:before="20" w:line="240" w:lineRule="auto"/>
        <w:ind w:left="567" w:hanging="567"/>
        <w:rPr>
          <w:sz w:val="18"/>
          <w:szCs w:val="18"/>
          <w:lang w:eastAsia="zh-CN"/>
        </w:rPr>
      </w:pPr>
      <w:r w:rsidRPr="003E0795">
        <w:rPr>
          <w:sz w:val="18"/>
          <w:szCs w:val="18"/>
          <w:lang w:eastAsia="zh-CN"/>
        </w:rPr>
        <w:t>–</w:t>
      </w:r>
      <w:r>
        <w:rPr>
          <w:sz w:val="18"/>
          <w:szCs w:val="18"/>
          <w:lang w:eastAsia="zh-CN"/>
        </w:rPr>
        <w:tab/>
      </w:r>
      <w:r w:rsidR="007D4C91" w:rsidRPr="003E0795">
        <w:rPr>
          <w:rFonts w:hint="eastAsia"/>
          <w:sz w:val="18"/>
          <w:szCs w:val="18"/>
          <w:lang w:eastAsia="zh-CN"/>
        </w:rPr>
        <w:t>国际电联秘书长、电信标准化局主任、电信发展局主任</w:t>
      </w:r>
    </w:p>
    <w:p w:rsidR="0098182C" w:rsidRPr="00D138D4" w:rsidRDefault="0098182C" w:rsidP="00C37054">
      <w:pPr>
        <w:pStyle w:val="AnnexNotitle0"/>
        <w:rPr>
          <w:rFonts w:asciiTheme="majorBidi" w:eastAsiaTheme="majorEastAsia" w:hAnsiTheme="majorBidi" w:cstheme="majorBidi"/>
          <w:lang w:eastAsia="zh-CN"/>
        </w:rPr>
      </w:pPr>
      <w:r w:rsidRPr="00D138D4">
        <w:rPr>
          <w:rFonts w:asciiTheme="majorBidi" w:eastAsiaTheme="majorEastAsia" w:hAnsiTheme="majorBidi" w:cstheme="majorBidi"/>
          <w:lang w:eastAsia="zh-CN"/>
        </w:rPr>
        <w:lastRenderedPageBreak/>
        <w:t>附件</w:t>
      </w:r>
      <w:r w:rsidRPr="00D138D4">
        <w:rPr>
          <w:rFonts w:asciiTheme="majorBidi" w:eastAsiaTheme="majorEastAsia" w:hAnsiTheme="majorBidi" w:cstheme="majorBidi"/>
          <w:lang w:eastAsia="zh-CN"/>
        </w:rPr>
        <w:t>1</w:t>
      </w:r>
    </w:p>
    <w:p w:rsidR="0098182C" w:rsidRPr="00C37054" w:rsidRDefault="0098182C" w:rsidP="00CF00DA">
      <w:pPr>
        <w:pStyle w:val="AnnexNotitle0"/>
        <w:rPr>
          <w:rFonts w:asciiTheme="majorBidi" w:eastAsiaTheme="majorEastAsia" w:hAnsiTheme="majorBidi" w:cstheme="majorBidi"/>
          <w:b w:val="0"/>
          <w:bCs/>
          <w:lang w:eastAsia="zh-CN"/>
        </w:rPr>
      </w:pPr>
      <w:r w:rsidRPr="00C37054">
        <w:rPr>
          <w:rFonts w:asciiTheme="majorBidi" w:eastAsiaTheme="majorEastAsia" w:hAnsiTheme="majorBidi" w:cstheme="majorBidi"/>
          <w:b w:val="0"/>
          <w:bCs/>
          <w:lang w:eastAsia="zh-CN"/>
        </w:rPr>
        <w:t>ITU-R</w:t>
      </w:r>
      <w:r w:rsidRPr="00C37054">
        <w:rPr>
          <w:rFonts w:asciiTheme="majorBidi" w:eastAsiaTheme="majorEastAsia" w:hAnsiTheme="majorBidi" w:cstheme="majorBidi"/>
          <w:b w:val="0"/>
          <w:bCs/>
          <w:lang w:eastAsia="zh-CN"/>
        </w:rPr>
        <w:t>第</w:t>
      </w:r>
      <w:r w:rsidRPr="00C37054">
        <w:rPr>
          <w:rFonts w:asciiTheme="majorBidi" w:eastAsiaTheme="majorEastAsia" w:hAnsiTheme="majorBidi" w:cstheme="majorBidi"/>
          <w:b w:val="0"/>
          <w:bCs/>
          <w:lang w:eastAsia="zh-CN"/>
        </w:rPr>
        <w:t>56-</w:t>
      </w:r>
      <w:r w:rsidR="00CF00DA">
        <w:rPr>
          <w:rFonts w:asciiTheme="majorBidi" w:eastAsiaTheme="majorEastAsia" w:hAnsiTheme="majorBidi" w:cstheme="majorBidi"/>
          <w:b w:val="0"/>
          <w:bCs/>
          <w:lang w:eastAsia="zh-CN"/>
        </w:rPr>
        <w:t>2</w:t>
      </w:r>
      <w:r w:rsidRPr="00C37054">
        <w:rPr>
          <w:rFonts w:asciiTheme="majorBidi" w:eastAsiaTheme="majorEastAsia" w:hAnsiTheme="majorBidi" w:cstheme="majorBidi"/>
          <w:b w:val="0"/>
          <w:bCs/>
          <w:lang w:eastAsia="zh-CN"/>
        </w:rPr>
        <w:t>/6</w:t>
      </w:r>
      <w:r w:rsidRPr="00C37054">
        <w:rPr>
          <w:rFonts w:asciiTheme="majorBidi" w:eastAsiaTheme="majorEastAsia" w:hAnsiTheme="majorBidi" w:cstheme="majorBidi"/>
          <w:b w:val="0"/>
          <w:bCs/>
          <w:lang w:eastAsia="zh-CN"/>
        </w:rPr>
        <w:t>号课题</w:t>
      </w:r>
    </w:p>
    <w:p w:rsidR="0098182C" w:rsidRPr="00C37054" w:rsidRDefault="0098182C" w:rsidP="00C37054">
      <w:pPr>
        <w:pStyle w:val="AnnexNotitle0"/>
        <w:rPr>
          <w:rFonts w:asciiTheme="majorBidi" w:eastAsiaTheme="majorEastAsia" w:hAnsiTheme="majorBidi" w:cstheme="majorBidi"/>
          <w:lang w:eastAsia="zh-CN"/>
        </w:rPr>
      </w:pPr>
      <w:r w:rsidRPr="00C37054">
        <w:rPr>
          <w:rFonts w:asciiTheme="majorBidi" w:eastAsiaTheme="majorEastAsia" w:hAnsiTheme="majorBidi" w:cstheme="majorBidi"/>
          <w:lang w:eastAsia="zh-CN"/>
        </w:rPr>
        <w:t>针对车载、便携和固定接收机的数字声音广播系统的特性</w:t>
      </w:r>
    </w:p>
    <w:p w:rsidR="0098182C" w:rsidRPr="00C37054" w:rsidRDefault="0098182C" w:rsidP="00C37054">
      <w:pPr>
        <w:pStyle w:val="AnnexNotitle0"/>
        <w:jc w:val="right"/>
        <w:rPr>
          <w:rFonts w:asciiTheme="majorBidi" w:eastAsiaTheme="majorEastAsia" w:hAnsiTheme="majorBidi" w:cstheme="majorBidi"/>
          <w:b w:val="0"/>
          <w:bCs/>
          <w:sz w:val="24"/>
          <w:szCs w:val="24"/>
          <w:lang w:eastAsia="zh-CN"/>
        </w:rPr>
      </w:pPr>
      <w:r w:rsidRPr="00C37054">
        <w:rPr>
          <w:rFonts w:asciiTheme="majorBidi" w:eastAsiaTheme="majorEastAsia" w:hAnsiTheme="majorBidi" w:cstheme="majorBidi"/>
          <w:b w:val="0"/>
          <w:bCs/>
          <w:sz w:val="24"/>
          <w:szCs w:val="24"/>
          <w:lang w:eastAsia="zh-CN"/>
        </w:rPr>
        <w:t>（</w:t>
      </w:r>
      <w:r w:rsidRPr="00C37054">
        <w:rPr>
          <w:rFonts w:asciiTheme="majorBidi" w:eastAsiaTheme="majorEastAsia" w:hAnsiTheme="majorBidi" w:cstheme="majorBidi"/>
          <w:b w:val="0"/>
          <w:bCs/>
          <w:sz w:val="24"/>
          <w:szCs w:val="24"/>
          <w:lang w:eastAsia="zh-CN"/>
        </w:rPr>
        <w:t>1993-2006</w:t>
      </w:r>
      <w:r w:rsidR="00A23FF2" w:rsidRPr="00C37054">
        <w:rPr>
          <w:rFonts w:asciiTheme="majorBidi" w:eastAsiaTheme="majorEastAsia" w:hAnsiTheme="majorBidi" w:cstheme="majorBidi"/>
          <w:b w:val="0"/>
          <w:bCs/>
          <w:sz w:val="24"/>
          <w:szCs w:val="24"/>
          <w:lang w:eastAsia="zh-CN"/>
        </w:rPr>
        <w:t>-2016</w:t>
      </w:r>
      <w:r w:rsidRPr="00C37054">
        <w:rPr>
          <w:rFonts w:asciiTheme="majorBidi" w:eastAsiaTheme="majorEastAsia" w:hAnsiTheme="majorBidi" w:cstheme="majorBidi"/>
          <w:b w:val="0"/>
          <w:bCs/>
          <w:sz w:val="24"/>
          <w:szCs w:val="24"/>
          <w:lang w:eastAsia="zh-CN"/>
        </w:rPr>
        <w:t>年）</w:t>
      </w:r>
    </w:p>
    <w:p w:rsidR="00C37054" w:rsidRDefault="0098182C" w:rsidP="00C37054">
      <w:pPr>
        <w:rPr>
          <w:lang w:eastAsia="zh-CN"/>
        </w:rPr>
      </w:pPr>
      <w:r w:rsidRPr="00C37054">
        <w:rPr>
          <w:rFonts w:hint="eastAsia"/>
          <w:lang w:eastAsia="zh-CN"/>
        </w:rPr>
        <w:t>国际电联无线电通信全会，</w:t>
      </w:r>
    </w:p>
    <w:p w:rsidR="00C37054" w:rsidRPr="003E4253" w:rsidRDefault="00C37054" w:rsidP="00C37054">
      <w:pPr>
        <w:rPr>
          <w:rFonts w:asciiTheme="majorBidi" w:eastAsia="STKaiti" w:hAnsiTheme="majorBidi" w:cstheme="majorBidi"/>
          <w:bCs/>
          <w:lang w:eastAsia="zh-CN"/>
        </w:rPr>
      </w:pPr>
      <w:r w:rsidRPr="003E4253">
        <w:rPr>
          <w:rFonts w:asciiTheme="majorBidi" w:hAnsiTheme="majorBidi" w:cstheme="majorBidi"/>
        </w:rPr>
        <w:tab/>
      </w:r>
      <w:r w:rsidR="0098182C" w:rsidRPr="003E4253">
        <w:rPr>
          <w:rFonts w:asciiTheme="majorBidi" w:eastAsia="STKaiti" w:hAnsiTheme="majorBidi" w:cstheme="majorBidi"/>
          <w:bCs/>
          <w:lang w:eastAsia="zh-CN"/>
        </w:rPr>
        <w:t>考虑到</w:t>
      </w:r>
    </w:p>
    <w:p w:rsidR="0098182C" w:rsidRPr="003E4253" w:rsidRDefault="00D138D4" w:rsidP="00C37054">
      <w:pPr>
        <w:rPr>
          <w:rFonts w:asciiTheme="majorBidi" w:eastAsiaTheme="majorEastAsia" w:hAnsiTheme="majorBidi" w:cstheme="majorBidi"/>
          <w:bCs/>
          <w:lang w:eastAsia="zh-CN"/>
        </w:rPr>
      </w:pPr>
      <w:r w:rsidRPr="003E4253">
        <w:rPr>
          <w:rFonts w:asciiTheme="majorBidi" w:hAnsiTheme="majorBidi" w:cstheme="majorBidi"/>
          <w:i/>
          <w:lang w:eastAsia="zh-CN"/>
        </w:rPr>
        <w:t>a)</w:t>
      </w:r>
      <w:r w:rsidR="0098182C" w:rsidRPr="003E4253">
        <w:rPr>
          <w:rFonts w:asciiTheme="majorBidi" w:eastAsiaTheme="majorEastAsia" w:hAnsiTheme="majorBidi" w:cstheme="majorBidi"/>
          <w:bCs/>
          <w:lang w:eastAsia="zh-CN"/>
        </w:rPr>
        <w:tab/>
      </w:r>
      <w:r w:rsidR="0098182C" w:rsidRPr="003E4253">
        <w:rPr>
          <w:rFonts w:asciiTheme="majorBidi" w:eastAsiaTheme="majorEastAsia" w:hAnsiTheme="majorBidi" w:cstheme="majorBidi"/>
          <w:bCs/>
          <w:lang w:eastAsia="zh-CN"/>
        </w:rPr>
        <w:t>一些国家对向车载、便携和固定接收机提供高质量立体声</w:t>
      </w:r>
      <w:r w:rsidR="0098182C" w:rsidRPr="003E4253">
        <w:rPr>
          <w:rFonts w:asciiTheme="majorBidi" w:eastAsiaTheme="majorEastAsia" w:hAnsiTheme="majorBidi" w:cstheme="majorBidi"/>
          <w:bCs/>
          <w:lang w:eastAsia="zh-CN"/>
        </w:rPr>
        <w:t>/</w:t>
      </w:r>
      <w:r w:rsidR="0098182C" w:rsidRPr="003E4253">
        <w:rPr>
          <w:rFonts w:asciiTheme="majorBidi" w:eastAsiaTheme="majorEastAsia" w:hAnsiTheme="majorBidi" w:cstheme="majorBidi"/>
          <w:bCs/>
          <w:lang w:eastAsia="zh-CN"/>
        </w:rPr>
        <w:t>多信道声音广播提供适当的手段的呼声越来越高；</w:t>
      </w:r>
    </w:p>
    <w:p w:rsidR="0098182C" w:rsidRPr="003E4253" w:rsidRDefault="0098182C" w:rsidP="00D138D4">
      <w:pPr>
        <w:rPr>
          <w:rFonts w:asciiTheme="majorBidi" w:hAnsiTheme="majorBidi" w:cstheme="majorBidi"/>
        </w:rPr>
      </w:pPr>
      <w:r w:rsidRPr="003E4253">
        <w:rPr>
          <w:rFonts w:asciiTheme="majorBidi" w:hAnsiTheme="majorBidi" w:cstheme="majorBidi"/>
          <w:i/>
          <w:iCs/>
        </w:rPr>
        <w:t>b)</w:t>
      </w:r>
      <w:r w:rsidRPr="003E4253">
        <w:rPr>
          <w:rFonts w:asciiTheme="majorBidi" w:hAnsiTheme="majorBidi" w:cstheme="majorBidi"/>
        </w:rPr>
        <w:tab/>
      </w:r>
      <w:r w:rsidRPr="003E4253">
        <w:rPr>
          <w:rFonts w:asciiTheme="majorBidi" w:hAnsiTheme="majorBidi" w:cstheme="majorBidi"/>
        </w:rPr>
        <w:t>数字声音广播系统的技术研究取得了明显的进展，并且一些系统已很成功地得到广泛实施；</w:t>
      </w:r>
    </w:p>
    <w:p w:rsidR="0098182C" w:rsidRPr="003E4253" w:rsidRDefault="0098182C" w:rsidP="00D138D4">
      <w:pPr>
        <w:rPr>
          <w:rFonts w:asciiTheme="majorBidi" w:hAnsiTheme="majorBidi" w:cstheme="majorBidi"/>
        </w:rPr>
      </w:pPr>
      <w:r w:rsidRPr="003E4253">
        <w:rPr>
          <w:rFonts w:asciiTheme="majorBidi" w:hAnsiTheme="majorBidi" w:cstheme="majorBidi"/>
          <w:i/>
          <w:iCs/>
        </w:rPr>
        <w:t>c)</w:t>
      </w:r>
      <w:r w:rsidRPr="003E4253">
        <w:rPr>
          <w:rFonts w:asciiTheme="majorBidi" w:hAnsiTheme="majorBidi" w:cstheme="majorBidi"/>
        </w:rPr>
        <w:tab/>
      </w:r>
      <w:r w:rsidRPr="003E4253">
        <w:rPr>
          <w:rFonts w:asciiTheme="majorBidi" w:hAnsiTheme="majorBidi" w:cstheme="majorBidi"/>
        </w:rPr>
        <w:t>现已表明，高级数字声音广播系统可以改进频谱和功率的利用效率，并且与传统的模拟声音广播系统相比，它可以免受多径效应的影响；</w:t>
      </w:r>
    </w:p>
    <w:p w:rsidR="0098182C" w:rsidRPr="003E4253" w:rsidRDefault="0098182C" w:rsidP="00D138D4">
      <w:pPr>
        <w:rPr>
          <w:rFonts w:asciiTheme="majorBidi" w:hAnsiTheme="majorBidi" w:cstheme="majorBidi"/>
        </w:rPr>
      </w:pPr>
      <w:r w:rsidRPr="003E4253">
        <w:rPr>
          <w:rFonts w:asciiTheme="majorBidi" w:hAnsiTheme="majorBidi" w:cstheme="majorBidi"/>
          <w:i/>
          <w:iCs/>
        </w:rPr>
        <w:t>d)</w:t>
      </w:r>
      <w:r w:rsidRPr="003E4253">
        <w:rPr>
          <w:rFonts w:asciiTheme="majorBidi" w:hAnsiTheme="majorBidi" w:cstheme="majorBidi"/>
        </w:rPr>
        <w:tab/>
      </w:r>
      <w:r w:rsidRPr="003E4253">
        <w:rPr>
          <w:rFonts w:asciiTheme="majorBidi" w:hAnsiTheme="majorBidi" w:cstheme="majorBidi"/>
        </w:rPr>
        <w:t>通过设计，数字声音广播系统将允许在接收机内进行各广播波段的公共信号处理；</w:t>
      </w:r>
    </w:p>
    <w:p w:rsidR="0098182C" w:rsidRPr="003E4253" w:rsidRDefault="0098182C" w:rsidP="00D138D4">
      <w:pPr>
        <w:rPr>
          <w:rFonts w:asciiTheme="majorBidi" w:hAnsiTheme="majorBidi" w:cstheme="majorBidi"/>
        </w:rPr>
      </w:pPr>
      <w:r w:rsidRPr="003E4253">
        <w:rPr>
          <w:rFonts w:asciiTheme="majorBidi" w:hAnsiTheme="majorBidi" w:cstheme="majorBidi"/>
          <w:i/>
          <w:iCs/>
        </w:rPr>
        <w:t>e)</w:t>
      </w:r>
      <w:r w:rsidRPr="003E4253">
        <w:rPr>
          <w:rFonts w:asciiTheme="majorBidi" w:hAnsiTheme="majorBidi" w:cstheme="majorBidi"/>
        </w:rPr>
        <w:tab/>
      </w:r>
      <w:r w:rsidRPr="003E4253">
        <w:rPr>
          <w:rFonts w:asciiTheme="majorBidi" w:hAnsiTheme="majorBidi" w:cstheme="majorBidi"/>
        </w:rPr>
        <w:t>数字声音广播系统可用于国家、区域和本地的地面服务；</w:t>
      </w:r>
    </w:p>
    <w:p w:rsidR="0098182C" w:rsidRPr="003E4253" w:rsidRDefault="0098182C" w:rsidP="00D138D4">
      <w:pPr>
        <w:rPr>
          <w:rFonts w:asciiTheme="majorBidi" w:hAnsiTheme="majorBidi" w:cstheme="majorBidi"/>
        </w:rPr>
      </w:pPr>
      <w:r w:rsidRPr="003E4253">
        <w:rPr>
          <w:rFonts w:asciiTheme="majorBidi" w:hAnsiTheme="majorBidi" w:cstheme="majorBidi"/>
          <w:i/>
          <w:iCs/>
        </w:rPr>
        <w:t>f)</w:t>
      </w:r>
      <w:r w:rsidRPr="003E4253">
        <w:rPr>
          <w:rFonts w:asciiTheme="majorBidi" w:hAnsiTheme="majorBidi" w:cstheme="majorBidi"/>
        </w:rPr>
        <w:tab/>
      </w:r>
      <w:r w:rsidRPr="003E4253">
        <w:rPr>
          <w:rFonts w:asciiTheme="majorBidi" w:hAnsiTheme="majorBidi" w:cstheme="majorBidi"/>
        </w:rPr>
        <w:t>如果能够设计出可以接收地面和卫星业务的公共接收机，对数字声音广播系统将大有裨益；</w:t>
      </w:r>
    </w:p>
    <w:p w:rsidR="0098182C" w:rsidRPr="003E4253" w:rsidRDefault="0098182C" w:rsidP="00D138D4">
      <w:pPr>
        <w:rPr>
          <w:rFonts w:asciiTheme="majorBidi" w:hAnsiTheme="majorBidi" w:cstheme="majorBidi"/>
        </w:rPr>
      </w:pPr>
      <w:r w:rsidRPr="003E4253">
        <w:rPr>
          <w:rFonts w:asciiTheme="majorBidi" w:hAnsiTheme="majorBidi" w:cstheme="majorBidi"/>
          <w:i/>
          <w:iCs/>
        </w:rPr>
        <w:t>g)</w:t>
      </w:r>
      <w:r w:rsidRPr="003E4253">
        <w:rPr>
          <w:rFonts w:asciiTheme="majorBidi" w:hAnsiTheme="majorBidi" w:cstheme="majorBidi"/>
        </w:rPr>
        <w:tab/>
      </w:r>
      <w:r w:rsidRPr="003E4253">
        <w:rPr>
          <w:rFonts w:asciiTheme="majorBidi" w:hAnsiTheme="majorBidi" w:cstheme="majorBidi"/>
        </w:rPr>
        <w:t>通过配置，数字声音广播系统可以广播低比特率或高比特率的节目，以抵消多个声音信道对声音质量影响；</w:t>
      </w:r>
    </w:p>
    <w:p w:rsidR="0098182C" w:rsidRPr="003E4253" w:rsidRDefault="0098182C" w:rsidP="00D138D4">
      <w:pPr>
        <w:rPr>
          <w:rFonts w:asciiTheme="majorBidi" w:hAnsiTheme="majorBidi" w:cstheme="majorBidi"/>
        </w:rPr>
      </w:pPr>
      <w:r w:rsidRPr="003E4253">
        <w:rPr>
          <w:rFonts w:asciiTheme="majorBidi" w:hAnsiTheme="majorBidi" w:cstheme="majorBidi"/>
          <w:i/>
          <w:iCs/>
        </w:rPr>
        <w:t>h)</w:t>
      </w:r>
      <w:r w:rsidRPr="003E4253">
        <w:rPr>
          <w:rFonts w:asciiTheme="majorBidi" w:hAnsiTheme="majorBidi" w:cstheme="majorBidi"/>
        </w:rPr>
        <w:tab/>
      </w:r>
      <w:r w:rsidRPr="003E4253">
        <w:rPr>
          <w:rFonts w:asciiTheme="majorBidi" w:hAnsiTheme="majorBidi" w:cstheme="majorBidi"/>
        </w:rPr>
        <w:t>数字声音广播系统能够为与节目相关或无关的数据交付额外的设备；</w:t>
      </w:r>
    </w:p>
    <w:p w:rsidR="0098182C" w:rsidRPr="003E4253" w:rsidRDefault="0098182C" w:rsidP="00D138D4">
      <w:pPr>
        <w:rPr>
          <w:rFonts w:asciiTheme="majorBidi" w:hAnsiTheme="majorBidi" w:cstheme="majorBidi"/>
        </w:rPr>
      </w:pPr>
      <w:r w:rsidRPr="003E4253">
        <w:rPr>
          <w:rFonts w:asciiTheme="majorBidi" w:hAnsiTheme="majorBidi" w:cstheme="majorBidi"/>
          <w:i/>
          <w:iCs/>
        </w:rPr>
        <w:t>i)</w:t>
      </w:r>
      <w:r w:rsidRPr="003E4253">
        <w:rPr>
          <w:rFonts w:asciiTheme="majorBidi" w:hAnsiTheme="majorBidi" w:cstheme="majorBidi"/>
        </w:rPr>
        <w:tab/>
      </w:r>
      <w:r w:rsidRPr="003E4253">
        <w:rPr>
          <w:rFonts w:asciiTheme="majorBidi" w:hAnsiTheme="majorBidi" w:cstheme="majorBidi"/>
        </w:rPr>
        <w:t>一些无线电频段仍被用于模拟声音广播业务</w:t>
      </w:r>
      <w:r w:rsidR="00A23FF2" w:rsidRPr="003E4253">
        <w:rPr>
          <w:rFonts w:asciiTheme="majorBidi" w:hAnsiTheme="majorBidi" w:cstheme="majorBidi"/>
        </w:rPr>
        <w:t>的</w:t>
      </w:r>
      <w:r w:rsidRPr="003E4253">
        <w:rPr>
          <w:rFonts w:asciiTheme="majorBidi" w:hAnsiTheme="majorBidi" w:cstheme="majorBidi"/>
        </w:rPr>
        <w:t>传送；</w:t>
      </w:r>
    </w:p>
    <w:p w:rsidR="0098182C" w:rsidRPr="003E4253" w:rsidRDefault="0098182C" w:rsidP="00D138D4">
      <w:pPr>
        <w:rPr>
          <w:rFonts w:asciiTheme="majorBidi" w:hAnsiTheme="majorBidi" w:cstheme="majorBidi"/>
          <w:lang w:eastAsia="zh-CN"/>
        </w:rPr>
      </w:pPr>
      <w:r w:rsidRPr="003E4253">
        <w:rPr>
          <w:rFonts w:asciiTheme="majorBidi" w:hAnsiTheme="majorBidi" w:cstheme="majorBidi"/>
          <w:i/>
          <w:iCs/>
          <w:lang w:eastAsia="zh-CN"/>
        </w:rPr>
        <w:t>j)</w:t>
      </w:r>
      <w:r w:rsidRPr="003E4253">
        <w:rPr>
          <w:rFonts w:asciiTheme="majorBidi" w:hAnsiTheme="majorBidi" w:cstheme="majorBidi"/>
          <w:lang w:eastAsia="zh-CN"/>
        </w:rPr>
        <w:tab/>
        <w:t>ITU-R</w:t>
      </w:r>
      <w:r w:rsidRPr="003E4253">
        <w:rPr>
          <w:rFonts w:asciiTheme="majorBidi" w:hAnsiTheme="majorBidi" w:cstheme="majorBidi"/>
          <w:lang w:eastAsia="zh-CN"/>
        </w:rPr>
        <w:t>已研究了数字声音广播的多个不同方面，如</w:t>
      </w:r>
      <w:r w:rsidRPr="003E4253">
        <w:rPr>
          <w:rFonts w:asciiTheme="majorBidi" w:hAnsiTheme="majorBidi" w:cstheme="majorBidi"/>
          <w:lang w:eastAsia="zh-CN"/>
        </w:rPr>
        <w:t>ITU-R BS.774</w:t>
      </w:r>
      <w:r w:rsidRPr="003E4253">
        <w:rPr>
          <w:rFonts w:asciiTheme="majorBidi" w:hAnsiTheme="majorBidi" w:cstheme="majorBidi"/>
          <w:lang w:eastAsia="zh-CN"/>
        </w:rPr>
        <w:t>和</w:t>
      </w:r>
      <w:r w:rsidRPr="003E4253">
        <w:rPr>
          <w:rFonts w:asciiTheme="majorBidi" w:hAnsiTheme="majorBidi" w:cstheme="majorBidi"/>
          <w:lang w:eastAsia="zh-CN"/>
        </w:rPr>
        <w:t>ITU-R BS.1114</w:t>
      </w:r>
      <w:r w:rsidR="00D138D4" w:rsidRPr="003E4253">
        <w:rPr>
          <w:rFonts w:asciiTheme="majorBidi" w:hAnsiTheme="majorBidi" w:cstheme="majorBidi"/>
          <w:lang w:eastAsia="zh-CN"/>
        </w:rPr>
        <w:t>建议书；</w:t>
      </w:r>
    </w:p>
    <w:p w:rsidR="0098182C" w:rsidRPr="003E4253" w:rsidRDefault="0098182C" w:rsidP="00D138D4">
      <w:pPr>
        <w:rPr>
          <w:rFonts w:asciiTheme="majorBidi" w:hAnsiTheme="majorBidi" w:cstheme="majorBidi"/>
          <w:lang w:eastAsia="zh-CN"/>
        </w:rPr>
      </w:pPr>
      <w:r w:rsidRPr="003E4253">
        <w:rPr>
          <w:rFonts w:asciiTheme="majorBidi" w:hAnsiTheme="majorBidi" w:cstheme="majorBidi"/>
          <w:i/>
          <w:iCs/>
          <w:lang w:eastAsia="zh-CN"/>
        </w:rPr>
        <w:t>k)</w:t>
      </w:r>
      <w:r w:rsidRPr="003E4253">
        <w:rPr>
          <w:rFonts w:asciiTheme="majorBidi" w:hAnsiTheme="majorBidi" w:cstheme="majorBidi"/>
          <w:lang w:eastAsia="zh-CN"/>
        </w:rPr>
        <w:tab/>
      </w:r>
      <w:r w:rsidRPr="003E4253">
        <w:rPr>
          <w:rFonts w:asciiTheme="majorBidi" w:hAnsiTheme="majorBidi" w:cstheme="majorBidi"/>
          <w:lang w:eastAsia="zh-CN"/>
        </w:rPr>
        <w:t>一些主管部门正在考虑关闭其模拟声音广播业务，</w:t>
      </w:r>
    </w:p>
    <w:p w:rsidR="0098182C" w:rsidRPr="003E4253" w:rsidRDefault="00D138D4" w:rsidP="00D138D4">
      <w:pPr>
        <w:rPr>
          <w:rFonts w:asciiTheme="majorBidi" w:eastAsia="STKaiti" w:hAnsiTheme="majorBidi" w:cstheme="majorBidi"/>
          <w:bCs/>
          <w:lang w:eastAsia="zh-CN"/>
        </w:rPr>
      </w:pPr>
      <w:r w:rsidRPr="003E4253">
        <w:rPr>
          <w:rFonts w:asciiTheme="majorBidi" w:eastAsia="STKaiti" w:hAnsiTheme="majorBidi" w:cstheme="majorBidi"/>
          <w:bCs/>
          <w:lang w:eastAsia="zh-CN"/>
        </w:rPr>
        <w:tab/>
      </w:r>
      <w:r w:rsidR="0098182C" w:rsidRPr="003E4253">
        <w:rPr>
          <w:rFonts w:asciiTheme="majorBidi" w:eastAsia="STKaiti" w:hAnsiTheme="majorBidi" w:cstheme="majorBidi"/>
          <w:bCs/>
          <w:lang w:eastAsia="zh-CN"/>
        </w:rPr>
        <w:t>注意到</w:t>
      </w:r>
    </w:p>
    <w:p w:rsidR="0098182C" w:rsidRPr="003E4253" w:rsidRDefault="0098182C" w:rsidP="00D138D4">
      <w:pPr>
        <w:ind w:firstLineChars="200" w:firstLine="480"/>
        <w:rPr>
          <w:rFonts w:asciiTheme="majorBidi" w:hAnsiTheme="majorBidi" w:cstheme="majorBidi"/>
        </w:rPr>
      </w:pPr>
      <w:r w:rsidRPr="003E4253">
        <w:rPr>
          <w:rFonts w:asciiTheme="majorBidi" w:hAnsiTheme="majorBidi" w:cstheme="majorBidi"/>
        </w:rPr>
        <w:t>欧洲邮电主管部门大会（</w:t>
      </w:r>
      <w:r w:rsidRPr="003E4253">
        <w:rPr>
          <w:rFonts w:asciiTheme="majorBidi" w:hAnsiTheme="majorBidi" w:cstheme="majorBidi"/>
        </w:rPr>
        <w:t>CEPT</w:t>
      </w:r>
      <w:r w:rsidRPr="003E4253">
        <w:rPr>
          <w:rFonts w:asciiTheme="majorBidi" w:hAnsiTheme="majorBidi" w:cstheme="majorBidi"/>
        </w:rPr>
        <w:t>）</w:t>
      </w:r>
      <w:r w:rsidRPr="003E4253">
        <w:rPr>
          <w:rFonts w:asciiTheme="majorBidi" w:hAnsiTheme="majorBidi" w:cstheme="majorBidi"/>
        </w:rPr>
        <w:t>1995</w:t>
      </w:r>
      <w:r w:rsidRPr="003E4253">
        <w:rPr>
          <w:rFonts w:asciiTheme="majorBidi" w:hAnsiTheme="majorBidi" w:cstheme="majorBidi"/>
        </w:rPr>
        <w:t>年</w:t>
      </w:r>
      <w:r w:rsidRPr="003E4253">
        <w:rPr>
          <w:rFonts w:asciiTheme="majorBidi" w:hAnsiTheme="majorBidi" w:cstheme="majorBidi"/>
        </w:rPr>
        <w:t>Wiesbaden</w:t>
      </w:r>
      <w:r w:rsidRPr="003E4253">
        <w:rPr>
          <w:rFonts w:asciiTheme="majorBidi" w:hAnsiTheme="majorBidi" w:cstheme="majorBidi"/>
        </w:rPr>
        <w:t>规划会议的《最后文件》报告了有关将不同无线电频段用于声音广播业务传送的研究情况，</w:t>
      </w:r>
    </w:p>
    <w:p w:rsidR="0098182C" w:rsidRPr="003E4253" w:rsidRDefault="00D138D4" w:rsidP="00D138D4">
      <w:pPr>
        <w:rPr>
          <w:rFonts w:asciiTheme="majorBidi" w:eastAsia="STKaiti" w:hAnsiTheme="majorBidi" w:cstheme="majorBidi"/>
          <w:bCs/>
          <w:lang w:eastAsia="zh-CN"/>
        </w:rPr>
      </w:pPr>
      <w:r w:rsidRPr="003E4253">
        <w:rPr>
          <w:rFonts w:asciiTheme="majorBidi" w:eastAsia="STKaiti" w:hAnsiTheme="majorBidi" w:cstheme="majorBidi"/>
          <w:bCs/>
          <w:lang w:eastAsia="zh-CN"/>
        </w:rPr>
        <w:tab/>
      </w:r>
      <w:r w:rsidR="0098182C" w:rsidRPr="003E4253">
        <w:rPr>
          <w:rFonts w:asciiTheme="majorBidi" w:eastAsia="STKaiti" w:hAnsiTheme="majorBidi" w:cstheme="majorBidi"/>
          <w:bCs/>
          <w:lang w:eastAsia="zh-CN"/>
        </w:rPr>
        <w:t>认识到</w:t>
      </w:r>
    </w:p>
    <w:p w:rsidR="0098182C" w:rsidRPr="003E4253" w:rsidRDefault="0098182C" w:rsidP="00D138D4">
      <w:pPr>
        <w:rPr>
          <w:rFonts w:asciiTheme="majorBidi" w:hAnsiTheme="majorBidi" w:cstheme="majorBidi"/>
        </w:rPr>
      </w:pPr>
      <w:r w:rsidRPr="003E4253">
        <w:rPr>
          <w:rFonts w:asciiTheme="majorBidi" w:hAnsiTheme="majorBidi" w:cstheme="majorBidi"/>
          <w:i/>
          <w:iCs/>
        </w:rPr>
        <w:t>a)</w:t>
      </w:r>
      <w:r w:rsidRPr="003E4253">
        <w:rPr>
          <w:rFonts w:asciiTheme="majorBidi" w:hAnsiTheme="majorBidi" w:cstheme="majorBidi"/>
        </w:rPr>
        <w:tab/>
      </w:r>
      <w:r w:rsidRPr="003E4253">
        <w:rPr>
          <w:rFonts w:asciiTheme="majorBidi" w:hAnsiTheme="majorBidi" w:cstheme="majorBidi"/>
        </w:rPr>
        <w:t>世界无线电行政大会（</w:t>
      </w:r>
      <w:r w:rsidRPr="003E4253">
        <w:rPr>
          <w:rFonts w:asciiTheme="majorBidi" w:hAnsiTheme="majorBidi" w:cstheme="majorBidi"/>
        </w:rPr>
        <w:t>1992</w:t>
      </w:r>
      <w:r w:rsidRPr="003E4253">
        <w:rPr>
          <w:rFonts w:asciiTheme="majorBidi" w:hAnsiTheme="majorBidi" w:cstheme="majorBidi"/>
        </w:rPr>
        <w:t>年，马拉加</w:t>
      </w:r>
      <w:r w:rsidRPr="003E4253">
        <w:rPr>
          <w:rFonts w:asciiTheme="majorBidi" w:hAnsiTheme="majorBidi" w:cstheme="majorBidi"/>
        </w:rPr>
        <w:t xml:space="preserve"> – </w:t>
      </w:r>
      <w:r w:rsidRPr="003E4253">
        <w:rPr>
          <w:rFonts w:asciiTheme="majorBidi" w:hAnsiTheme="majorBidi" w:cstheme="majorBidi"/>
        </w:rPr>
        <w:t>托雷莫里诺斯）（</w:t>
      </w:r>
      <w:r w:rsidRPr="003E4253">
        <w:rPr>
          <w:rFonts w:asciiTheme="majorBidi" w:hAnsiTheme="majorBidi" w:cstheme="majorBidi"/>
        </w:rPr>
        <w:t>WARC-92</w:t>
      </w:r>
      <w:r w:rsidRPr="003E4253">
        <w:rPr>
          <w:rFonts w:asciiTheme="majorBidi" w:hAnsiTheme="majorBidi" w:cstheme="majorBidi"/>
        </w:rPr>
        <w:t>）请求前国际无线电咨询委员会（</w:t>
      </w:r>
      <w:r w:rsidRPr="003E4253">
        <w:rPr>
          <w:rFonts w:asciiTheme="majorBidi" w:hAnsiTheme="majorBidi" w:cstheme="majorBidi"/>
        </w:rPr>
        <w:t>CCIR</w:t>
      </w:r>
      <w:r w:rsidRPr="003E4253">
        <w:rPr>
          <w:rFonts w:asciiTheme="majorBidi" w:hAnsiTheme="majorBidi" w:cstheme="majorBidi"/>
        </w:rPr>
        <w:t>）把与地面数字音频广播相关的技术研究作为紧急问题处理；</w:t>
      </w:r>
    </w:p>
    <w:p w:rsidR="0098182C" w:rsidRPr="003E4253" w:rsidRDefault="0098182C" w:rsidP="00D138D4">
      <w:pPr>
        <w:rPr>
          <w:rFonts w:asciiTheme="majorBidi" w:hAnsiTheme="majorBidi" w:cstheme="majorBidi"/>
        </w:rPr>
      </w:pPr>
      <w:r w:rsidRPr="003E4253">
        <w:rPr>
          <w:rFonts w:asciiTheme="majorBidi" w:hAnsiTheme="majorBidi" w:cstheme="majorBidi"/>
          <w:i/>
          <w:iCs/>
        </w:rPr>
        <w:t>b)</w:t>
      </w:r>
      <w:r w:rsidRPr="003E4253">
        <w:rPr>
          <w:rFonts w:asciiTheme="majorBidi" w:hAnsiTheme="majorBidi" w:cstheme="majorBidi"/>
        </w:rPr>
        <w:tab/>
      </w:r>
      <w:r w:rsidRPr="003E4253">
        <w:rPr>
          <w:rFonts w:asciiTheme="majorBidi" w:hAnsiTheme="majorBidi" w:cstheme="majorBidi"/>
        </w:rPr>
        <w:t>区域性无线电通信大会（</w:t>
      </w:r>
      <w:r w:rsidRPr="003E4253">
        <w:rPr>
          <w:rFonts w:asciiTheme="majorBidi" w:hAnsiTheme="majorBidi" w:cstheme="majorBidi"/>
        </w:rPr>
        <w:t>GE-06</w:t>
      </w:r>
      <w:r w:rsidRPr="003E4253">
        <w:rPr>
          <w:rFonts w:asciiTheme="majorBidi" w:hAnsiTheme="majorBidi" w:cstheme="majorBidi"/>
        </w:rPr>
        <w:t>）已在</w:t>
      </w:r>
      <w:r w:rsidRPr="003E4253">
        <w:rPr>
          <w:rFonts w:asciiTheme="majorBidi" w:hAnsiTheme="majorBidi" w:cstheme="majorBidi"/>
        </w:rPr>
        <w:t>1</w:t>
      </w:r>
      <w:r w:rsidRPr="003E4253">
        <w:rPr>
          <w:rFonts w:asciiTheme="majorBidi" w:hAnsiTheme="majorBidi" w:cstheme="majorBidi"/>
        </w:rPr>
        <w:t>区和伊朗伊斯兰共和国做出规划，将部分频段</w:t>
      </w:r>
      <w:r w:rsidRPr="003E4253">
        <w:rPr>
          <w:rFonts w:asciiTheme="majorBidi" w:hAnsiTheme="majorBidi" w:cstheme="majorBidi"/>
        </w:rPr>
        <w:t>III</w:t>
      </w:r>
      <w:r w:rsidRPr="003E4253">
        <w:rPr>
          <w:rFonts w:asciiTheme="majorBidi" w:hAnsiTheme="majorBidi" w:cstheme="majorBidi"/>
        </w:rPr>
        <w:t>用于数字声音广播，</w:t>
      </w:r>
    </w:p>
    <w:p w:rsidR="0098182C" w:rsidRPr="003E4253" w:rsidRDefault="00D138D4" w:rsidP="00D138D4">
      <w:pPr>
        <w:rPr>
          <w:rFonts w:asciiTheme="majorBidi" w:hAnsiTheme="majorBidi" w:cstheme="majorBidi"/>
        </w:rPr>
      </w:pPr>
      <w:r w:rsidRPr="003E4253">
        <w:rPr>
          <w:rFonts w:asciiTheme="majorBidi" w:eastAsia="STKaiti" w:hAnsiTheme="majorBidi" w:cstheme="majorBidi"/>
          <w:bCs/>
          <w:lang w:eastAsia="zh-CN"/>
        </w:rPr>
        <w:tab/>
      </w:r>
      <w:r w:rsidR="0098182C" w:rsidRPr="003E4253">
        <w:rPr>
          <w:rFonts w:asciiTheme="majorBidi" w:eastAsia="STKaiti" w:hAnsiTheme="majorBidi" w:cstheme="majorBidi"/>
          <w:bCs/>
          <w:lang w:eastAsia="zh-CN"/>
        </w:rPr>
        <w:t>做出决定，</w:t>
      </w:r>
      <w:r w:rsidR="0098182C" w:rsidRPr="003E4253">
        <w:rPr>
          <w:rFonts w:asciiTheme="majorBidi" w:hAnsiTheme="majorBidi" w:cstheme="majorBidi"/>
        </w:rPr>
        <w:t>应研究以下课题</w:t>
      </w:r>
    </w:p>
    <w:p w:rsidR="0098182C" w:rsidRPr="003E4253" w:rsidRDefault="0098182C" w:rsidP="00D138D4">
      <w:pPr>
        <w:rPr>
          <w:rFonts w:asciiTheme="majorBidi" w:hAnsiTheme="majorBidi" w:cstheme="majorBidi"/>
        </w:rPr>
      </w:pPr>
      <w:r w:rsidRPr="003E4253">
        <w:rPr>
          <w:rFonts w:asciiTheme="majorBidi" w:hAnsiTheme="majorBidi" w:cstheme="majorBidi"/>
        </w:rPr>
        <w:t>1</w:t>
      </w:r>
      <w:r w:rsidRPr="003E4253">
        <w:rPr>
          <w:rFonts w:asciiTheme="majorBidi" w:hAnsiTheme="majorBidi" w:cstheme="majorBidi"/>
        </w:rPr>
        <w:tab/>
      </w:r>
      <w:r w:rsidRPr="003E4253">
        <w:rPr>
          <w:rFonts w:asciiTheme="majorBidi" w:hAnsiTheme="majorBidi" w:cstheme="majorBidi"/>
        </w:rPr>
        <w:t>针对车载、便携和固定接收机的数字声音广播系统的技术特性是什么？</w:t>
      </w:r>
    </w:p>
    <w:p w:rsidR="0098182C" w:rsidRPr="003E4253" w:rsidRDefault="0098182C" w:rsidP="00D138D4">
      <w:pPr>
        <w:rPr>
          <w:rFonts w:asciiTheme="majorBidi" w:hAnsiTheme="majorBidi" w:cstheme="majorBidi"/>
        </w:rPr>
      </w:pPr>
      <w:r w:rsidRPr="003E4253">
        <w:rPr>
          <w:rFonts w:asciiTheme="majorBidi" w:hAnsiTheme="majorBidi" w:cstheme="majorBidi"/>
        </w:rPr>
        <w:lastRenderedPageBreak/>
        <w:t>2</w:t>
      </w:r>
      <w:r w:rsidRPr="003E4253">
        <w:rPr>
          <w:rFonts w:asciiTheme="majorBidi" w:hAnsiTheme="majorBidi" w:cstheme="majorBidi"/>
        </w:rPr>
        <w:tab/>
      </w:r>
      <w:r w:rsidRPr="003E4253">
        <w:rPr>
          <w:rFonts w:asciiTheme="majorBidi" w:hAnsiTheme="majorBidi" w:cstheme="majorBidi"/>
        </w:rPr>
        <w:t>从技术、经济、共享以及节目容量的角度来看，哪些甚高频</w:t>
      </w:r>
      <w:r w:rsidRPr="003E4253">
        <w:rPr>
          <w:rFonts w:asciiTheme="majorBidi" w:hAnsiTheme="majorBidi" w:cstheme="majorBidi"/>
        </w:rPr>
        <w:t>/</w:t>
      </w:r>
      <w:r w:rsidRPr="003E4253">
        <w:rPr>
          <w:rFonts w:asciiTheme="majorBidi" w:hAnsiTheme="majorBidi" w:cstheme="majorBidi"/>
        </w:rPr>
        <w:t>超高频（</w:t>
      </w:r>
      <w:r w:rsidRPr="003E4253">
        <w:rPr>
          <w:rFonts w:asciiTheme="majorBidi" w:hAnsiTheme="majorBidi" w:cstheme="majorBidi"/>
        </w:rPr>
        <w:t>VHF/UHF</w:t>
      </w:r>
      <w:r w:rsidRPr="003E4253">
        <w:rPr>
          <w:rFonts w:asciiTheme="majorBidi" w:hAnsiTheme="majorBidi" w:cstheme="majorBidi"/>
        </w:rPr>
        <w:t>）频段最适合提供地面数字声音广播业务？</w:t>
      </w:r>
    </w:p>
    <w:p w:rsidR="0098182C" w:rsidRPr="003E4253" w:rsidRDefault="0098182C" w:rsidP="00D138D4">
      <w:pPr>
        <w:rPr>
          <w:rFonts w:asciiTheme="majorBidi" w:hAnsiTheme="majorBidi" w:cstheme="majorBidi"/>
        </w:rPr>
      </w:pPr>
      <w:r w:rsidRPr="003E4253">
        <w:rPr>
          <w:rFonts w:asciiTheme="majorBidi" w:hAnsiTheme="majorBidi" w:cstheme="majorBidi"/>
        </w:rPr>
        <w:t>3</w:t>
      </w:r>
      <w:r w:rsidRPr="003E4253">
        <w:rPr>
          <w:rFonts w:asciiTheme="majorBidi" w:hAnsiTheme="majorBidi" w:cstheme="majorBidi"/>
        </w:rPr>
        <w:tab/>
      </w:r>
      <w:r w:rsidRPr="003E4253">
        <w:rPr>
          <w:rFonts w:asciiTheme="majorBidi" w:hAnsiTheme="majorBidi" w:cstheme="majorBidi"/>
        </w:rPr>
        <w:t>数字声音广播业务有哪些系统和业务要求？</w:t>
      </w:r>
    </w:p>
    <w:p w:rsidR="0098182C" w:rsidRPr="003E4253" w:rsidRDefault="0098182C" w:rsidP="00D138D4">
      <w:pPr>
        <w:rPr>
          <w:rFonts w:asciiTheme="majorBidi" w:hAnsiTheme="majorBidi" w:cstheme="majorBidi"/>
        </w:rPr>
      </w:pPr>
      <w:r w:rsidRPr="003E4253">
        <w:rPr>
          <w:rFonts w:asciiTheme="majorBidi" w:hAnsiTheme="majorBidi" w:cstheme="majorBidi"/>
        </w:rPr>
        <w:t>4</w:t>
      </w:r>
      <w:r w:rsidRPr="003E4253">
        <w:rPr>
          <w:rFonts w:asciiTheme="majorBidi" w:hAnsiTheme="majorBidi" w:cstheme="majorBidi"/>
        </w:rPr>
        <w:tab/>
      </w:r>
      <w:r w:rsidRPr="003E4253">
        <w:rPr>
          <w:rFonts w:asciiTheme="majorBidi" w:hAnsiTheme="majorBidi" w:cstheme="majorBidi"/>
        </w:rPr>
        <w:t>最适用于数字声音广播业务的信源编码、信道编码、复用和调制方法有哪些？</w:t>
      </w:r>
    </w:p>
    <w:p w:rsidR="0098182C" w:rsidRPr="003E4253" w:rsidRDefault="0098182C" w:rsidP="00D138D4">
      <w:pPr>
        <w:rPr>
          <w:rFonts w:asciiTheme="majorBidi" w:hAnsiTheme="majorBidi" w:cstheme="majorBidi"/>
        </w:rPr>
      </w:pPr>
      <w:r w:rsidRPr="003E4253">
        <w:rPr>
          <w:rFonts w:asciiTheme="majorBidi" w:hAnsiTheme="majorBidi" w:cstheme="majorBidi"/>
        </w:rPr>
        <w:t>5</w:t>
      </w:r>
      <w:r w:rsidRPr="003E4253">
        <w:rPr>
          <w:rFonts w:asciiTheme="majorBidi" w:hAnsiTheme="majorBidi" w:cstheme="majorBidi"/>
        </w:rPr>
        <w:tab/>
      </w:r>
      <w:r w:rsidRPr="003E4253">
        <w:rPr>
          <w:rFonts w:asciiTheme="majorBidi" w:hAnsiTheme="majorBidi" w:cstheme="majorBidi"/>
        </w:rPr>
        <w:t>哪些方法可能在本地、区域和国家层面满足服务区和多路复用需求？</w:t>
      </w:r>
    </w:p>
    <w:p w:rsidR="0098182C" w:rsidRPr="003E4253" w:rsidRDefault="0098182C" w:rsidP="00D138D4">
      <w:pPr>
        <w:rPr>
          <w:rFonts w:asciiTheme="majorBidi" w:hAnsiTheme="majorBidi" w:cstheme="majorBidi"/>
        </w:rPr>
      </w:pPr>
      <w:r w:rsidRPr="003E4253">
        <w:rPr>
          <w:rFonts w:asciiTheme="majorBidi" w:hAnsiTheme="majorBidi" w:cstheme="majorBidi"/>
        </w:rPr>
        <w:t>6</w:t>
      </w:r>
      <w:r w:rsidRPr="003E4253">
        <w:rPr>
          <w:rFonts w:asciiTheme="majorBidi" w:hAnsiTheme="majorBidi" w:cstheme="majorBidi"/>
        </w:rPr>
        <w:tab/>
      </w:r>
      <w:r w:rsidRPr="003E4253">
        <w:rPr>
          <w:rFonts w:asciiTheme="majorBidi" w:hAnsiTheme="majorBidi" w:cstheme="majorBidi"/>
        </w:rPr>
        <w:t>使用序列调制信号将带来哪些益处？</w:t>
      </w:r>
    </w:p>
    <w:p w:rsidR="0098182C" w:rsidRPr="003E4253" w:rsidRDefault="0098182C" w:rsidP="00D138D4">
      <w:pPr>
        <w:rPr>
          <w:rFonts w:asciiTheme="majorBidi" w:hAnsiTheme="majorBidi" w:cstheme="majorBidi"/>
        </w:rPr>
      </w:pPr>
      <w:r w:rsidRPr="003E4253">
        <w:rPr>
          <w:rFonts w:asciiTheme="majorBidi" w:hAnsiTheme="majorBidi" w:cstheme="majorBidi"/>
        </w:rPr>
        <w:t>7</w:t>
      </w:r>
      <w:r w:rsidRPr="003E4253">
        <w:rPr>
          <w:rFonts w:asciiTheme="majorBidi" w:hAnsiTheme="majorBidi" w:cstheme="majorBidi"/>
        </w:rPr>
        <w:tab/>
      </w:r>
      <w:r w:rsidRPr="003E4253">
        <w:rPr>
          <w:rFonts w:asciiTheme="majorBidi" w:hAnsiTheme="majorBidi" w:cstheme="majorBidi"/>
        </w:rPr>
        <w:t>正常、不正常和极不正常的传播，包括多径效应会对数字声音广播系统产生哪些影响？</w:t>
      </w:r>
    </w:p>
    <w:p w:rsidR="0098182C" w:rsidRPr="003E4253" w:rsidRDefault="0098182C" w:rsidP="00D138D4">
      <w:pPr>
        <w:rPr>
          <w:rFonts w:asciiTheme="majorBidi" w:hAnsiTheme="majorBidi" w:cstheme="majorBidi"/>
        </w:rPr>
      </w:pPr>
      <w:r w:rsidRPr="003E4253">
        <w:rPr>
          <w:rFonts w:asciiTheme="majorBidi" w:hAnsiTheme="majorBidi" w:cstheme="majorBidi"/>
        </w:rPr>
        <w:t>8</w:t>
      </w:r>
      <w:r w:rsidRPr="003E4253">
        <w:rPr>
          <w:rFonts w:asciiTheme="majorBidi" w:hAnsiTheme="majorBidi" w:cstheme="majorBidi"/>
        </w:rPr>
        <w:tab/>
      </w:r>
      <w:r w:rsidRPr="003E4253">
        <w:rPr>
          <w:rFonts w:asciiTheme="majorBidi" w:hAnsiTheme="majorBidi" w:cstheme="majorBidi"/>
        </w:rPr>
        <w:t>为防止不同数字声音广播业务之间以及与其它使用相同或相邻频段的业务产生相互干扰，应采用何种保护比？</w:t>
      </w:r>
    </w:p>
    <w:p w:rsidR="0098182C" w:rsidRPr="003E4253" w:rsidRDefault="0098182C" w:rsidP="00D138D4">
      <w:pPr>
        <w:rPr>
          <w:rFonts w:asciiTheme="majorBidi" w:hAnsiTheme="majorBidi" w:cstheme="majorBidi"/>
        </w:rPr>
      </w:pPr>
      <w:r w:rsidRPr="003E4253">
        <w:rPr>
          <w:rFonts w:asciiTheme="majorBidi" w:hAnsiTheme="majorBidi" w:cstheme="majorBidi"/>
        </w:rPr>
        <w:t>9</w:t>
      </w:r>
      <w:r w:rsidRPr="003E4253">
        <w:rPr>
          <w:rFonts w:asciiTheme="majorBidi" w:hAnsiTheme="majorBidi" w:cstheme="majorBidi"/>
        </w:rPr>
        <w:tab/>
      </w:r>
      <w:r w:rsidRPr="003E4253">
        <w:rPr>
          <w:rFonts w:asciiTheme="majorBidi" w:hAnsiTheme="majorBidi" w:cstheme="majorBidi"/>
        </w:rPr>
        <w:t>需要采取哪些步骤缓解模拟向数字声音广播过渡过程中出现的问题？</w:t>
      </w:r>
    </w:p>
    <w:p w:rsidR="0098182C" w:rsidRPr="003E4253" w:rsidRDefault="0098182C" w:rsidP="00D138D4">
      <w:pPr>
        <w:rPr>
          <w:rFonts w:asciiTheme="majorBidi" w:hAnsiTheme="majorBidi" w:cstheme="majorBidi"/>
        </w:rPr>
      </w:pPr>
      <w:r w:rsidRPr="003E4253">
        <w:rPr>
          <w:rFonts w:asciiTheme="majorBidi" w:hAnsiTheme="majorBidi" w:cstheme="majorBidi"/>
        </w:rPr>
        <w:t>10</w:t>
      </w:r>
      <w:r w:rsidRPr="003E4253">
        <w:rPr>
          <w:rFonts w:asciiTheme="majorBidi" w:hAnsiTheme="majorBidi" w:cstheme="majorBidi"/>
        </w:rPr>
        <w:tab/>
      </w:r>
      <w:r w:rsidRPr="003E4253">
        <w:rPr>
          <w:rFonts w:asciiTheme="majorBidi" w:hAnsiTheme="majorBidi" w:cstheme="majorBidi"/>
        </w:rPr>
        <w:t>针对车载、便携和固定接收的国家、区域和本地覆盖所必须的规划标准是什么？</w:t>
      </w:r>
    </w:p>
    <w:p w:rsidR="0098182C" w:rsidRPr="003E4253" w:rsidRDefault="0098182C" w:rsidP="00D138D4">
      <w:pPr>
        <w:rPr>
          <w:rFonts w:asciiTheme="majorBidi" w:hAnsiTheme="majorBidi" w:cstheme="majorBidi"/>
        </w:rPr>
      </w:pPr>
      <w:r w:rsidRPr="003E4253">
        <w:rPr>
          <w:rFonts w:asciiTheme="majorBidi" w:hAnsiTheme="majorBidi" w:cstheme="majorBidi"/>
        </w:rPr>
        <w:t>11</w:t>
      </w:r>
      <w:r w:rsidRPr="003E4253">
        <w:rPr>
          <w:rFonts w:asciiTheme="majorBidi" w:hAnsiTheme="majorBidi" w:cstheme="majorBidi"/>
        </w:rPr>
        <w:tab/>
      </w:r>
      <w:r w:rsidRPr="003E4253">
        <w:rPr>
          <w:rFonts w:asciiTheme="majorBidi" w:hAnsiTheme="majorBidi" w:cstheme="majorBidi"/>
        </w:rPr>
        <w:t>联合使用在同一频段工作的卫星与地面业务能获得哪些好处？</w:t>
      </w:r>
    </w:p>
    <w:p w:rsidR="0098182C" w:rsidRPr="003E4253" w:rsidRDefault="0098182C" w:rsidP="00D138D4">
      <w:pPr>
        <w:rPr>
          <w:rFonts w:asciiTheme="majorBidi" w:hAnsiTheme="majorBidi" w:cstheme="majorBidi"/>
        </w:rPr>
      </w:pPr>
      <w:r w:rsidRPr="003E4253">
        <w:rPr>
          <w:rFonts w:asciiTheme="majorBidi" w:hAnsiTheme="majorBidi" w:cstheme="majorBidi"/>
        </w:rPr>
        <w:t>12</w:t>
      </w:r>
      <w:r w:rsidRPr="003E4253">
        <w:rPr>
          <w:rFonts w:asciiTheme="majorBidi" w:hAnsiTheme="majorBidi" w:cstheme="majorBidi"/>
        </w:rPr>
        <w:tab/>
      </w:r>
      <w:r w:rsidRPr="003E4253">
        <w:rPr>
          <w:rFonts w:asciiTheme="majorBidi" w:hAnsiTheme="majorBidi" w:cstheme="majorBidi"/>
        </w:rPr>
        <w:t>使用分集接收将有哪些优势？</w:t>
      </w:r>
    </w:p>
    <w:p w:rsidR="0098182C" w:rsidRPr="003E4253" w:rsidRDefault="0098182C" w:rsidP="00D138D4">
      <w:pPr>
        <w:rPr>
          <w:rFonts w:asciiTheme="majorBidi" w:hAnsiTheme="majorBidi" w:cstheme="majorBidi"/>
        </w:rPr>
      </w:pPr>
      <w:r w:rsidRPr="003E4253">
        <w:rPr>
          <w:rFonts w:asciiTheme="majorBidi" w:hAnsiTheme="majorBidi" w:cstheme="majorBidi"/>
        </w:rPr>
        <w:t>13</w:t>
      </w:r>
      <w:r w:rsidRPr="003E4253">
        <w:rPr>
          <w:rFonts w:asciiTheme="majorBidi" w:hAnsiTheme="majorBidi" w:cstheme="majorBidi"/>
        </w:rPr>
        <w:tab/>
      </w:r>
      <w:r w:rsidRPr="003E4253">
        <w:rPr>
          <w:rFonts w:asciiTheme="majorBidi" w:hAnsiTheme="majorBidi" w:cstheme="majorBidi"/>
        </w:rPr>
        <w:t>根据考虑到</w:t>
      </w:r>
      <w:r w:rsidRPr="00B50CD4">
        <w:rPr>
          <w:rFonts w:asciiTheme="majorBidi" w:hAnsiTheme="majorBidi" w:cstheme="majorBidi"/>
          <w:i/>
          <w:iCs/>
        </w:rPr>
        <w:t>g)</w:t>
      </w:r>
      <w:r w:rsidRPr="003E4253">
        <w:rPr>
          <w:rFonts w:asciiTheme="majorBidi" w:hAnsiTheme="majorBidi" w:cstheme="majorBidi"/>
        </w:rPr>
        <w:t>，将如何在数字声音广播系统和正被取代的模拟系统之间的质量和容量方面做出权衡？</w:t>
      </w:r>
    </w:p>
    <w:p w:rsidR="0098182C" w:rsidRPr="003E4253" w:rsidRDefault="00D138D4" w:rsidP="00D138D4">
      <w:pPr>
        <w:rPr>
          <w:rFonts w:asciiTheme="majorBidi" w:hAnsiTheme="majorBidi" w:cstheme="majorBidi"/>
        </w:rPr>
      </w:pPr>
      <w:r w:rsidRPr="003E4253">
        <w:rPr>
          <w:rFonts w:asciiTheme="majorBidi" w:eastAsia="STKaiti" w:hAnsiTheme="majorBidi" w:cstheme="majorBidi"/>
          <w:bCs/>
          <w:lang w:eastAsia="zh-CN"/>
        </w:rPr>
        <w:tab/>
      </w:r>
      <w:r w:rsidR="0098182C" w:rsidRPr="003E4253">
        <w:rPr>
          <w:rFonts w:asciiTheme="majorBidi" w:eastAsia="STKaiti" w:hAnsiTheme="majorBidi" w:cstheme="majorBidi"/>
          <w:bCs/>
          <w:lang w:eastAsia="zh-CN"/>
        </w:rPr>
        <w:t>进一步做出决定</w:t>
      </w:r>
    </w:p>
    <w:p w:rsidR="0098182C" w:rsidRPr="003E4253" w:rsidRDefault="0098182C" w:rsidP="00D138D4">
      <w:pPr>
        <w:rPr>
          <w:rFonts w:asciiTheme="majorBidi" w:hAnsiTheme="majorBidi" w:cstheme="majorBidi"/>
        </w:rPr>
      </w:pPr>
      <w:r w:rsidRPr="003E4253">
        <w:rPr>
          <w:rFonts w:asciiTheme="majorBidi" w:hAnsiTheme="majorBidi" w:cstheme="majorBidi"/>
        </w:rPr>
        <w:t>1</w:t>
      </w:r>
      <w:r w:rsidRPr="003E4253">
        <w:rPr>
          <w:rFonts w:asciiTheme="majorBidi" w:hAnsiTheme="majorBidi" w:cstheme="majorBidi"/>
        </w:rPr>
        <w:tab/>
      </w:r>
      <w:r w:rsidRPr="003E4253">
        <w:rPr>
          <w:rFonts w:asciiTheme="majorBidi" w:hAnsiTheme="majorBidi" w:cstheme="majorBidi"/>
        </w:rPr>
        <w:t>上述研究结果应纳入一份或多份报告和</w:t>
      </w:r>
      <w:r w:rsidRPr="003E4253">
        <w:rPr>
          <w:rFonts w:asciiTheme="majorBidi" w:hAnsiTheme="majorBidi" w:cstheme="majorBidi"/>
        </w:rPr>
        <w:t>/</w:t>
      </w:r>
      <w:r w:rsidRPr="003E4253">
        <w:rPr>
          <w:rFonts w:asciiTheme="majorBidi" w:hAnsiTheme="majorBidi" w:cstheme="majorBidi"/>
        </w:rPr>
        <w:t>或建议书；</w:t>
      </w:r>
    </w:p>
    <w:p w:rsidR="0098182C" w:rsidRPr="003E4253" w:rsidRDefault="0098182C" w:rsidP="00D138D4">
      <w:pPr>
        <w:rPr>
          <w:rFonts w:asciiTheme="majorBidi" w:hAnsiTheme="majorBidi" w:cstheme="majorBidi"/>
        </w:rPr>
      </w:pPr>
      <w:r w:rsidRPr="003E4253">
        <w:rPr>
          <w:rFonts w:asciiTheme="majorBidi" w:hAnsiTheme="majorBidi" w:cstheme="majorBidi"/>
        </w:rPr>
        <w:t>2</w:t>
      </w:r>
      <w:r w:rsidRPr="003E4253">
        <w:rPr>
          <w:rFonts w:asciiTheme="majorBidi" w:hAnsiTheme="majorBidi" w:cstheme="majorBidi"/>
        </w:rPr>
        <w:tab/>
      </w:r>
      <w:r w:rsidRPr="003E4253">
        <w:rPr>
          <w:rFonts w:asciiTheme="majorBidi" w:hAnsiTheme="majorBidi" w:cstheme="majorBidi"/>
        </w:rPr>
        <w:t>以上研究应在</w:t>
      </w:r>
      <w:r w:rsidRPr="003E4253">
        <w:rPr>
          <w:rFonts w:asciiTheme="majorBidi" w:hAnsiTheme="majorBidi" w:cstheme="majorBidi"/>
        </w:rPr>
        <w:t>2019</w:t>
      </w:r>
      <w:r w:rsidRPr="003E4253">
        <w:rPr>
          <w:rFonts w:asciiTheme="majorBidi" w:hAnsiTheme="majorBidi" w:cstheme="majorBidi"/>
        </w:rPr>
        <w:t>年前完成。</w:t>
      </w:r>
    </w:p>
    <w:p w:rsidR="0098182C" w:rsidRPr="00D138D4" w:rsidRDefault="0098182C" w:rsidP="00D138D4">
      <w:pPr>
        <w:spacing w:before="720"/>
      </w:pPr>
      <w:r w:rsidRPr="003E4253">
        <w:rPr>
          <w:rFonts w:asciiTheme="majorBidi" w:hAnsiTheme="majorBidi" w:cstheme="majorBidi"/>
        </w:rPr>
        <w:t>类别：</w:t>
      </w:r>
      <w:r w:rsidRPr="003E4253">
        <w:rPr>
          <w:rFonts w:asciiTheme="majorBidi" w:hAnsiTheme="majorBidi" w:cstheme="majorBidi"/>
        </w:rPr>
        <w:t>S2</w:t>
      </w:r>
    </w:p>
    <w:p w:rsidR="00BD7AE0" w:rsidRPr="00D138D4" w:rsidRDefault="00BD7AE0" w:rsidP="00D138D4">
      <w:r w:rsidRPr="00D138D4">
        <w:br w:type="page"/>
      </w:r>
    </w:p>
    <w:p w:rsidR="0098182C" w:rsidRPr="00D138D4" w:rsidRDefault="0098182C" w:rsidP="00D138D4">
      <w:pPr>
        <w:pStyle w:val="AnnexNotitle0"/>
        <w:rPr>
          <w:rFonts w:asciiTheme="majorBidi" w:eastAsiaTheme="majorEastAsia" w:hAnsiTheme="majorBidi" w:cstheme="majorBidi"/>
          <w:lang w:eastAsia="zh-CN"/>
        </w:rPr>
      </w:pPr>
      <w:r w:rsidRPr="00D138D4">
        <w:rPr>
          <w:rFonts w:asciiTheme="majorBidi" w:eastAsiaTheme="majorEastAsia" w:hAnsiTheme="majorBidi" w:cstheme="majorBidi" w:hint="eastAsia"/>
          <w:lang w:eastAsia="zh-CN"/>
        </w:rPr>
        <w:lastRenderedPageBreak/>
        <w:t>附件</w:t>
      </w:r>
      <w:r w:rsidRPr="00D138D4">
        <w:rPr>
          <w:rFonts w:asciiTheme="majorBidi" w:eastAsiaTheme="majorEastAsia" w:hAnsiTheme="majorBidi" w:cstheme="majorBidi" w:hint="eastAsia"/>
          <w:lang w:eastAsia="zh-CN"/>
        </w:rPr>
        <w:t>2</w:t>
      </w:r>
    </w:p>
    <w:p w:rsidR="0098182C" w:rsidRPr="00D138D4" w:rsidRDefault="0098182C" w:rsidP="00D138D4">
      <w:pPr>
        <w:pStyle w:val="QuestionNoBR"/>
      </w:pPr>
      <w:r w:rsidRPr="00D138D4">
        <w:rPr>
          <w:rFonts w:asciiTheme="majorBidi" w:hAnsiTheme="majorBidi" w:cstheme="majorBidi"/>
        </w:rPr>
        <w:t>ITU-R 142</w:t>
      </w:r>
      <w:r w:rsidR="00CF00DA">
        <w:rPr>
          <w:rFonts w:asciiTheme="majorBidi" w:hAnsiTheme="majorBidi" w:cstheme="majorBidi"/>
        </w:rPr>
        <w:t>-1</w:t>
      </w:r>
      <w:bookmarkStart w:id="0" w:name="_GoBack"/>
      <w:bookmarkEnd w:id="0"/>
      <w:r w:rsidRPr="00D138D4">
        <w:rPr>
          <w:rFonts w:asciiTheme="majorBidi" w:hAnsiTheme="majorBidi" w:cstheme="majorBidi"/>
        </w:rPr>
        <w:t>/6</w:t>
      </w:r>
      <w:r w:rsidRPr="00D138D4">
        <w:rPr>
          <w:rFonts w:hint="eastAsia"/>
        </w:rPr>
        <w:t>号课题</w:t>
      </w:r>
    </w:p>
    <w:p w:rsidR="0098182C" w:rsidRPr="00D138D4" w:rsidRDefault="0098182C" w:rsidP="00D138D4">
      <w:pPr>
        <w:pStyle w:val="Questiontitle"/>
      </w:pPr>
      <w:r w:rsidRPr="00D138D4">
        <w:rPr>
          <w:rFonts w:hint="eastAsia"/>
        </w:rPr>
        <w:t>用于广播的高动态范围电视</w:t>
      </w:r>
    </w:p>
    <w:p w:rsidR="0098182C" w:rsidRPr="00D138D4" w:rsidRDefault="0098182C" w:rsidP="00D138D4">
      <w:pPr>
        <w:jc w:val="right"/>
        <w:rPr>
          <w:rFonts w:asciiTheme="majorBidi" w:hAnsiTheme="majorBidi" w:cstheme="majorBidi"/>
        </w:rPr>
      </w:pPr>
      <w:r w:rsidRPr="00D138D4">
        <w:rPr>
          <w:rFonts w:asciiTheme="majorBidi" w:hAnsiTheme="majorBidi" w:cstheme="majorBidi"/>
        </w:rPr>
        <w:t>（</w:t>
      </w:r>
      <w:r w:rsidRPr="00D138D4">
        <w:rPr>
          <w:rFonts w:asciiTheme="majorBidi" w:hAnsiTheme="majorBidi" w:cstheme="majorBidi"/>
        </w:rPr>
        <w:t>2015</w:t>
      </w:r>
      <w:r w:rsidR="00BD7AE0" w:rsidRPr="00D138D4">
        <w:rPr>
          <w:rFonts w:asciiTheme="majorBidi" w:hAnsiTheme="majorBidi" w:cstheme="majorBidi"/>
        </w:rPr>
        <w:t>-2016</w:t>
      </w:r>
      <w:r w:rsidRPr="00D138D4">
        <w:rPr>
          <w:rFonts w:asciiTheme="majorBidi" w:hAnsiTheme="majorBidi" w:cstheme="majorBidi"/>
        </w:rPr>
        <w:t>年）</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国际电联无线电通信全会，</w:t>
      </w:r>
    </w:p>
    <w:p w:rsidR="0098182C" w:rsidRPr="003E4253" w:rsidRDefault="00D138D4" w:rsidP="003E4253">
      <w:pPr>
        <w:spacing w:after="120"/>
        <w:rPr>
          <w:rFonts w:asciiTheme="majorBidi" w:hAnsiTheme="majorBidi" w:cstheme="majorBidi"/>
        </w:rPr>
      </w:pPr>
      <w:r w:rsidRPr="003E4253">
        <w:rPr>
          <w:rFonts w:asciiTheme="majorBidi" w:eastAsia="STKaiti" w:hAnsiTheme="majorBidi" w:cstheme="majorBidi"/>
          <w:bCs/>
          <w:lang w:eastAsia="zh-CN"/>
        </w:rPr>
        <w:tab/>
      </w:r>
      <w:r w:rsidR="0098182C" w:rsidRPr="003E4253">
        <w:rPr>
          <w:rFonts w:asciiTheme="majorBidi" w:eastAsia="STKaiti" w:hAnsiTheme="majorBidi" w:cstheme="majorBidi"/>
          <w:bCs/>
          <w:lang w:eastAsia="zh-CN"/>
        </w:rPr>
        <w:t>考虑到</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a)</w:t>
      </w:r>
      <w:r w:rsidRPr="003E4253">
        <w:rPr>
          <w:rFonts w:asciiTheme="majorBidi" w:hAnsiTheme="majorBidi" w:cstheme="majorBidi"/>
        </w:rPr>
        <w:tab/>
        <w:t>ITU-R BT.601</w:t>
      </w:r>
      <w:r w:rsidRPr="003E4253">
        <w:rPr>
          <w:rFonts w:asciiTheme="majorBidi" w:hAnsiTheme="majorBidi" w:cstheme="majorBidi"/>
        </w:rPr>
        <w:t>、</w:t>
      </w:r>
      <w:r w:rsidRPr="003E4253">
        <w:rPr>
          <w:rFonts w:asciiTheme="majorBidi" w:hAnsiTheme="majorBidi" w:cstheme="majorBidi"/>
        </w:rPr>
        <w:t>BT.709</w:t>
      </w:r>
      <w:r w:rsidRPr="003E4253">
        <w:rPr>
          <w:rFonts w:asciiTheme="majorBidi" w:hAnsiTheme="majorBidi" w:cstheme="majorBidi"/>
        </w:rPr>
        <w:t>和</w:t>
      </w:r>
      <w:r w:rsidRPr="003E4253">
        <w:rPr>
          <w:rFonts w:asciiTheme="majorBidi" w:hAnsiTheme="majorBidi" w:cstheme="majorBidi"/>
        </w:rPr>
        <w:t>BT.2020</w:t>
      </w:r>
      <w:r w:rsidRPr="003E4253">
        <w:rPr>
          <w:rFonts w:asciiTheme="majorBidi" w:hAnsiTheme="majorBidi" w:cstheme="majorBidi"/>
        </w:rPr>
        <w:t>建议书对用于标清电视（</w:t>
      </w:r>
      <w:r w:rsidRPr="003E4253">
        <w:rPr>
          <w:rFonts w:asciiTheme="majorBidi" w:hAnsiTheme="majorBidi" w:cstheme="majorBidi"/>
        </w:rPr>
        <w:t>SDTV</w:t>
      </w:r>
      <w:r w:rsidRPr="003E4253">
        <w:rPr>
          <w:rFonts w:asciiTheme="majorBidi" w:hAnsiTheme="majorBidi" w:cstheme="majorBidi"/>
        </w:rPr>
        <w:t>）、高清电视（</w:t>
      </w:r>
      <w:r w:rsidRPr="003E4253">
        <w:rPr>
          <w:rFonts w:asciiTheme="majorBidi" w:hAnsiTheme="majorBidi" w:cstheme="majorBidi"/>
        </w:rPr>
        <w:t>HDTV</w:t>
      </w:r>
      <w:r w:rsidRPr="003E4253">
        <w:rPr>
          <w:rFonts w:asciiTheme="majorBidi" w:hAnsiTheme="majorBidi" w:cstheme="majorBidi"/>
        </w:rPr>
        <w:t>）和超高清电视（</w:t>
      </w:r>
      <w:r w:rsidRPr="003E4253">
        <w:rPr>
          <w:rFonts w:asciiTheme="majorBidi" w:hAnsiTheme="majorBidi" w:cstheme="majorBidi"/>
        </w:rPr>
        <w:t>UHDTV</w:t>
      </w:r>
      <w:r w:rsidRPr="003E4253">
        <w:rPr>
          <w:rFonts w:asciiTheme="majorBidi" w:hAnsiTheme="majorBidi" w:cstheme="majorBidi"/>
        </w:rPr>
        <w:t>）的数字电视图像格式做了详细说明；</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b)</w:t>
      </w:r>
      <w:r w:rsidRPr="003E4253">
        <w:rPr>
          <w:rFonts w:asciiTheme="majorBidi" w:hAnsiTheme="majorBidi" w:cstheme="majorBidi"/>
        </w:rPr>
        <w:tab/>
        <w:t>ITU-R BT.2022</w:t>
      </w:r>
      <w:r w:rsidRPr="003E4253">
        <w:rPr>
          <w:rFonts w:asciiTheme="majorBidi" w:hAnsiTheme="majorBidi" w:cstheme="majorBidi"/>
        </w:rPr>
        <w:t>建议书规定了主观评价平面直角</w:t>
      </w:r>
      <w:r w:rsidRPr="003E4253">
        <w:rPr>
          <w:rFonts w:asciiTheme="majorBidi" w:hAnsiTheme="majorBidi" w:cstheme="majorBidi"/>
        </w:rPr>
        <w:t>SDTV</w:t>
      </w:r>
      <w:r w:rsidRPr="003E4253">
        <w:rPr>
          <w:rFonts w:asciiTheme="majorBidi" w:hAnsiTheme="majorBidi" w:cstheme="majorBidi"/>
        </w:rPr>
        <w:t>和</w:t>
      </w:r>
      <w:r w:rsidRPr="003E4253">
        <w:rPr>
          <w:rFonts w:asciiTheme="majorBidi" w:hAnsiTheme="majorBidi" w:cstheme="majorBidi"/>
        </w:rPr>
        <w:t>HDTV</w:t>
      </w:r>
      <w:r w:rsidRPr="003E4253">
        <w:rPr>
          <w:rFonts w:asciiTheme="majorBidi" w:hAnsiTheme="majorBidi" w:cstheme="majorBidi"/>
        </w:rPr>
        <w:t>电视图像质量的一般观看条件；</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c)</w:t>
      </w:r>
      <w:r w:rsidRPr="003E4253">
        <w:rPr>
          <w:rFonts w:asciiTheme="majorBidi" w:hAnsiTheme="majorBidi" w:cstheme="majorBidi"/>
        </w:rPr>
        <w:tab/>
      </w:r>
      <w:r w:rsidRPr="003E4253">
        <w:rPr>
          <w:rFonts w:asciiTheme="majorBidi" w:hAnsiTheme="majorBidi" w:cstheme="majorBidi"/>
        </w:rPr>
        <w:t>诸多</w:t>
      </w:r>
      <w:r w:rsidRPr="003E4253">
        <w:rPr>
          <w:rFonts w:asciiTheme="majorBidi" w:hAnsiTheme="majorBidi" w:cstheme="majorBidi"/>
        </w:rPr>
        <w:t>ITU-R BT</w:t>
      </w:r>
      <w:r w:rsidRPr="003E4253">
        <w:rPr>
          <w:rFonts w:asciiTheme="majorBidi" w:hAnsiTheme="majorBidi" w:cstheme="majorBidi"/>
        </w:rPr>
        <w:t>系列建议书均规定了涉及下列方面的方法：</w:t>
      </w:r>
    </w:p>
    <w:p w:rsidR="0098182C" w:rsidRPr="003E4253" w:rsidRDefault="0098182C" w:rsidP="003E4253">
      <w:pPr>
        <w:pStyle w:val="enumlev1"/>
        <w:spacing w:before="160" w:after="120"/>
        <w:rPr>
          <w:rFonts w:asciiTheme="majorBidi" w:hAnsiTheme="majorBidi" w:cstheme="majorBidi"/>
        </w:rPr>
      </w:pPr>
      <w:r w:rsidRPr="003E4253">
        <w:rPr>
          <w:rFonts w:asciiTheme="majorBidi" w:hAnsiTheme="majorBidi" w:cstheme="majorBidi"/>
        </w:rPr>
        <w:t>–</w:t>
      </w:r>
      <w:r w:rsidRPr="003E4253">
        <w:rPr>
          <w:rFonts w:asciiTheme="majorBidi" w:hAnsiTheme="majorBidi" w:cstheme="majorBidi"/>
        </w:rPr>
        <w:tab/>
      </w:r>
      <w:r w:rsidRPr="003E4253">
        <w:rPr>
          <w:rFonts w:asciiTheme="majorBidi" w:hAnsiTheme="majorBidi" w:cstheme="majorBidi"/>
        </w:rPr>
        <w:t>主观评价电视图像质量；</w:t>
      </w:r>
    </w:p>
    <w:p w:rsidR="0098182C" w:rsidRPr="003E4253" w:rsidRDefault="0098182C" w:rsidP="003E4253">
      <w:pPr>
        <w:pStyle w:val="enumlev1"/>
        <w:spacing w:before="160" w:after="120"/>
        <w:rPr>
          <w:rFonts w:asciiTheme="majorBidi" w:hAnsiTheme="majorBidi" w:cstheme="majorBidi"/>
        </w:rPr>
      </w:pPr>
      <w:r w:rsidRPr="003E4253">
        <w:rPr>
          <w:rFonts w:asciiTheme="majorBidi" w:hAnsiTheme="majorBidi" w:cstheme="majorBidi"/>
        </w:rPr>
        <w:t>–</w:t>
      </w:r>
      <w:r w:rsidRPr="003E4253">
        <w:rPr>
          <w:rFonts w:asciiTheme="majorBidi" w:hAnsiTheme="majorBidi" w:cstheme="majorBidi"/>
        </w:rPr>
        <w:tab/>
      </w:r>
      <w:r w:rsidRPr="003E4253">
        <w:rPr>
          <w:rFonts w:asciiTheme="majorBidi" w:hAnsiTheme="majorBidi" w:cstheme="majorBidi"/>
        </w:rPr>
        <w:t>电视节目国际交换；</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d)</w:t>
      </w:r>
      <w:r w:rsidRPr="003E4253">
        <w:rPr>
          <w:rFonts w:asciiTheme="majorBidi" w:hAnsiTheme="majorBidi" w:cstheme="majorBidi"/>
        </w:rPr>
        <w:tab/>
      </w:r>
      <w:r w:rsidRPr="003E4253">
        <w:rPr>
          <w:rFonts w:asciiTheme="majorBidi" w:hAnsiTheme="majorBidi" w:cstheme="majorBidi"/>
        </w:rPr>
        <w:t>现代电视显示器能够再现更高亮度的图像，并提供比常规节目制作更高的对比度和更广泛的色域（</w:t>
      </w:r>
      <w:r w:rsidRPr="003E4253">
        <w:rPr>
          <w:rFonts w:asciiTheme="majorBidi" w:hAnsiTheme="majorBidi" w:cstheme="majorBidi"/>
        </w:rPr>
        <w:t>WCG</w:t>
      </w:r>
      <w:r w:rsidRPr="003E4253">
        <w:rPr>
          <w:rFonts w:asciiTheme="majorBidi" w:hAnsiTheme="majorBidi" w:cstheme="majorBidi"/>
        </w:rPr>
        <w:t>）；</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e)</w:t>
      </w:r>
      <w:r w:rsidRPr="003E4253">
        <w:rPr>
          <w:rFonts w:asciiTheme="majorBidi" w:hAnsiTheme="majorBidi" w:cstheme="majorBidi"/>
        </w:rPr>
        <w:tab/>
      </w:r>
      <w:r w:rsidRPr="003E4253">
        <w:rPr>
          <w:rFonts w:asciiTheme="majorBidi" w:hAnsiTheme="majorBidi" w:cstheme="majorBidi"/>
        </w:rPr>
        <w:t>虽然</w:t>
      </w:r>
      <w:r w:rsidRPr="003E4253">
        <w:rPr>
          <w:rFonts w:asciiTheme="majorBidi" w:hAnsiTheme="majorBidi" w:cstheme="majorBidi"/>
        </w:rPr>
        <w:t>UHDTV</w:t>
      </w:r>
      <w:r w:rsidRPr="003E4253">
        <w:rPr>
          <w:rFonts w:asciiTheme="majorBidi" w:hAnsiTheme="majorBidi" w:cstheme="majorBidi"/>
        </w:rPr>
        <w:t>具有更高的空间解析度、更广泛的色域和更高帧速率的选择，但它与</w:t>
      </w:r>
      <w:r w:rsidRPr="003E4253">
        <w:rPr>
          <w:rFonts w:asciiTheme="majorBidi" w:hAnsiTheme="majorBidi" w:cstheme="majorBidi"/>
        </w:rPr>
        <w:t>HDTV</w:t>
      </w:r>
      <w:r w:rsidRPr="003E4253">
        <w:rPr>
          <w:rFonts w:asciiTheme="majorBidi" w:hAnsiTheme="majorBidi" w:cstheme="majorBidi"/>
        </w:rPr>
        <w:t>和</w:t>
      </w:r>
      <w:r w:rsidRPr="003E4253">
        <w:rPr>
          <w:rFonts w:asciiTheme="majorBidi" w:hAnsiTheme="majorBidi" w:cstheme="majorBidi"/>
        </w:rPr>
        <w:t>SDTV</w:t>
      </w:r>
      <w:r w:rsidRPr="003E4253">
        <w:rPr>
          <w:rFonts w:asciiTheme="majorBidi" w:hAnsiTheme="majorBidi" w:cstheme="majorBidi"/>
        </w:rPr>
        <w:t>一样在图像动态范围方面受到局限；</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f)</w:t>
      </w:r>
      <w:r w:rsidRPr="003E4253">
        <w:rPr>
          <w:rFonts w:asciiTheme="majorBidi" w:hAnsiTheme="majorBidi" w:cstheme="majorBidi"/>
        </w:rPr>
        <w:tab/>
      </w:r>
      <w:r w:rsidRPr="003E4253">
        <w:rPr>
          <w:rFonts w:asciiTheme="majorBidi" w:hAnsiTheme="majorBidi" w:cstheme="majorBidi"/>
        </w:rPr>
        <w:t>高动态范围电视（</w:t>
      </w:r>
      <w:r w:rsidRPr="003E4253">
        <w:rPr>
          <w:rFonts w:asciiTheme="majorBidi" w:hAnsiTheme="majorBidi" w:cstheme="majorBidi"/>
        </w:rPr>
        <w:t>HDR-TV</w:t>
      </w:r>
      <w:r w:rsidRPr="003E4253">
        <w:rPr>
          <w:rFonts w:asciiTheme="majorBidi" w:hAnsiTheme="majorBidi" w:cstheme="majorBidi"/>
        </w:rPr>
        <w:t>）旨在以高得多的亮度和对比度再现图像；</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g)</w:t>
      </w:r>
      <w:r w:rsidRPr="003E4253">
        <w:rPr>
          <w:rFonts w:asciiTheme="majorBidi" w:hAnsiTheme="majorBidi" w:cstheme="majorBidi"/>
        </w:rPr>
        <w:tab/>
      </w:r>
      <w:r w:rsidRPr="003E4253">
        <w:rPr>
          <w:rFonts w:asciiTheme="majorBidi" w:hAnsiTheme="majorBidi" w:cstheme="majorBidi"/>
        </w:rPr>
        <w:t>据报告，</w:t>
      </w:r>
      <w:r w:rsidRPr="003E4253">
        <w:rPr>
          <w:rFonts w:asciiTheme="majorBidi" w:hAnsiTheme="majorBidi" w:cstheme="majorBidi"/>
        </w:rPr>
        <w:t>HDR-TV</w:t>
      </w:r>
      <w:r w:rsidRPr="003E4253">
        <w:rPr>
          <w:rFonts w:asciiTheme="majorBidi" w:hAnsiTheme="majorBidi" w:cstheme="majorBidi"/>
        </w:rPr>
        <w:t>能够给电视图像收视者带来更大愉悦；</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h)</w:t>
      </w:r>
      <w:r w:rsidRPr="003E4253">
        <w:rPr>
          <w:rFonts w:asciiTheme="majorBidi" w:hAnsiTheme="majorBidi" w:cstheme="majorBidi"/>
        </w:rPr>
        <w:tab/>
      </w:r>
      <w:r w:rsidRPr="003E4253">
        <w:rPr>
          <w:rFonts w:asciiTheme="majorBidi" w:hAnsiTheme="majorBidi" w:cstheme="majorBidi"/>
        </w:rPr>
        <w:t>仍有许多电视节目将以</w:t>
      </w:r>
      <w:r w:rsidRPr="003E4253">
        <w:rPr>
          <w:rFonts w:asciiTheme="majorBidi" w:hAnsiTheme="majorBidi" w:cstheme="majorBidi"/>
        </w:rPr>
        <w:t>SDTV</w:t>
      </w:r>
      <w:r w:rsidRPr="003E4253">
        <w:rPr>
          <w:rFonts w:asciiTheme="majorBidi" w:hAnsiTheme="majorBidi" w:cstheme="majorBidi"/>
        </w:rPr>
        <w:t>、</w:t>
      </w:r>
      <w:r w:rsidRPr="003E4253">
        <w:rPr>
          <w:rFonts w:asciiTheme="majorBidi" w:hAnsiTheme="majorBidi" w:cstheme="majorBidi"/>
        </w:rPr>
        <w:t>HDTV</w:t>
      </w:r>
      <w:r w:rsidRPr="003E4253">
        <w:rPr>
          <w:rFonts w:asciiTheme="majorBidi" w:hAnsiTheme="majorBidi" w:cstheme="majorBidi"/>
        </w:rPr>
        <w:t>和</w:t>
      </w:r>
      <w:r w:rsidRPr="003E4253">
        <w:rPr>
          <w:rFonts w:asciiTheme="majorBidi" w:hAnsiTheme="majorBidi" w:cstheme="majorBidi"/>
        </w:rPr>
        <w:t>UHDTV</w:t>
      </w:r>
      <w:r w:rsidRPr="003E4253">
        <w:rPr>
          <w:rFonts w:asciiTheme="majorBidi" w:hAnsiTheme="majorBidi" w:cstheme="majorBidi"/>
        </w:rPr>
        <w:t>的标准图像动态范围进行制作和交换；</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i)</w:t>
      </w:r>
      <w:r w:rsidRPr="003E4253">
        <w:rPr>
          <w:rFonts w:asciiTheme="majorBidi" w:hAnsiTheme="majorBidi" w:cstheme="majorBidi"/>
        </w:rPr>
        <w:tab/>
      </w:r>
      <w:r w:rsidRPr="003E4253">
        <w:rPr>
          <w:rFonts w:asciiTheme="majorBidi" w:hAnsiTheme="majorBidi" w:cstheme="majorBidi"/>
        </w:rPr>
        <w:t>未来若干年内，诸多通过</w:t>
      </w:r>
      <w:r w:rsidRPr="003E4253">
        <w:rPr>
          <w:rFonts w:asciiTheme="majorBidi" w:hAnsiTheme="majorBidi" w:cstheme="majorBidi"/>
        </w:rPr>
        <w:t>HDR-TV</w:t>
      </w:r>
      <w:r w:rsidRPr="003E4253">
        <w:rPr>
          <w:rFonts w:asciiTheme="majorBidi" w:hAnsiTheme="majorBidi" w:cstheme="majorBidi"/>
        </w:rPr>
        <w:t>广播的电视节目将通过仅具标准动态范围能力的传统电视机收看；</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i/>
          <w:iCs/>
        </w:rPr>
        <w:t>j)</w:t>
      </w:r>
      <w:r w:rsidRPr="003E4253">
        <w:rPr>
          <w:rFonts w:asciiTheme="majorBidi" w:hAnsiTheme="majorBidi" w:cstheme="majorBidi"/>
        </w:rPr>
        <w:tab/>
        <w:t>HDR-TV</w:t>
      </w:r>
      <w:r w:rsidRPr="003E4253">
        <w:rPr>
          <w:rFonts w:asciiTheme="majorBidi" w:hAnsiTheme="majorBidi" w:cstheme="majorBidi"/>
        </w:rPr>
        <w:t>应酌情在一定程度上与现有工作流程和广播商基础设施兼容，</w:t>
      </w:r>
    </w:p>
    <w:p w:rsidR="0098182C" w:rsidRPr="003E4253" w:rsidRDefault="00D138D4" w:rsidP="003E4253">
      <w:pPr>
        <w:spacing w:after="120"/>
        <w:rPr>
          <w:rFonts w:asciiTheme="majorBidi" w:hAnsiTheme="majorBidi" w:cstheme="majorBidi"/>
        </w:rPr>
      </w:pPr>
      <w:r w:rsidRPr="003E4253">
        <w:rPr>
          <w:rFonts w:asciiTheme="majorBidi" w:hAnsiTheme="majorBidi" w:cstheme="majorBidi"/>
        </w:rPr>
        <w:tab/>
      </w:r>
      <w:r w:rsidR="0098182C" w:rsidRPr="003E4253">
        <w:rPr>
          <w:rFonts w:asciiTheme="majorBidi" w:eastAsia="STKaiti" w:hAnsiTheme="majorBidi" w:cstheme="majorBidi"/>
          <w:bCs/>
          <w:lang w:eastAsia="zh-CN"/>
        </w:rPr>
        <w:t>做出决定</w:t>
      </w:r>
      <w:r w:rsidR="0098182C" w:rsidRPr="003E4253">
        <w:rPr>
          <w:rFonts w:asciiTheme="majorBidi" w:hAnsiTheme="majorBidi" w:cstheme="majorBidi"/>
        </w:rPr>
        <w:t>，应研究以下课题</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1</w:t>
      </w:r>
      <w:r w:rsidRPr="003E4253">
        <w:rPr>
          <w:rFonts w:asciiTheme="majorBidi" w:hAnsiTheme="majorBidi" w:cstheme="majorBidi"/>
        </w:rPr>
        <w:tab/>
      </w:r>
      <w:r w:rsidRPr="003E4253">
        <w:rPr>
          <w:rFonts w:asciiTheme="majorBidi" w:hAnsiTheme="majorBidi" w:cstheme="majorBidi"/>
        </w:rPr>
        <w:t>哪些是</w:t>
      </w:r>
      <w:r w:rsidRPr="003E4253">
        <w:rPr>
          <w:rFonts w:asciiTheme="majorBidi" w:hAnsiTheme="majorBidi" w:cstheme="majorBidi"/>
        </w:rPr>
        <w:t>HDR-TV</w:t>
      </w:r>
      <w:r w:rsidRPr="003E4253">
        <w:rPr>
          <w:rFonts w:asciiTheme="majorBidi" w:hAnsiTheme="majorBidi" w:cstheme="majorBidi"/>
        </w:rPr>
        <w:t>图像信号制作和国际节目交换的适用参数值？</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2</w:t>
      </w:r>
      <w:r w:rsidRPr="003E4253">
        <w:rPr>
          <w:rFonts w:asciiTheme="majorBidi" w:hAnsiTheme="majorBidi" w:cstheme="majorBidi"/>
        </w:rPr>
        <w:tab/>
      </w:r>
      <w:r w:rsidRPr="003E4253">
        <w:rPr>
          <w:rFonts w:asciiTheme="majorBidi" w:hAnsiTheme="majorBidi" w:cstheme="majorBidi"/>
        </w:rPr>
        <w:t>哪些制作方法和消费者传送格式，包括任何</w:t>
      </w:r>
      <w:r w:rsidR="00BD7AE0" w:rsidRPr="003E4253">
        <w:rPr>
          <w:rFonts w:asciiTheme="majorBidi" w:hAnsiTheme="majorBidi" w:cstheme="majorBidi"/>
        </w:rPr>
        <w:t>元</w:t>
      </w:r>
      <w:r w:rsidRPr="003E4253">
        <w:rPr>
          <w:rFonts w:asciiTheme="majorBidi" w:hAnsiTheme="majorBidi" w:cstheme="majorBidi"/>
        </w:rPr>
        <w:t>数据要求，能够在一定程度上实现与电视收视者家中现用多数电视机的收视兼容性？</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3</w:t>
      </w:r>
      <w:r w:rsidRPr="003E4253">
        <w:rPr>
          <w:rFonts w:asciiTheme="majorBidi" w:hAnsiTheme="majorBidi" w:cstheme="majorBidi"/>
        </w:rPr>
        <w:tab/>
      </w:r>
      <w:r w:rsidRPr="003E4253">
        <w:rPr>
          <w:rFonts w:asciiTheme="majorBidi" w:hAnsiTheme="majorBidi" w:cstheme="majorBidi"/>
        </w:rPr>
        <w:t>应为消费者</w:t>
      </w:r>
      <w:r w:rsidRPr="003E4253">
        <w:rPr>
          <w:rFonts w:asciiTheme="majorBidi" w:hAnsiTheme="majorBidi" w:cstheme="majorBidi"/>
        </w:rPr>
        <w:t>HDR-TV</w:t>
      </w:r>
      <w:r w:rsidRPr="003E4253">
        <w:rPr>
          <w:rFonts w:asciiTheme="majorBidi" w:hAnsiTheme="majorBidi" w:cstheme="majorBidi"/>
        </w:rPr>
        <w:t>节目的收视设定怎样的收视条件范围？</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4</w:t>
      </w:r>
      <w:r w:rsidRPr="003E4253">
        <w:rPr>
          <w:rFonts w:asciiTheme="majorBidi" w:hAnsiTheme="majorBidi" w:cstheme="majorBidi"/>
        </w:rPr>
        <w:tab/>
      </w:r>
      <w:r w:rsidRPr="003E4253">
        <w:rPr>
          <w:rFonts w:asciiTheme="majorBidi" w:hAnsiTheme="majorBidi" w:cstheme="majorBidi"/>
        </w:rPr>
        <w:t>通过电视广播系统内的接口传送</w:t>
      </w:r>
      <w:r w:rsidRPr="003E4253">
        <w:rPr>
          <w:rFonts w:asciiTheme="majorBidi" w:hAnsiTheme="majorBidi" w:cstheme="majorBidi"/>
        </w:rPr>
        <w:t>HDR-TV</w:t>
      </w:r>
      <w:r w:rsidRPr="003E4253">
        <w:rPr>
          <w:rFonts w:asciiTheme="majorBidi" w:hAnsiTheme="majorBidi" w:cstheme="majorBidi"/>
        </w:rPr>
        <w:t>需要怎样的信号再现和信令？</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5</w:t>
      </w:r>
      <w:r w:rsidRPr="003E4253">
        <w:rPr>
          <w:rFonts w:asciiTheme="majorBidi" w:hAnsiTheme="majorBidi" w:cstheme="majorBidi"/>
        </w:rPr>
        <w:tab/>
      </w:r>
      <w:r w:rsidRPr="003E4253">
        <w:rPr>
          <w:rFonts w:asciiTheme="majorBidi" w:hAnsiTheme="majorBidi" w:cstheme="majorBidi"/>
        </w:rPr>
        <w:t>在家庭收视环境中，图像动态范围扩展程度和消费者收视欣赏度之间存在哪些科学评估的关系；</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6</w:t>
      </w:r>
      <w:r w:rsidRPr="003E4253">
        <w:rPr>
          <w:rFonts w:asciiTheme="majorBidi" w:hAnsiTheme="majorBidi" w:cstheme="majorBidi"/>
        </w:rPr>
        <w:tab/>
      </w:r>
      <w:r w:rsidRPr="003E4253">
        <w:rPr>
          <w:rFonts w:asciiTheme="majorBidi" w:hAnsiTheme="majorBidi" w:cstheme="majorBidi"/>
        </w:rPr>
        <w:t>为使家庭电视观众不会在</w:t>
      </w:r>
      <w:r w:rsidRPr="003E4253">
        <w:rPr>
          <w:rFonts w:asciiTheme="majorBidi" w:hAnsiTheme="majorBidi" w:cstheme="majorBidi"/>
        </w:rPr>
        <w:t>HDR-TV</w:t>
      </w:r>
      <w:r w:rsidRPr="003E4253">
        <w:rPr>
          <w:rFonts w:asciiTheme="majorBidi" w:hAnsiTheme="majorBidi" w:cstheme="majorBidi"/>
        </w:rPr>
        <w:t>节目和标准动态范围电视节目之间的过渡期内，在电视图像显示中察觉到烦人的跳动现象，应就做法提出哪些建议？</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7</w:t>
      </w:r>
      <w:r w:rsidRPr="003E4253">
        <w:rPr>
          <w:rFonts w:asciiTheme="majorBidi" w:hAnsiTheme="majorBidi" w:cstheme="majorBidi"/>
        </w:rPr>
        <w:tab/>
      </w:r>
      <w:r w:rsidRPr="003E4253">
        <w:rPr>
          <w:rFonts w:asciiTheme="majorBidi" w:hAnsiTheme="majorBidi" w:cstheme="majorBidi"/>
        </w:rPr>
        <w:t>应以什么方法进行</w:t>
      </w:r>
      <w:r w:rsidRPr="003E4253">
        <w:rPr>
          <w:rFonts w:asciiTheme="majorBidi" w:hAnsiTheme="majorBidi" w:cstheme="majorBidi"/>
        </w:rPr>
        <w:t>HDR-TV</w:t>
      </w:r>
      <w:r w:rsidRPr="003E4253">
        <w:rPr>
          <w:rFonts w:asciiTheme="majorBidi" w:hAnsiTheme="majorBidi" w:cstheme="majorBidi"/>
        </w:rPr>
        <w:t>图像质量的主观评估？</w:t>
      </w:r>
    </w:p>
    <w:p w:rsidR="0098182C" w:rsidRPr="003E4253" w:rsidRDefault="0098182C" w:rsidP="003E4253">
      <w:pPr>
        <w:spacing w:after="120"/>
        <w:rPr>
          <w:rFonts w:asciiTheme="majorBidi" w:eastAsia="STKaiti" w:hAnsiTheme="majorBidi" w:cstheme="majorBidi"/>
          <w:bCs/>
          <w:lang w:eastAsia="zh-CN"/>
        </w:rPr>
      </w:pPr>
      <w:r w:rsidRPr="003E4253">
        <w:rPr>
          <w:rFonts w:asciiTheme="majorBidi" w:eastAsia="STKaiti" w:hAnsiTheme="majorBidi" w:cstheme="majorBidi"/>
          <w:bCs/>
          <w:lang w:eastAsia="zh-CN"/>
        </w:rPr>
        <w:lastRenderedPageBreak/>
        <w:t>进一步做出决定</w:t>
      </w:r>
    </w:p>
    <w:p w:rsidR="0098182C" w:rsidRPr="003E4253" w:rsidRDefault="0098182C" w:rsidP="003E4253">
      <w:pPr>
        <w:spacing w:after="120"/>
        <w:rPr>
          <w:rFonts w:asciiTheme="majorBidi" w:hAnsiTheme="majorBidi" w:cstheme="majorBidi"/>
        </w:rPr>
      </w:pPr>
      <w:r w:rsidRPr="003E4253">
        <w:rPr>
          <w:rFonts w:asciiTheme="majorBidi" w:hAnsiTheme="majorBidi" w:cstheme="majorBidi"/>
        </w:rPr>
        <w:t>1</w:t>
      </w:r>
      <w:r w:rsidRPr="003E4253">
        <w:rPr>
          <w:rFonts w:asciiTheme="majorBidi" w:hAnsiTheme="majorBidi" w:cstheme="majorBidi"/>
        </w:rPr>
        <w:tab/>
      </w:r>
      <w:r w:rsidRPr="003E4253">
        <w:rPr>
          <w:rFonts w:asciiTheme="majorBidi" w:hAnsiTheme="majorBidi" w:cstheme="majorBidi"/>
        </w:rPr>
        <w:t>以上研究结果应被纳入一份或多份报告和</w:t>
      </w:r>
      <w:r w:rsidRPr="003E4253">
        <w:rPr>
          <w:rFonts w:asciiTheme="majorBidi" w:hAnsiTheme="majorBidi" w:cstheme="majorBidi"/>
        </w:rPr>
        <w:t>/</w:t>
      </w:r>
      <w:r w:rsidRPr="003E4253">
        <w:rPr>
          <w:rFonts w:asciiTheme="majorBidi" w:hAnsiTheme="majorBidi" w:cstheme="majorBidi"/>
        </w:rPr>
        <w:t>或建议；</w:t>
      </w:r>
    </w:p>
    <w:p w:rsidR="0098182C" w:rsidRPr="003E4253" w:rsidRDefault="0098182C" w:rsidP="003E4253">
      <w:pPr>
        <w:spacing w:after="120"/>
        <w:rPr>
          <w:rFonts w:asciiTheme="majorBidi" w:hAnsiTheme="majorBidi" w:cstheme="majorBidi"/>
          <w:lang w:eastAsia="zh-CN"/>
        </w:rPr>
      </w:pPr>
      <w:r w:rsidRPr="003E4253">
        <w:rPr>
          <w:rFonts w:asciiTheme="majorBidi" w:hAnsiTheme="majorBidi" w:cstheme="majorBidi"/>
          <w:lang w:eastAsia="zh-CN"/>
        </w:rPr>
        <w:t>2</w:t>
      </w:r>
      <w:r w:rsidRPr="003E4253">
        <w:rPr>
          <w:rFonts w:asciiTheme="majorBidi" w:hAnsiTheme="majorBidi" w:cstheme="majorBidi"/>
          <w:lang w:eastAsia="zh-CN"/>
        </w:rPr>
        <w:tab/>
      </w:r>
      <w:r w:rsidRPr="003E4253">
        <w:rPr>
          <w:rFonts w:asciiTheme="majorBidi" w:hAnsiTheme="majorBidi" w:cstheme="majorBidi"/>
          <w:lang w:eastAsia="zh-CN"/>
        </w:rPr>
        <w:t>上述研究应于</w:t>
      </w:r>
      <w:r w:rsidRPr="003E4253">
        <w:rPr>
          <w:rFonts w:asciiTheme="majorBidi" w:hAnsiTheme="majorBidi" w:cstheme="majorBidi"/>
          <w:lang w:eastAsia="zh-CN"/>
        </w:rPr>
        <w:t>2019</w:t>
      </w:r>
      <w:r w:rsidRPr="003E4253">
        <w:rPr>
          <w:rFonts w:asciiTheme="majorBidi" w:hAnsiTheme="majorBidi" w:cstheme="majorBidi"/>
          <w:lang w:eastAsia="zh-CN"/>
        </w:rPr>
        <w:t>年之前完成</w:t>
      </w:r>
      <w:r w:rsidR="00D138D4" w:rsidRPr="003E4253">
        <w:rPr>
          <w:rStyle w:val="FootnoteReference"/>
          <w:rFonts w:asciiTheme="majorBidi" w:hAnsiTheme="majorBidi" w:cstheme="majorBidi"/>
          <w:szCs w:val="24"/>
        </w:rPr>
        <w:footnoteReference w:id="1"/>
      </w:r>
      <w:r w:rsidRPr="003E4253">
        <w:rPr>
          <w:rFonts w:asciiTheme="majorBidi" w:hAnsiTheme="majorBidi" w:cstheme="majorBidi"/>
          <w:lang w:eastAsia="zh-CN"/>
        </w:rPr>
        <w:t>。</w:t>
      </w:r>
    </w:p>
    <w:p w:rsidR="0098182C" w:rsidRPr="003E4253" w:rsidRDefault="0098182C" w:rsidP="003E4253">
      <w:pPr>
        <w:rPr>
          <w:rFonts w:asciiTheme="majorBidi" w:hAnsiTheme="majorBidi" w:cstheme="majorBidi"/>
        </w:rPr>
      </w:pPr>
      <w:r w:rsidRPr="003E4253">
        <w:rPr>
          <w:rFonts w:asciiTheme="majorBidi" w:hAnsiTheme="majorBidi" w:cstheme="majorBidi"/>
        </w:rPr>
        <w:t>类别：</w:t>
      </w:r>
      <w:r w:rsidRPr="003E4253">
        <w:rPr>
          <w:rFonts w:asciiTheme="majorBidi" w:hAnsiTheme="majorBidi" w:cstheme="majorBidi"/>
        </w:rPr>
        <w:t>S2</w:t>
      </w:r>
    </w:p>
    <w:p w:rsidR="007D4C91" w:rsidRDefault="007D4C91" w:rsidP="00D138D4"/>
    <w:p w:rsidR="00D138D4" w:rsidRDefault="00D138D4" w:rsidP="0032202E">
      <w:pPr>
        <w:pStyle w:val="Reasons"/>
      </w:pPr>
    </w:p>
    <w:p w:rsidR="00D138D4" w:rsidRDefault="00D138D4">
      <w:pPr>
        <w:jc w:val="center"/>
      </w:pPr>
      <w:r>
        <w:t>______________</w:t>
      </w:r>
    </w:p>
    <w:p w:rsidR="00D138D4" w:rsidRPr="00D138D4" w:rsidRDefault="00D138D4" w:rsidP="00D138D4"/>
    <w:sectPr w:rsidR="00D138D4" w:rsidRPr="00D138D4" w:rsidSect="00165B71">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91" w:rsidRDefault="007D4C91">
      <w:r>
        <w:separator/>
      </w:r>
    </w:p>
  </w:endnote>
  <w:endnote w:type="continuationSeparator" w:id="0">
    <w:p w:rsidR="007D4C91" w:rsidRDefault="007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Pr="003E4253" w:rsidRDefault="00DA16E6" w:rsidP="00DA16E6">
    <w:pPr>
      <w:pStyle w:val="FirstFooter"/>
      <w:spacing w:line="240" w:lineRule="auto"/>
      <w:ind w:left="-397" w:right="-397"/>
      <w:jc w:val="center"/>
      <w:rPr>
        <w:rFonts w:asciiTheme="minorHAnsi" w:hAnsiTheme="minorHAnsi" w:cstheme="majorBidi"/>
        <w:color w:val="3E8EDE"/>
        <w:sz w:val="18"/>
        <w:szCs w:val="18"/>
      </w:rPr>
    </w:pPr>
    <w:r w:rsidRPr="003E4253">
      <w:rPr>
        <w:rFonts w:asciiTheme="minorHAnsi" w:hAnsiTheme="minorHAnsi" w:cstheme="majorBidi"/>
        <w:color w:val="3E8EDE"/>
        <w:sz w:val="18"/>
        <w:szCs w:val="18"/>
      </w:rPr>
      <w:t>International Telecommunication Union • Place des Nations, CH</w:t>
    </w:r>
    <w:r w:rsidRPr="003E4253">
      <w:rPr>
        <w:rFonts w:asciiTheme="minorHAnsi" w:hAnsiTheme="minorHAnsi" w:cstheme="majorBidi"/>
        <w:color w:val="3E8EDE"/>
        <w:sz w:val="18"/>
        <w:szCs w:val="18"/>
      </w:rPr>
      <w:noBreakHyphen/>
      <w:t xml:space="preserve">1211 Geneva 20, Switzerland </w:t>
    </w:r>
    <w:r w:rsidRPr="003E4253">
      <w:rPr>
        <w:rFonts w:asciiTheme="minorHAnsi" w:hAnsiTheme="minorHAnsi" w:cstheme="majorBidi"/>
        <w:color w:val="3E8EDE"/>
        <w:sz w:val="18"/>
        <w:szCs w:val="18"/>
      </w:rPr>
      <w:br/>
      <w:t xml:space="preserve">Tel: +41 22 730 5111 • Fax: +41 22 733 7256 • </w:t>
    </w:r>
    <w:r w:rsidRPr="003E4253">
      <w:rPr>
        <w:rFonts w:asciiTheme="minorHAnsi" w:hAnsiTheme="minorHAnsi" w:cstheme="majorBidi"/>
        <w:color w:val="3E8EDE"/>
        <w:sz w:val="18"/>
        <w:szCs w:val="18"/>
      </w:rPr>
      <w:br/>
      <w:t xml:space="preserve">E-mail: </w:t>
    </w:r>
    <w:hyperlink r:id="rId1" w:history="1">
      <w:r w:rsidRPr="003E4253">
        <w:rPr>
          <w:rStyle w:val="Hyperlink"/>
          <w:rFonts w:asciiTheme="minorHAnsi" w:hAnsiTheme="minorHAnsi" w:cstheme="majorBidi"/>
          <w:color w:val="3E8EDE"/>
          <w:sz w:val="18"/>
          <w:szCs w:val="18"/>
        </w:rPr>
        <w:t>itumail@itu.int</w:t>
      </w:r>
    </w:hyperlink>
    <w:r w:rsidRPr="003E4253">
      <w:rPr>
        <w:rFonts w:asciiTheme="minorHAnsi" w:hAnsiTheme="minorHAnsi" w:cstheme="majorBidi"/>
        <w:color w:val="3E8EDE"/>
        <w:sz w:val="18"/>
        <w:szCs w:val="18"/>
      </w:rPr>
      <w:t xml:space="preserve"> • </w:t>
    </w:r>
    <w:hyperlink r:id="rId2" w:history="1">
      <w:r w:rsidRPr="003E4253">
        <w:rPr>
          <w:rStyle w:val="Hyperlink"/>
          <w:rFonts w:asciiTheme="minorHAnsi" w:hAnsiTheme="minorHAnsi" w:cstheme="majorBidi"/>
          <w:color w:val="3E8EDE"/>
          <w:sz w:val="18"/>
          <w:szCs w:val="18"/>
        </w:rPr>
        <w:t>www.itu.int</w:t>
      </w:r>
    </w:hyperlink>
    <w:r w:rsidRPr="003E4253">
      <w:rPr>
        <w:rFonts w:asciiTheme="minorHAnsi" w:hAnsiTheme="minorHAnsi" w:cstheme="majorBidi"/>
        <w:color w:val="3E8EDE"/>
        <w:sz w:val="18"/>
        <w:szCs w:val="18"/>
      </w:rPr>
      <w:t xml:space="preserve"> • </w:t>
    </w:r>
    <w:hyperlink r:id="rId3" w:history="1">
      <w:r w:rsidRPr="003E4253">
        <w:rPr>
          <w:rStyle w:val="Hyperlink"/>
          <w:rFonts w:asciiTheme="minorHAnsi" w:hAnsiTheme="minorHAnsi" w:cstheme="majorBidi"/>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91" w:rsidRDefault="007D4C91">
      <w:r>
        <w:t>____________________</w:t>
      </w:r>
    </w:p>
  </w:footnote>
  <w:footnote w:type="continuationSeparator" w:id="0">
    <w:p w:rsidR="007D4C91" w:rsidRDefault="007D4C91">
      <w:r>
        <w:continuationSeparator/>
      </w:r>
    </w:p>
  </w:footnote>
  <w:footnote w:id="1">
    <w:p w:rsidR="00D138D4" w:rsidRPr="00AD074A" w:rsidRDefault="00D138D4" w:rsidP="00D138D4">
      <w:pPr>
        <w:pStyle w:val="FootnoteText"/>
        <w:rPr>
          <w:rFonts w:asciiTheme="majorBidi" w:hAnsiTheme="majorBidi" w:cstheme="majorBidi"/>
          <w:sz w:val="22"/>
          <w:lang w:eastAsia="zh-CN"/>
        </w:rPr>
      </w:pPr>
      <w:r w:rsidRPr="001A322A">
        <w:rPr>
          <w:rStyle w:val="FootnoteReference"/>
          <w:rFonts w:asciiTheme="majorBidi" w:hAnsiTheme="majorBidi" w:cstheme="majorBidi"/>
        </w:rPr>
        <w:footnoteRef/>
      </w:r>
      <w:r w:rsidRPr="00FA773A">
        <w:rPr>
          <w:rFonts w:asciiTheme="majorBidi" w:hAnsiTheme="majorBidi" w:cstheme="majorBidi"/>
          <w:lang w:eastAsia="zh-CN"/>
        </w:rPr>
        <w:t xml:space="preserve"> </w:t>
      </w:r>
      <w:r w:rsidRPr="00FA773A">
        <w:rPr>
          <w:rFonts w:asciiTheme="majorBidi" w:hAnsiTheme="majorBidi" w:cstheme="majorBidi"/>
          <w:lang w:eastAsia="zh-CN"/>
        </w:rPr>
        <w:tab/>
      </w:r>
      <w:r w:rsidRPr="00D138D4">
        <w:rPr>
          <w:sz w:val="24"/>
          <w:szCs w:val="24"/>
          <w:lang w:eastAsia="zh-CN"/>
        </w:rPr>
        <w:t>应酌情及时</w:t>
      </w:r>
      <w:r w:rsidRPr="00D138D4">
        <w:rPr>
          <w:rFonts w:hint="eastAsia"/>
          <w:sz w:val="24"/>
          <w:szCs w:val="24"/>
          <w:lang w:eastAsia="zh-CN"/>
        </w:rPr>
        <w:t>提请</w:t>
      </w:r>
      <w:r w:rsidRPr="00D138D4">
        <w:rPr>
          <w:sz w:val="24"/>
          <w:szCs w:val="24"/>
          <w:lang w:eastAsia="zh-CN"/>
        </w:rPr>
        <w:t>IEC</w:t>
      </w:r>
      <w:r w:rsidRPr="00D138D4">
        <w:rPr>
          <w:rFonts w:hint="eastAsia"/>
          <w:sz w:val="24"/>
          <w:szCs w:val="24"/>
          <w:lang w:eastAsia="zh-CN"/>
        </w:rPr>
        <w:t>注意相关</w:t>
      </w:r>
      <w:r w:rsidRPr="00D138D4">
        <w:rPr>
          <w:sz w:val="24"/>
          <w:szCs w:val="24"/>
          <w:lang w:eastAsia="zh-CN"/>
        </w:rPr>
        <w:t>研究结果</w:t>
      </w:r>
      <w:r w:rsidRPr="00D138D4">
        <w:rPr>
          <w:rFonts w:hint="eastAsia"/>
          <w:sz w:val="24"/>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E4253" w:rsidRDefault="00165B71" w:rsidP="00B50CD4">
    <w:pPr>
      <w:pStyle w:val="Header"/>
      <w:jc w:val="center"/>
      <w:rPr>
        <w:rFonts w:asciiTheme="majorBidi" w:hAnsiTheme="majorBidi" w:cstheme="majorBidi"/>
        <w:iCs/>
        <w:sz w:val="18"/>
        <w:szCs w:val="18"/>
      </w:rPr>
    </w:pPr>
    <w:r w:rsidRPr="003E4253">
      <w:rPr>
        <w:rFonts w:asciiTheme="majorBidi" w:hAnsiTheme="majorBidi" w:cstheme="majorBidi"/>
        <w:sz w:val="18"/>
        <w:szCs w:val="16"/>
      </w:rPr>
      <w:t xml:space="preserve">- </w:t>
    </w:r>
    <w:r w:rsidR="001B42C9" w:rsidRPr="003E4253">
      <w:rPr>
        <w:rFonts w:asciiTheme="majorBidi" w:hAnsiTheme="majorBidi" w:cstheme="majorBidi"/>
        <w:iCs/>
        <w:sz w:val="18"/>
        <w:szCs w:val="18"/>
      </w:rPr>
      <w:fldChar w:fldCharType="begin"/>
    </w:r>
    <w:r w:rsidR="00E915AF" w:rsidRPr="003E4253">
      <w:rPr>
        <w:rFonts w:asciiTheme="majorBidi" w:hAnsiTheme="majorBidi" w:cstheme="majorBidi"/>
        <w:iCs/>
        <w:sz w:val="18"/>
        <w:szCs w:val="18"/>
      </w:rPr>
      <w:instrText xml:space="preserve"> PAGE  \* MERGEFORMAT </w:instrText>
    </w:r>
    <w:r w:rsidR="001B42C9" w:rsidRPr="003E4253">
      <w:rPr>
        <w:rFonts w:asciiTheme="majorBidi" w:hAnsiTheme="majorBidi" w:cstheme="majorBidi"/>
        <w:iCs/>
        <w:sz w:val="18"/>
        <w:szCs w:val="18"/>
      </w:rPr>
      <w:fldChar w:fldCharType="separate"/>
    </w:r>
    <w:r w:rsidR="00CF00DA">
      <w:rPr>
        <w:rFonts w:asciiTheme="majorBidi" w:hAnsiTheme="majorBidi" w:cstheme="majorBidi"/>
        <w:iCs/>
        <w:noProof/>
        <w:sz w:val="18"/>
        <w:szCs w:val="18"/>
      </w:rPr>
      <w:t>5</w:t>
    </w:r>
    <w:r w:rsidR="001B42C9" w:rsidRPr="003E4253">
      <w:rPr>
        <w:rFonts w:asciiTheme="majorBidi" w:hAnsiTheme="majorBidi" w:cstheme="majorBidi"/>
        <w:iCs/>
        <w:sz w:val="18"/>
        <w:szCs w:val="18"/>
      </w:rPr>
      <w:fldChar w:fldCharType="end"/>
    </w:r>
    <w:r w:rsidRPr="003E4253">
      <w:rPr>
        <w:rFonts w:asciiTheme="majorBidi" w:hAnsiTheme="majorBidi" w:cstheme="majorBidi"/>
        <w:iCs/>
        <w:sz w:val="18"/>
        <w:szCs w:val="18"/>
      </w:rPr>
      <w:t xml:space="preserve"> </w:t>
    </w:r>
    <w:r w:rsidRPr="003E4253">
      <w:rPr>
        <w:rStyle w:val="PageNumber"/>
        <w:rFonts w:asciiTheme="majorBidi" w:hAnsiTheme="majorBidi" w:cstheme="majorBidi"/>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D4C9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06277"/>
    <w:rsid w:val="0011265F"/>
    <w:rsid w:val="00117282"/>
    <w:rsid w:val="00117389"/>
    <w:rsid w:val="00121C2D"/>
    <w:rsid w:val="0012700F"/>
    <w:rsid w:val="00134404"/>
    <w:rsid w:val="00144A26"/>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4903"/>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0795"/>
    <w:rsid w:val="003E4253"/>
    <w:rsid w:val="003E504F"/>
    <w:rsid w:val="003E78D6"/>
    <w:rsid w:val="00400573"/>
    <w:rsid w:val="004007A3"/>
    <w:rsid w:val="00406D71"/>
    <w:rsid w:val="004326DB"/>
    <w:rsid w:val="0043682E"/>
    <w:rsid w:val="00447ECB"/>
    <w:rsid w:val="0045732A"/>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C4C77"/>
    <w:rsid w:val="007D183E"/>
    <w:rsid w:val="007D43D0"/>
    <w:rsid w:val="007D4C91"/>
    <w:rsid w:val="007E1833"/>
    <w:rsid w:val="007E3F13"/>
    <w:rsid w:val="007F751A"/>
    <w:rsid w:val="00800012"/>
    <w:rsid w:val="0080261F"/>
    <w:rsid w:val="00806160"/>
    <w:rsid w:val="008143A4"/>
    <w:rsid w:val="0081513E"/>
    <w:rsid w:val="00831DF1"/>
    <w:rsid w:val="00854131"/>
    <w:rsid w:val="0085652D"/>
    <w:rsid w:val="0087694B"/>
    <w:rsid w:val="00880F4D"/>
    <w:rsid w:val="00887C4A"/>
    <w:rsid w:val="008A0B89"/>
    <w:rsid w:val="008B35A3"/>
    <w:rsid w:val="008B37E1"/>
    <w:rsid w:val="008B45F8"/>
    <w:rsid w:val="008C120D"/>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82C"/>
    <w:rsid w:val="00981B54"/>
    <w:rsid w:val="009842C3"/>
    <w:rsid w:val="009A009A"/>
    <w:rsid w:val="009A6BB6"/>
    <w:rsid w:val="009A7BD1"/>
    <w:rsid w:val="009B3F43"/>
    <w:rsid w:val="009B5CFA"/>
    <w:rsid w:val="009C161F"/>
    <w:rsid w:val="009C56B4"/>
    <w:rsid w:val="009C6A12"/>
    <w:rsid w:val="009D51A2"/>
    <w:rsid w:val="009E04A8"/>
    <w:rsid w:val="009E4AEC"/>
    <w:rsid w:val="009E5BD8"/>
    <w:rsid w:val="009E681E"/>
    <w:rsid w:val="009F19FE"/>
    <w:rsid w:val="00A119E6"/>
    <w:rsid w:val="00A20442"/>
    <w:rsid w:val="00A20FBC"/>
    <w:rsid w:val="00A23FF2"/>
    <w:rsid w:val="00A24CDD"/>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9F6"/>
    <w:rsid w:val="00B50CD4"/>
    <w:rsid w:val="00B579B0"/>
    <w:rsid w:val="00B57D11"/>
    <w:rsid w:val="00B649D7"/>
    <w:rsid w:val="00B81C2F"/>
    <w:rsid w:val="00B90743"/>
    <w:rsid w:val="00B90C45"/>
    <w:rsid w:val="00B933BE"/>
    <w:rsid w:val="00BD6738"/>
    <w:rsid w:val="00BD7AE0"/>
    <w:rsid w:val="00BD7E5E"/>
    <w:rsid w:val="00BE63DB"/>
    <w:rsid w:val="00BE6574"/>
    <w:rsid w:val="00C07319"/>
    <w:rsid w:val="00C16FD2"/>
    <w:rsid w:val="00C37054"/>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00DA"/>
    <w:rsid w:val="00D10BA0"/>
    <w:rsid w:val="00D138D4"/>
    <w:rsid w:val="00D21694"/>
    <w:rsid w:val="00D24EB5"/>
    <w:rsid w:val="00D35AB9"/>
    <w:rsid w:val="00D41571"/>
    <w:rsid w:val="00D416A0"/>
    <w:rsid w:val="00D47672"/>
    <w:rsid w:val="00D5123C"/>
    <w:rsid w:val="00D55560"/>
    <w:rsid w:val="00D61C5A"/>
    <w:rsid w:val="00D631CE"/>
    <w:rsid w:val="00D6790C"/>
    <w:rsid w:val="00D73277"/>
    <w:rsid w:val="00D76586"/>
    <w:rsid w:val="00D80A43"/>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6BC7"/>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7AA4ED1-B02A-48E6-8DF7-684E128E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0"/>
    <w:uiPriority w:val="99"/>
    <w:rsid w:val="007D4C91"/>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7D4C9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rsid w:val="007D4C91"/>
    <w:rPr>
      <w:sz w:val="24"/>
      <w:szCs w:val="22"/>
      <w:lang w:val="en-US" w:eastAsia="en-US"/>
    </w:rPr>
  </w:style>
  <w:style w:type="character" w:customStyle="1" w:styleId="TabletextChar">
    <w:name w:val="Table_text Char"/>
    <w:link w:val="Tabletext"/>
    <w:locked/>
    <w:rsid w:val="007D4C91"/>
    <w:rPr>
      <w:szCs w:val="22"/>
      <w:lang w:val="en-US" w:eastAsia="en-US"/>
    </w:rPr>
  </w:style>
  <w:style w:type="character" w:customStyle="1" w:styleId="AnnexNoTitleChar">
    <w:name w:val="Annex_NoTitle Char"/>
    <w:basedOn w:val="DefaultParagraphFont"/>
    <w:link w:val="AnnexNoTitle"/>
    <w:uiPriority w:val="99"/>
    <w:locked/>
    <w:rsid w:val="007D4C91"/>
    <w:rPr>
      <w:b/>
      <w:sz w:val="24"/>
      <w:szCs w:val="22"/>
      <w:lang w:val="en-US" w:eastAsia="en-US"/>
    </w:rPr>
  </w:style>
  <w:style w:type="character" w:customStyle="1" w:styleId="TableheadChar">
    <w:name w:val="Table_head Char"/>
    <w:basedOn w:val="DefaultParagraphFont"/>
    <w:link w:val="Tablehead"/>
    <w:locked/>
    <w:rsid w:val="007D4C91"/>
    <w:rPr>
      <w:b/>
      <w:szCs w:val="22"/>
      <w:lang w:val="en-US" w:eastAsia="en-US"/>
    </w:rPr>
  </w:style>
  <w:style w:type="character" w:customStyle="1" w:styleId="AnnexNotitleChar0">
    <w:name w:val="Annex_No &amp; title Char"/>
    <w:link w:val="AnnexNotitle0"/>
    <w:uiPriority w:val="99"/>
    <w:locked/>
    <w:rsid w:val="007D4C91"/>
    <w:rPr>
      <w:rFonts w:ascii="Times New Roman" w:eastAsia="SimSun" w:hAnsi="Times New Roman" w:cs="Times New Roman"/>
      <w:b/>
      <w:sz w:val="28"/>
      <w:lang w:val="en-GB" w:eastAsia="en-US"/>
    </w:rPr>
  </w:style>
  <w:style w:type="paragraph" w:customStyle="1" w:styleId="QuestionNoBR">
    <w:name w:val="Question_No_BR"/>
    <w:basedOn w:val="QuestionNo"/>
    <w:rsid w:val="003E0795"/>
    <w:pPr>
      <w:spacing w:before="480"/>
      <w:jc w:val="center"/>
    </w:pPr>
    <w:rPr>
      <w:b w:val="0"/>
      <w:bCs/>
    </w:rPr>
  </w:style>
  <w:style w:type="paragraph" w:styleId="CommentSubject">
    <w:name w:val="annotation subject"/>
    <w:basedOn w:val="CommentText"/>
    <w:next w:val="CommentText"/>
    <w:link w:val="CommentSubjectChar"/>
    <w:semiHidden/>
    <w:unhideWhenUsed/>
    <w:rsid w:val="00BD7AE0"/>
    <w:pPr>
      <w:spacing w:line="240" w:lineRule="auto"/>
    </w:pPr>
    <w:rPr>
      <w:b/>
      <w:bCs/>
      <w:szCs w:val="20"/>
    </w:rPr>
  </w:style>
  <w:style w:type="character" w:customStyle="1" w:styleId="CommentTextChar">
    <w:name w:val="Comment Text Char"/>
    <w:basedOn w:val="DefaultParagraphFont"/>
    <w:link w:val="CommentText"/>
    <w:semiHidden/>
    <w:rsid w:val="00BD7AE0"/>
    <w:rPr>
      <w:szCs w:val="22"/>
      <w:lang w:val="en-US" w:eastAsia="en-US"/>
    </w:rPr>
  </w:style>
  <w:style w:type="character" w:customStyle="1" w:styleId="CommentSubjectChar">
    <w:name w:val="Comment Subject Char"/>
    <w:basedOn w:val="CommentTextChar"/>
    <w:link w:val="CommentSubject"/>
    <w:semiHidden/>
    <w:rsid w:val="00BD7AE0"/>
    <w:rPr>
      <w:b/>
      <w:bCs/>
      <w:szCs w:val="22"/>
      <w:lang w:val="en-US" w:eastAsia="en-US"/>
    </w:rPr>
  </w:style>
  <w:style w:type="paragraph" w:styleId="Revision">
    <w:name w:val="Revision"/>
    <w:hidden/>
    <w:uiPriority w:val="99"/>
    <w:semiHidden/>
    <w:rsid w:val="00BD7AE0"/>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138D4"/>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2122-CED1-4B72-9649-52964304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415</Words>
  <Characters>2369</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I T U</cp:lastModifiedBy>
  <cp:revision>6</cp:revision>
  <cp:lastPrinted>2013-03-08T10:15:00Z</cp:lastPrinted>
  <dcterms:created xsi:type="dcterms:W3CDTF">2016-04-22T08:20:00Z</dcterms:created>
  <dcterms:modified xsi:type="dcterms:W3CDTF">2016-05-03T12:54:00Z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