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D0752B">
              <w:rPr>
                <w:szCs w:val="24"/>
              </w:rPr>
              <w:t>Circulaire administrative</w:t>
            </w:r>
          </w:p>
          <w:p w:rsidR="00E53DCE" w:rsidRPr="00D0752B" w:rsidRDefault="00E53DCE" w:rsidP="00E5551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D0752B">
              <w:rPr>
                <w:b/>
                <w:bCs/>
                <w:szCs w:val="24"/>
                <w:lang w:val="fr-CH"/>
              </w:rPr>
              <w:t>CA</w:t>
            </w:r>
            <w:r w:rsidR="003A13CD" w:rsidRPr="00D0752B">
              <w:rPr>
                <w:b/>
                <w:bCs/>
                <w:szCs w:val="24"/>
                <w:lang w:val="fr-CH"/>
              </w:rPr>
              <w:t>CE</w:t>
            </w:r>
            <w:r w:rsidRPr="00D0752B">
              <w:rPr>
                <w:b/>
                <w:bCs/>
                <w:szCs w:val="24"/>
                <w:lang w:val="fr-CH"/>
              </w:rPr>
              <w:t>/</w:t>
            </w:r>
            <w:r w:rsidR="00E55517">
              <w:rPr>
                <w:b/>
                <w:bCs/>
                <w:szCs w:val="24"/>
              </w:rPr>
              <w:t>749</w:t>
            </w:r>
          </w:p>
        </w:tc>
        <w:tc>
          <w:tcPr>
            <w:tcW w:w="2835" w:type="dxa"/>
            <w:shd w:val="clear" w:color="auto" w:fill="auto"/>
          </w:tcPr>
          <w:p w:rsidR="00E53DCE" w:rsidRPr="00D0752B" w:rsidRDefault="00D0752B" w:rsidP="005E65E2">
            <w:pPr>
              <w:spacing w:before="0"/>
              <w:jc w:val="right"/>
              <w:rPr>
                <w:szCs w:val="24"/>
                <w:lang w:val="en-GB"/>
              </w:rPr>
            </w:pPr>
            <w:r w:rsidRPr="00D0752B">
              <w:rPr>
                <w:szCs w:val="24"/>
                <w:lang w:val="en-GB"/>
              </w:rPr>
              <w:t xml:space="preserve">Le </w:t>
            </w:r>
            <w:r w:rsidR="00C94D75">
              <w:rPr>
                <w:szCs w:val="24"/>
                <w:lang w:val="en-GB"/>
              </w:rPr>
              <w:t>2</w:t>
            </w:r>
            <w:r w:rsidR="005E65E2">
              <w:rPr>
                <w:szCs w:val="24"/>
                <w:lang w:val="en-GB"/>
              </w:rPr>
              <w:t>7</w:t>
            </w:r>
            <w:bookmarkStart w:id="0" w:name="_GoBack"/>
            <w:bookmarkEnd w:id="0"/>
            <w:r w:rsidRPr="00D0752B">
              <w:rPr>
                <w:szCs w:val="24"/>
                <w:lang w:val="en-GB"/>
              </w:rPr>
              <w:t xml:space="preserve"> </w:t>
            </w:r>
            <w:r w:rsidR="006E70EA" w:rsidRPr="00C94D75">
              <w:rPr>
                <w:lang w:val="fr-CH"/>
              </w:rPr>
              <w:t>août</w:t>
            </w:r>
            <w:r w:rsidRPr="00D0752B">
              <w:rPr>
                <w:szCs w:val="24"/>
                <w:lang w:val="en-GB"/>
              </w:rPr>
              <w:t xml:space="preserve"> 201</w:t>
            </w:r>
            <w:r w:rsidR="00C94D75">
              <w:rPr>
                <w:szCs w:val="24"/>
                <w:lang w:val="en-GB"/>
              </w:rPr>
              <w:t>5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5E65E2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B02E5B" w:rsidP="00B02E5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>
              <w:rPr>
                <w:b/>
                <w:bCs/>
                <w:szCs w:val="24"/>
                <w:lang w:val="fr-CH"/>
              </w:rPr>
              <w:t xml:space="preserve">, </w:t>
            </w:r>
            <w:r w:rsidRPr="005622AB">
              <w:rPr>
                <w:b/>
                <w:lang w:val="fr-CH"/>
              </w:rPr>
              <w:t>aux Membres du Secteur des radiocommunications</w:t>
            </w:r>
            <w:r>
              <w:rPr>
                <w:b/>
                <w:lang w:val="fr-CH"/>
              </w:rPr>
              <w:t xml:space="preserve"> et</w:t>
            </w:r>
            <w:r w:rsidRPr="005622AB">
              <w:rPr>
                <w:b/>
                <w:lang w:val="fr-CH"/>
              </w:rPr>
              <w:t xml:space="preserve"> aux Associés de l'UIT-R participa</w:t>
            </w:r>
            <w:r>
              <w:rPr>
                <w:b/>
                <w:lang w:val="fr-CH"/>
              </w:rPr>
              <w:t xml:space="preserve">nt aux travaux </w:t>
            </w:r>
            <w:r w:rsidR="009C5321" w:rsidRPr="0076405A">
              <w:rPr>
                <w:b/>
                <w:lang w:val="fr-CH"/>
              </w:rPr>
              <w:t>du Comité de coordination pour le vocabulaire des radiocommunications</w:t>
            </w:r>
          </w:p>
        </w:tc>
      </w:tr>
      <w:tr w:rsidR="00E53DCE" w:rsidRPr="005E65E2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E65E2" w:rsidTr="006160CB">
        <w:tc>
          <w:tcPr>
            <w:tcW w:w="9889" w:type="dxa"/>
            <w:gridSpan w:val="3"/>
            <w:shd w:val="clear" w:color="auto" w:fill="auto"/>
          </w:tcPr>
          <w:p w:rsidR="00E53DCE" w:rsidRPr="00D0752B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E65E2" w:rsidTr="006160CB">
        <w:tc>
          <w:tcPr>
            <w:tcW w:w="1526" w:type="dxa"/>
            <w:shd w:val="clear" w:color="auto" w:fill="auto"/>
          </w:tcPr>
          <w:p w:rsidR="00E53DCE" w:rsidRPr="00D0752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D0752B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D0752B" w:rsidRDefault="009C5321" w:rsidP="00D075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6405A">
              <w:rPr>
                <w:b/>
                <w:lang w:val="fr-CH"/>
              </w:rPr>
              <w:t>Comité de coordination pour le vocabulaire des radiocommunications</w:t>
            </w:r>
          </w:p>
          <w:p w:rsidR="008018B7" w:rsidRPr="00D0752B" w:rsidRDefault="008018B7" w:rsidP="009C5321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6B4355">
              <w:rPr>
                <w:szCs w:val="24"/>
                <w:lang w:val="fr-CH"/>
              </w:rPr>
              <w:t>–</w:t>
            </w:r>
            <w:r w:rsidRPr="00D0752B">
              <w:rPr>
                <w:b/>
                <w:bCs/>
                <w:szCs w:val="24"/>
                <w:lang w:val="fr-CH"/>
              </w:rPr>
              <w:tab/>
            </w:r>
            <w:r w:rsidR="00421299" w:rsidRPr="00D0752B">
              <w:rPr>
                <w:b/>
                <w:bCs/>
                <w:szCs w:val="24"/>
                <w:lang w:val="fr-CH"/>
              </w:rPr>
              <w:t>A</w:t>
            </w:r>
            <w:r w:rsidRPr="00D0752B">
              <w:rPr>
                <w:b/>
                <w:bCs/>
                <w:szCs w:val="24"/>
                <w:lang w:val="fr-CH"/>
              </w:rPr>
              <w:t xml:space="preserve">doption de </w:t>
            </w:r>
            <w:r w:rsidR="009C5321">
              <w:rPr>
                <w:b/>
                <w:bCs/>
                <w:szCs w:val="24"/>
                <w:lang w:val="fr-CH"/>
              </w:rPr>
              <w:t>5</w:t>
            </w:r>
            <w:r w:rsidR="00D0752B">
              <w:rPr>
                <w:b/>
                <w:bCs/>
                <w:szCs w:val="24"/>
                <w:lang w:val="fr-CH"/>
              </w:rPr>
              <w:t xml:space="preserve"> </w:t>
            </w:r>
            <w:r w:rsidRPr="00D0752B">
              <w:rPr>
                <w:b/>
                <w:bCs/>
                <w:szCs w:val="24"/>
                <w:lang w:val="fr-CH"/>
              </w:rPr>
              <w:t>Recommandation</w:t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 xml:space="preserve"> UIT-R révisée</w:t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="00421299" w:rsidRPr="00D0752B">
              <w:rPr>
                <w:b/>
                <w:bCs/>
                <w:szCs w:val="24"/>
                <w:lang w:val="fr-CH"/>
              </w:rPr>
              <w:t>et leur approbation simultanée par correspondance</w:t>
            </w:r>
            <w:r w:rsidRPr="00D0752B">
              <w:rPr>
                <w:b/>
                <w:bCs/>
                <w:szCs w:val="24"/>
                <w:lang w:val="fr-CH"/>
              </w:rPr>
              <w:t>, conformément au § 10.3 de la Résolution</w:t>
            </w:r>
            <w:r w:rsidR="009B6680"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Pr="00D0752B">
              <w:rPr>
                <w:b/>
                <w:bCs/>
                <w:szCs w:val="24"/>
                <w:lang w:val="fr-CH"/>
              </w:rPr>
              <w:t>UIT-R 1-6 (Procédure d'adoption et d'approbation simultanées par correspondance)</w:t>
            </w:r>
          </w:p>
          <w:p w:rsidR="00E53DCE" w:rsidRPr="00D0752B" w:rsidRDefault="003A13CD" w:rsidP="009C5321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6B4355">
              <w:rPr>
                <w:szCs w:val="24"/>
                <w:lang w:val="fr-CH"/>
              </w:rPr>
              <w:t>–</w:t>
            </w:r>
            <w:r w:rsidRPr="00D0752B">
              <w:rPr>
                <w:b/>
                <w:bCs/>
                <w:szCs w:val="24"/>
                <w:lang w:val="fr-CH"/>
              </w:rPr>
              <w:tab/>
            </w:r>
            <w:r w:rsidR="00421299" w:rsidRPr="00D0752B">
              <w:rPr>
                <w:b/>
                <w:bCs/>
                <w:szCs w:val="24"/>
                <w:lang w:val="fr-CH"/>
              </w:rPr>
              <w:t>S</w:t>
            </w:r>
            <w:r w:rsidRPr="00D0752B">
              <w:rPr>
                <w:b/>
                <w:bCs/>
                <w:szCs w:val="24"/>
                <w:lang w:val="fr-CH"/>
              </w:rPr>
              <w:t>uppression de</w:t>
            </w:r>
            <w:r w:rsidR="00421299" w:rsidRPr="00D0752B">
              <w:rPr>
                <w:b/>
                <w:bCs/>
                <w:szCs w:val="24"/>
                <w:lang w:val="fr-CH"/>
              </w:rPr>
              <w:t xml:space="preserve"> </w:t>
            </w:r>
            <w:r w:rsidR="009C5321">
              <w:rPr>
                <w:b/>
                <w:bCs/>
                <w:szCs w:val="24"/>
                <w:lang w:val="fr-CH"/>
              </w:rPr>
              <w:t>4</w:t>
            </w:r>
            <w:r w:rsidR="006E70EA">
              <w:rPr>
                <w:b/>
                <w:bCs/>
                <w:szCs w:val="24"/>
                <w:lang w:val="fr-CH"/>
              </w:rPr>
              <w:t xml:space="preserve"> </w:t>
            </w:r>
            <w:r w:rsidRPr="00D0752B">
              <w:rPr>
                <w:b/>
                <w:bCs/>
                <w:szCs w:val="24"/>
                <w:lang w:val="fr-CH"/>
              </w:rPr>
              <w:t>Recommandations</w:t>
            </w:r>
            <w:r w:rsidR="008018B7" w:rsidRPr="00D0752B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5E65E2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E65E2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E65E2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421299" w:rsidRPr="006E0087" w:rsidRDefault="00421299" w:rsidP="004841A9">
      <w:pPr>
        <w:spacing w:before="360"/>
        <w:rPr>
          <w:lang w:val="fr-CH"/>
        </w:rPr>
      </w:pPr>
      <w:r w:rsidRPr="006E0087">
        <w:rPr>
          <w:lang w:val="fr-CH"/>
        </w:rPr>
        <w:t xml:space="preserve">Dans la Circulaire administrative </w:t>
      </w:r>
      <w:r w:rsidR="006E70EA" w:rsidRPr="006E70EA">
        <w:rPr>
          <w:lang w:val="fr-CH"/>
        </w:rPr>
        <w:t>CACE/731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9C5321">
        <w:rPr>
          <w:lang w:val="fr-CH"/>
        </w:rPr>
        <w:t>17</w:t>
      </w:r>
      <w:r>
        <w:rPr>
          <w:lang w:val="fr-CH"/>
        </w:rPr>
        <w:t xml:space="preserve"> </w:t>
      </w:r>
      <w:r w:rsidR="009C5321">
        <w:rPr>
          <w:lang w:val="fr-CH"/>
        </w:rPr>
        <w:t>juin</w:t>
      </w:r>
      <w:r>
        <w:rPr>
          <w:lang w:val="fr-CH"/>
        </w:rPr>
        <w:t xml:space="preserve"> 201</w:t>
      </w:r>
      <w:r w:rsidR="009C5321">
        <w:rPr>
          <w:lang w:val="fr-CH"/>
        </w:rPr>
        <w:t>5</w:t>
      </w:r>
      <w:r w:rsidRPr="006E0087">
        <w:rPr>
          <w:lang w:val="fr-CH"/>
        </w:rPr>
        <w:t xml:space="preserve">, </w:t>
      </w:r>
      <w:r w:rsidR="009C5321">
        <w:rPr>
          <w:lang w:val="fr-CH"/>
        </w:rPr>
        <w:t>5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</w:t>
      </w:r>
      <w:r w:rsidR="00D0752B">
        <w:rPr>
          <w:lang w:val="fr-CH"/>
        </w:rPr>
        <w:t xml:space="preserve"> </w:t>
      </w:r>
      <w:r>
        <w:rPr>
          <w:lang w:val="fr-CH"/>
        </w:rPr>
        <w:t>la</w:t>
      </w:r>
      <w:r w:rsidR="00D0752B">
        <w:rPr>
          <w:lang w:val="fr-CH"/>
        </w:rPr>
        <w:t xml:space="preserve"> 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</w:t>
      </w:r>
      <w:r w:rsidR="00D0752B">
        <w:rPr>
          <w:lang w:val="fr-CH"/>
        </w:rPr>
        <w:t xml:space="preserve"> </w:t>
      </w:r>
      <w:r w:rsidRPr="006E0087">
        <w:rPr>
          <w:lang w:val="fr-CH"/>
        </w:rPr>
        <w:t>1-6 (§ 10.3).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 w:rsidR="00D0752B">
        <w:rPr>
          <w:lang w:val="fr-CH"/>
        </w:rPr>
        <w:t xml:space="preserve">des a proposé la suppression de </w:t>
      </w:r>
      <w:r w:rsidR="004841A9">
        <w:rPr>
          <w:lang w:val="fr-CH"/>
        </w:rPr>
        <w:t>4</w:t>
      </w:r>
      <w:r w:rsidRPr="006E0087">
        <w:rPr>
          <w:lang w:val="fr-CH"/>
        </w:rPr>
        <w:t xml:space="preserve"> Recommandations</w:t>
      </w:r>
      <w:r w:rsidR="00D0752B">
        <w:rPr>
          <w:lang w:val="fr-CH"/>
        </w:rPr>
        <w:t xml:space="preserve"> </w:t>
      </w:r>
      <w:r>
        <w:rPr>
          <w:lang w:val="fr-CH"/>
        </w:rPr>
        <w:t>UIT-R</w:t>
      </w:r>
      <w:r w:rsidRPr="006E0087">
        <w:rPr>
          <w:lang w:val="fr-CH"/>
        </w:rPr>
        <w:t>.</w:t>
      </w:r>
    </w:p>
    <w:p w:rsidR="00421299" w:rsidRPr="006E0087" w:rsidRDefault="00421299" w:rsidP="009C5321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9C5321" w:rsidRPr="00C94D75">
        <w:rPr>
          <w:lang w:val="fr-CH"/>
        </w:rPr>
        <w:t>17 août 2015</w:t>
      </w:r>
      <w:r w:rsidR="00C94D75">
        <w:rPr>
          <w:lang w:val="fr-CH"/>
        </w:rPr>
        <w:t>.</w:t>
      </w:r>
    </w:p>
    <w:p w:rsidR="00421299" w:rsidRDefault="00421299" w:rsidP="00D0752B">
      <w:pPr>
        <w:ind w:right="-142"/>
        <w:rPr>
          <w:lang w:val="fr-CH"/>
        </w:rPr>
      </w:pPr>
      <w:r w:rsidRPr="006E0087">
        <w:rPr>
          <w:lang w:val="fr-CH"/>
        </w:rPr>
        <w:t>Les Recommandations approuvée</w:t>
      </w:r>
      <w:r w:rsidR="00D0752B">
        <w:rPr>
          <w:lang w:val="fr-CH"/>
        </w:rPr>
        <w:t>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>Annexe 2 contient la liste des Recommandations supprimées.</w:t>
      </w:r>
    </w:p>
    <w:p w:rsidR="00421299" w:rsidRDefault="00421299" w:rsidP="003A13CD">
      <w:pPr>
        <w:jc w:val="left"/>
        <w:rPr>
          <w:rFonts w:asciiTheme="minorHAnsi" w:hAnsiTheme="minorHAnsi"/>
          <w:lang w:val="fr-CH"/>
        </w:rPr>
      </w:pPr>
    </w:p>
    <w:p w:rsidR="00EE1A57" w:rsidRPr="003A13CD" w:rsidRDefault="003A13CD" w:rsidP="00DA1DAB">
      <w:pPr>
        <w:spacing w:before="84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5965E1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 xml:space="preserve">: </w:t>
      </w:r>
      <w:r w:rsidR="005965E1">
        <w:rPr>
          <w:bCs/>
          <w:lang w:val="fr-CH"/>
        </w:rPr>
        <w:tab/>
        <w:t>2</w:t>
      </w:r>
    </w:p>
    <w:p w:rsidR="00421299" w:rsidRPr="00136CBE" w:rsidRDefault="00421299" w:rsidP="00524AF6">
      <w:pPr>
        <w:keepNext/>
        <w:keepLines/>
        <w:tabs>
          <w:tab w:val="left" w:pos="284"/>
          <w:tab w:val="left" w:pos="568"/>
        </w:tabs>
        <w:spacing w:before="8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9C5321" w:rsidRPr="0076405A" w:rsidRDefault="009C5321" w:rsidP="006E70EA">
      <w:pPr>
        <w:tabs>
          <w:tab w:val="left" w:pos="284"/>
          <w:tab w:val="left" w:pos="568"/>
        </w:tabs>
        <w:spacing w:before="12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 xml:space="preserve">Administrations des </w:t>
      </w:r>
      <w:r w:rsidR="006E70EA">
        <w:rPr>
          <w:sz w:val="18"/>
          <w:szCs w:val="18"/>
          <w:lang w:val="fr-CH"/>
        </w:rPr>
        <w:t>E</w:t>
      </w:r>
      <w:r w:rsidRPr="0076405A">
        <w:rPr>
          <w:sz w:val="18"/>
          <w:szCs w:val="18"/>
          <w:lang w:val="fr-CH"/>
        </w:rPr>
        <w:t>tats Membres de l'UIT et Membres du Secteur des radiocommunications participant aux travaux du Comité de coordination pour le vocabulaire des radiocommunications</w:t>
      </w:r>
    </w:p>
    <w:p w:rsidR="009C5321" w:rsidRPr="0076405A" w:rsidRDefault="009C5321" w:rsidP="009C532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>Présidents et Vice</w:t>
      </w:r>
      <w:r w:rsidRPr="0076405A">
        <w:rPr>
          <w:sz w:val="18"/>
          <w:szCs w:val="18"/>
          <w:lang w:val="fr-CH"/>
        </w:rPr>
        <w:noBreakHyphen/>
        <w:t>Présidents du Comité de coordination pour le vocabulaire des radiocommunications</w:t>
      </w:r>
    </w:p>
    <w:p w:rsidR="009C5321" w:rsidRPr="0076405A" w:rsidRDefault="009C5321" w:rsidP="009C5321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76405A">
        <w:rPr>
          <w:sz w:val="18"/>
          <w:szCs w:val="18"/>
          <w:lang w:val="fr-CH"/>
        </w:rPr>
        <w:t>–</w:t>
      </w:r>
      <w:r w:rsidRPr="0076405A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4256F2" w:rsidRDefault="004256F2" w:rsidP="00A016DA">
      <w:pPr>
        <w:pStyle w:val="AnnexNotitle0"/>
        <w:spacing w:after="120"/>
        <w:rPr>
          <w:rFonts w:asciiTheme="minorHAnsi" w:hAnsiTheme="minorHAnsi"/>
          <w:szCs w:val="28"/>
        </w:rPr>
      </w:pPr>
      <w:r w:rsidRPr="005965E1">
        <w:rPr>
          <w:rFonts w:asciiTheme="minorHAnsi" w:hAnsiTheme="minorHAnsi"/>
          <w:szCs w:val="28"/>
          <w:lang w:val="fr-CH"/>
        </w:rPr>
        <w:lastRenderedPageBreak/>
        <w:t>Annexe 1</w:t>
      </w:r>
      <w:r w:rsidRPr="005965E1">
        <w:rPr>
          <w:rFonts w:asciiTheme="minorHAnsi" w:hAnsiTheme="minorHAnsi"/>
          <w:szCs w:val="28"/>
          <w:lang w:val="fr-CH"/>
        </w:rPr>
        <w:br/>
      </w:r>
      <w:r w:rsidRPr="005965E1">
        <w:rPr>
          <w:rFonts w:asciiTheme="minorHAnsi" w:hAnsiTheme="minorHAnsi"/>
          <w:szCs w:val="28"/>
          <w:lang w:val="fr-CH"/>
        </w:rPr>
        <w:br/>
      </w:r>
      <w:r w:rsidR="00DA1DAB">
        <w:rPr>
          <w:rFonts w:asciiTheme="minorHAnsi" w:hAnsiTheme="minorHAnsi"/>
          <w:szCs w:val="28"/>
        </w:rPr>
        <w:t>Titre</w:t>
      </w:r>
      <w:r w:rsidRPr="005965E1">
        <w:rPr>
          <w:rFonts w:asciiTheme="minorHAnsi" w:hAnsiTheme="minorHAnsi"/>
          <w:szCs w:val="28"/>
        </w:rPr>
        <w:t xml:space="preserve">s </w:t>
      </w:r>
      <w:r w:rsidR="00421299" w:rsidRPr="005965E1">
        <w:rPr>
          <w:rFonts w:asciiTheme="minorHAnsi" w:hAnsiTheme="minorHAnsi"/>
          <w:szCs w:val="28"/>
        </w:rPr>
        <w:t>des</w:t>
      </w:r>
      <w:r w:rsidRPr="005965E1">
        <w:rPr>
          <w:rFonts w:asciiTheme="minorHAnsi" w:hAnsiTheme="minorHAnsi"/>
          <w:szCs w:val="28"/>
        </w:rPr>
        <w:t xml:space="preserve"> Recommandation</w:t>
      </w:r>
      <w:r w:rsidR="00421299" w:rsidRPr="005965E1">
        <w:rPr>
          <w:rFonts w:asciiTheme="minorHAnsi" w:hAnsiTheme="minorHAnsi"/>
          <w:szCs w:val="28"/>
        </w:rPr>
        <w:t>s</w:t>
      </w:r>
      <w:r w:rsidR="00DA1DAB">
        <w:rPr>
          <w:rFonts w:asciiTheme="minorHAnsi" w:hAnsiTheme="minorHAnsi"/>
          <w:szCs w:val="28"/>
        </w:rPr>
        <w:t xml:space="preserve"> UIT-R approuvées</w:t>
      </w:r>
    </w:p>
    <w:p w:rsidR="00E55517" w:rsidRPr="0076405A" w:rsidRDefault="00E55517" w:rsidP="006E70EA">
      <w:pPr>
        <w:tabs>
          <w:tab w:val="right" w:pos="9639"/>
        </w:tabs>
        <w:spacing w:before="72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Recommandation ITU-R V.430-</w:t>
      </w:r>
      <w:r w:rsidR="009C5321">
        <w:rPr>
          <w:rFonts w:asciiTheme="minorHAnsi" w:hAnsiTheme="minorHAnsi" w:cstheme="minorHAnsi"/>
          <w:szCs w:val="24"/>
          <w:u w:val="single"/>
          <w:lang w:val="fr-CH"/>
        </w:rPr>
        <w:t>4</w:t>
      </w:r>
      <w:r w:rsidRPr="0076405A">
        <w:rPr>
          <w:rFonts w:asciiTheme="minorHAnsi" w:hAnsiTheme="minorHAnsi" w:cstheme="minorHAnsi"/>
          <w:szCs w:val="24"/>
          <w:lang w:val="fr-CH"/>
        </w:rPr>
        <w:tab/>
      </w:r>
      <w:r w:rsidR="009C5321" w:rsidRPr="009C5321">
        <w:rPr>
          <w:rFonts w:asciiTheme="minorHAnsi" w:hAnsiTheme="minorHAnsi" w:cstheme="minorHAnsi"/>
          <w:szCs w:val="24"/>
          <w:lang w:val="fr-CH"/>
        </w:rPr>
        <w:t>Doc</w:t>
      </w:r>
      <w:hyperlink r:id="rId8" w:history="1">
        <w:r w:rsidR="009C5321" w:rsidRPr="009C5321">
          <w:rPr>
            <w:rStyle w:val="Hyperlink"/>
            <w:rFonts w:asciiTheme="minorHAnsi" w:hAnsiTheme="minorHAnsi" w:cstheme="minorHAnsi"/>
            <w:szCs w:val="24"/>
            <w:u w:val="none"/>
            <w:lang w:val="fr-CH"/>
          </w:rPr>
          <w:t xml:space="preserve">. </w:t>
        </w:r>
        <w:r w:rsidR="009C5321" w:rsidRPr="00C94D75">
          <w:rPr>
            <w:rStyle w:val="Hyperlink"/>
            <w:rFonts w:asciiTheme="minorHAnsi" w:hAnsiTheme="minorHAnsi" w:cstheme="minorHAnsi"/>
            <w:szCs w:val="24"/>
            <w:lang w:val="fr-CH"/>
          </w:rPr>
          <w:t>CCV/56(Rev.1)</w:t>
        </w:r>
      </w:hyperlink>
    </w:p>
    <w:p w:rsidR="00E55517" w:rsidRPr="0076405A" w:rsidRDefault="00E55517" w:rsidP="006C0F6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Emploi du système international d'unités (SI)</w:t>
      </w:r>
    </w:p>
    <w:p w:rsidR="00E55517" w:rsidRPr="0076405A" w:rsidRDefault="00E55517" w:rsidP="009C532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Recommandation ITU-R V.431-</w:t>
      </w:r>
      <w:r w:rsidR="009C5321">
        <w:rPr>
          <w:rFonts w:asciiTheme="minorHAnsi" w:hAnsiTheme="minorHAnsi" w:cstheme="minorHAnsi"/>
          <w:szCs w:val="24"/>
          <w:u w:val="single"/>
          <w:lang w:val="fr-CH"/>
        </w:rPr>
        <w:t>8</w:t>
      </w:r>
      <w:r w:rsidRPr="0076405A">
        <w:rPr>
          <w:rFonts w:asciiTheme="minorHAnsi" w:hAnsiTheme="minorHAnsi" w:cstheme="minorHAnsi"/>
          <w:szCs w:val="24"/>
          <w:lang w:val="fr-CH"/>
        </w:rPr>
        <w:tab/>
      </w:r>
      <w:r w:rsidR="009C5321" w:rsidRPr="009C5321">
        <w:rPr>
          <w:rFonts w:asciiTheme="minorHAnsi" w:hAnsiTheme="minorHAnsi" w:cstheme="minorHAnsi"/>
          <w:szCs w:val="24"/>
          <w:lang w:val="fr-CH"/>
        </w:rPr>
        <w:t xml:space="preserve">Doc. </w:t>
      </w:r>
      <w:hyperlink r:id="rId9" w:history="1">
        <w:r w:rsidR="009C5321" w:rsidRPr="00C94D75">
          <w:rPr>
            <w:rStyle w:val="Hyperlink"/>
            <w:rFonts w:asciiTheme="minorHAnsi" w:hAnsiTheme="minorHAnsi" w:cstheme="minorHAnsi"/>
            <w:szCs w:val="24"/>
            <w:lang w:val="fr-CH"/>
          </w:rPr>
          <w:t>CCV/57(Rev.1)</w:t>
        </w:r>
      </w:hyperlink>
    </w:p>
    <w:p w:rsidR="00E55517" w:rsidRPr="0076405A" w:rsidRDefault="00E55517" w:rsidP="006C0F6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 xml:space="preserve">Nomenclature des bandes de fréquences et de longueurs d'onde </w:t>
      </w: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br/>
        <w:t>employées en télécommunication</w:t>
      </w:r>
    </w:p>
    <w:p w:rsidR="00E55517" w:rsidRPr="0076405A" w:rsidRDefault="00E55517" w:rsidP="009C532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Recommandation ITU-R V.573-</w:t>
      </w:r>
      <w:r w:rsidR="009C5321">
        <w:rPr>
          <w:rFonts w:asciiTheme="minorHAnsi" w:hAnsiTheme="minorHAnsi" w:cstheme="minorHAnsi"/>
          <w:szCs w:val="24"/>
          <w:u w:val="single"/>
          <w:lang w:val="fr-CH"/>
        </w:rPr>
        <w:t>6</w:t>
      </w:r>
      <w:r w:rsidRPr="0076405A">
        <w:rPr>
          <w:rFonts w:asciiTheme="minorHAnsi" w:hAnsiTheme="minorHAnsi" w:cstheme="minorHAnsi"/>
          <w:szCs w:val="24"/>
          <w:lang w:val="fr-CH"/>
        </w:rPr>
        <w:tab/>
      </w:r>
      <w:r w:rsidR="009C5321" w:rsidRPr="009C5321">
        <w:rPr>
          <w:rFonts w:asciiTheme="minorHAnsi" w:hAnsiTheme="minorHAnsi" w:cstheme="minorHAnsi"/>
          <w:szCs w:val="24"/>
          <w:lang w:val="fr-CH"/>
        </w:rPr>
        <w:t xml:space="preserve">Doc. </w:t>
      </w:r>
      <w:hyperlink r:id="rId10" w:history="1">
        <w:r w:rsidR="009C5321" w:rsidRPr="00C94D75">
          <w:rPr>
            <w:rStyle w:val="Hyperlink"/>
            <w:rFonts w:asciiTheme="minorHAnsi" w:hAnsiTheme="minorHAnsi" w:cstheme="minorHAnsi"/>
            <w:szCs w:val="24"/>
            <w:lang w:val="fr-CH"/>
          </w:rPr>
          <w:t>CCV/58(Rev.2)</w:t>
        </w:r>
      </w:hyperlink>
    </w:p>
    <w:p w:rsidR="00E55517" w:rsidRPr="0076405A" w:rsidRDefault="00E55517" w:rsidP="006C0F6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Vocabulaire des radiocommunications</w:t>
      </w:r>
    </w:p>
    <w:p w:rsidR="00E55517" w:rsidRPr="0076405A" w:rsidRDefault="00E55517" w:rsidP="009C532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Recommandation ITU-R V.574-</w:t>
      </w:r>
      <w:r w:rsidR="009C5321">
        <w:rPr>
          <w:rFonts w:asciiTheme="minorHAnsi" w:hAnsiTheme="minorHAnsi" w:cstheme="minorHAnsi"/>
          <w:szCs w:val="24"/>
          <w:u w:val="single"/>
          <w:lang w:val="fr-CH"/>
        </w:rPr>
        <w:t>5</w:t>
      </w:r>
      <w:r w:rsidRPr="0076405A">
        <w:rPr>
          <w:rFonts w:asciiTheme="minorHAnsi" w:hAnsiTheme="minorHAnsi" w:cstheme="minorHAnsi"/>
          <w:szCs w:val="24"/>
          <w:lang w:val="fr-CH"/>
        </w:rPr>
        <w:tab/>
      </w:r>
      <w:r w:rsidR="009C5321" w:rsidRPr="009C5321">
        <w:rPr>
          <w:rFonts w:asciiTheme="minorHAnsi" w:hAnsiTheme="minorHAnsi" w:cstheme="minorHAnsi"/>
          <w:szCs w:val="24"/>
          <w:lang w:val="fr-CH"/>
        </w:rPr>
        <w:t xml:space="preserve">Doc. </w:t>
      </w:r>
      <w:hyperlink r:id="rId11" w:history="1">
        <w:r w:rsidR="009C5321" w:rsidRPr="00C94D75">
          <w:rPr>
            <w:rStyle w:val="Hyperlink"/>
            <w:rFonts w:asciiTheme="minorHAnsi" w:hAnsiTheme="minorHAnsi" w:cstheme="minorHAnsi"/>
            <w:szCs w:val="24"/>
            <w:lang w:val="fr-CH"/>
          </w:rPr>
          <w:t>CCV/59(Rev.1)</w:t>
        </w:r>
      </w:hyperlink>
    </w:p>
    <w:p w:rsidR="00E55517" w:rsidRPr="0076405A" w:rsidRDefault="00E55517" w:rsidP="006C0F6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Emploi du décibel et du néper dans les télécommunications</w:t>
      </w:r>
    </w:p>
    <w:p w:rsidR="00E55517" w:rsidRPr="0076405A" w:rsidRDefault="00E55517" w:rsidP="009C5321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lang w:val="fr-CH"/>
        </w:rPr>
      </w:pPr>
      <w:r w:rsidRPr="0076405A">
        <w:rPr>
          <w:rFonts w:asciiTheme="minorHAnsi" w:hAnsiTheme="minorHAnsi" w:cstheme="minorHAnsi"/>
          <w:szCs w:val="24"/>
          <w:u w:val="single"/>
          <w:lang w:val="fr-CH"/>
        </w:rPr>
        <w:t>Recommandation ITU-R V.665-</w:t>
      </w:r>
      <w:r w:rsidR="009C5321"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76405A">
        <w:rPr>
          <w:rFonts w:asciiTheme="minorHAnsi" w:hAnsiTheme="minorHAnsi" w:cstheme="minorHAnsi"/>
          <w:szCs w:val="24"/>
          <w:lang w:val="fr-CH"/>
        </w:rPr>
        <w:tab/>
      </w:r>
      <w:r w:rsidR="009C5321" w:rsidRPr="009C5321">
        <w:rPr>
          <w:rFonts w:asciiTheme="minorHAnsi" w:hAnsiTheme="minorHAnsi" w:cstheme="minorHAnsi"/>
          <w:szCs w:val="24"/>
          <w:lang w:val="fr-CH"/>
        </w:rPr>
        <w:t xml:space="preserve">Doc. </w:t>
      </w:r>
      <w:hyperlink r:id="rId12" w:history="1">
        <w:r w:rsidR="009C5321" w:rsidRPr="00C94D75">
          <w:rPr>
            <w:rStyle w:val="Hyperlink"/>
            <w:rFonts w:asciiTheme="minorHAnsi" w:hAnsiTheme="minorHAnsi" w:cstheme="minorHAnsi"/>
            <w:szCs w:val="24"/>
            <w:lang w:val="fr-CH"/>
          </w:rPr>
          <w:t>CCV/60(Rev.1)</w:t>
        </w:r>
      </w:hyperlink>
    </w:p>
    <w:p w:rsidR="00E55517" w:rsidRPr="0076405A" w:rsidRDefault="00E55517" w:rsidP="006C0F6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76405A">
        <w:rPr>
          <w:rStyle w:val="RectitleChar"/>
          <w:rFonts w:asciiTheme="minorHAnsi" w:eastAsia="MS Mincho" w:hAnsiTheme="minorHAnsi" w:cstheme="minorHAnsi"/>
          <w:szCs w:val="28"/>
          <w:lang w:val="fr-CH"/>
        </w:rPr>
        <w:t>Unité d'intensité du trafic</w:t>
      </w:r>
    </w:p>
    <w:p w:rsidR="001D696E" w:rsidRPr="00AC33DF" w:rsidRDefault="001D696E" w:rsidP="001D696E">
      <w:pPr>
        <w:pStyle w:val="Rectitle"/>
        <w:rPr>
          <w:lang w:val="fr-CH"/>
        </w:rPr>
      </w:pPr>
      <w:bookmarkStart w:id="1" w:name="ddistribution"/>
      <w:bookmarkEnd w:id="1"/>
    </w:p>
    <w:p w:rsidR="001D696E" w:rsidRDefault="001D696E" w:rsidP="001D696E">
      <w:pPr>
        <w:pStyle w:val="AnnexNotitle0"/>
        <w:rPr>
          <w:lang w:val="fr-CH"/>
        </w:rPr>
      </w:pPr>
      <w:r>
        <w:rPr>
          <w:lang w:val="fr-CH"/>
        </w:rPr>
        <w:br w:type="page"/>
      </w:r>
    </w:p>
    <w:p w:rsidR="001D696E" w:rsidRPr="001D696E" w:rsidRDefault="001D696E" w:rsidP="00DA1DAB">
      <w:pPr>
        <w:pStyle w:val="AnnexNotitle0"/>
        <w:rPr>
          <w:rFonts w:asciiTheme="minorHAnsi" w:hAnsiTheme="minorHAnsi"/>
          <w:szCs w:val="24"/>
          <w:lang w:val="fr-CH"/>
        </w:rPr>
      </w:pPr>
      <w:r w:rsidRPr="00A73BD4">
        <w:rPr>
          <w:rFonts w:ascii="Calibri" w:hAnsi="Calibri"/>
          <w:lang w:val="fr-CH"/>
        </w:rPr>
        <w:lastRenderedPageBreak/>
        <w:t>Annexe 2</w:t>
      </w:r>
      <w:r>
        <w:rPr>
          <w:rFonts w:ascii="Calibri" w:hAnsi="Calibri"/>
          <w:lang w:val="fr-CH"/>
        </w:rPr>
        <w:br/>
      </w:r>
      <w:r>
        <w:rPr>
          <w:rFonts w:ascii="Calibri" w:hAnsi="Calibri"/>
          <w:lang w:val="fr-CH"/>
        </w:rPr>
        <w:br/>
      </w:r>
      <w:r w:rsidRPr="001D696E">
        <w:rPr>
          <w:rFonts w:asciiTheme="minorHAnsi" w:hAnsiTheme="minorHAnsi"/>
          <w:szCs w:val="24"/>
          <w:lang w:val="fr-CH"/>
        </w:rPr>
        <w:t>Liste des Recommandations UIT-R supprimées</w:t>
      </w:r>
    </w:p>
    <w:p w:rsidR="001D696E" w:rsidRDefault="001D696E" w:rsidP="002F4FE8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E55517" w:rsidRPr="0076405A" w:rsidTr="000E4FDE">
        <w:tc>
          <w:tcPr>
            <w:tcW w:w="1696" w:type="dxa"/>
          </w:tcPr>
          <w:p w:rsidR="00E55517" w:rsidRPr="0076405A" w:rsidRDefault="00E55517" w:rsidP="000E4FDE">
            <w:pPr>
              <w:pStyle w:val="Tablehead"/>
              <w:rPr>
                <w:lang w:val="fr-CH"/>
              </w:rPr>
            </w:pPr>
            <w:r w:rsidRPr="0076405A">
              <w:rPr>
                <w:lang w:val="fr-CH"/>
              </w:rPr>
              <w:t xml:space="preserve">Recommandation </w:t>
            </w:r>
            <w:r>
              <w:rPr>
                <w:lang w:val="fr-CH"/>
              </w:rPr>
              <w:t>UIT</w:t>
            </w:r>
            <w:r w:rsidRPr="0076405A">
              <w:rPr>
                <w:lang w:val="fr-CH"/>
              </w:rPr>
              <w:t>-R</w:t>
            </w:r>
          </w:p>
        </w:tc>
        <w:tc>
          <w:tcPr>
            <w:tcW w:w="7933" w:type="dxa"/>
          </w:tcPr>
          <w:p w:rsidR="00E55517" w:rsidRPr="0076405A" w:rsidRDefault="00E55517" w:rsidP="000E4FDE">
            <w:pPr>
              <w:pStyle w:val="Tablehead"/>
              <w:rPr>
                <w:lang w:val="fr-CH"/>
              </w:rPr>
            </w:pPr>
            <w:r w:rsidRPr="0076405A">
              <w:rPr>
                <w:lang w:val="fr-CH"/>
              </w:rPr>
              <w:t>Titre</w:t>
            </w:r>
          </w:p>
        </w:tc>
      </w:tr>
      <w:tr w:rsidR="00E55517" w:rsidRPr="005E65E2" w:rsidTr="000E4FDE">
        <w:tc>
          <w:tcPr>
            <w:tcW w:w="1696" w:type="dxa"/>
          </w:tcPr>
          <w:p w:rsidR="00E55517" w:rsidRPr="0076405A" w:rsidRDefault="00E55517" w:rsidP="000E4FDE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V.461-5</w:t>
            </w:r>
          </w:p>
        </w:tc>
        <w:tc>
          <w:tcPr>
            <w:tcW w:w="7933" w:type="dxa"/>
          </w:tcPr>
          <w:p w:rsidR="00E55517" w:rsidRPr="0076405A" w:rsidRDefault="00E55517" w:rsidP="000E4FDE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Symboles graphiques et règles pour l'établissement de la documentation utilisée dans les télécommunications</w:t>
            </w:r>
          </w:p>
        </w:tc>
      </w:tr>
      <w:tr w:rsidR="00E55517" w:rsidRPr="0076405A" w:rsidTr="000E4FDE">
        <w:tc>
          <w:tcPr>
            <w:tcW w:w="1696" w:type="dxa"/>
          </w:tcPr>
          <w:p w:rsidR="00E55517" w:rsidRPr="0076405A" w:rsidRDefault="00E55517" w:rsidP="000E4FDE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V.662-3</w:t>
            </w:r>
          </w:p>
        </w:tc>
        <w:tc>
          <w:tcPr>
            <w:tcW w:w="7933" w:type="dxa"/>
          </w:tcPr>
          <w:p w:rsidR="00E55517" w:rsidRPr="0076405A" w:rsidRDefault="00E55517" w:rsidP="000E4FDE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Termes et définitions</w:t>
            </w:r>
          </w:p>
        </w:tc>
      </w:tr>
      <w:tr w:rsidR="00E55517" w:rsidRPr="005E65E2" w:rsidTr="000E4FDE">
        <w:tc>
          <w:tcPr>
            <w:tcW w:w="1696" w:type="dxa"/>
          </w:tcPr>
          <w:p w:rsidR="00E55517" w:rsidRPr="0076405A" w:rsidRDefault="00E55517" w:rsidP="000E4FDE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V.663-1</w:t>
            </w:r>
          </w:p>
        </w:tc>
        <w:tc>
          <w:tcPr>
            <w:tcW w:w="7933" w:type="dxa"/>
          </w:tcPr>
          <w:p w:rsidR="00E55517" w:rsidRPr="0076405A" w:rsidRDefault="00E55517" w:rsidP="000E4FDE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Emploi de certains termes liés à des grandeurs physiques</w:t>
            </w:r>
          </w:p>
        </w:tc>
      </w:tr>
      <w:tr w:rsidR="00E55517" w:rsidRPr="005E65E2" w:rsidTr="000E4FDE">
        <w:tc>
          <w:tcPr>
            <w:tcW w:w="1696" w:type="dxa"/>
          </w:tcPr>
          <w:p w:rsidR="00E55517" w:rsidRPr="0076405A" w:rsidRDefault="00E55517" w:rsidP="000E4FDE">
            <w:pPr>
              <w:pStyle w:val="Tabletext"/>
              <w:jc w:val="center"/>
              <w:rPr>
                <w:lang w:val="fr-CH"/>
              </w:rPr>
            </w:pPr>
            <w:r w:rsidRPr="0076405A">
              <w:rPr>
                <w:lang w:val="fr-CH"/>
              </w:rPr>
              <w:t>V.666-2</w:t>
            </w:r>
          </w:p>
        </w:tc>
        <w:tc>
          <w:tcPr>
            <w:tcW w:w="7933" w:type="dxa"/>
          </w:tcPr>
          <w:p w:rsidR="00E55517" w:rsidRPr="0076405A" w:rsidRDefault="00E55517" w:rsidP="000E4FDE">
            <w:pPr>
              <w:pStyle w:val="Tabletext"/>
              <w:rPr>
                <w:lang w:val="fr-CH"/>
              </w:rPr>
            </w:pPr>
            <w:r w:rsidRPr="0076405A">
              <w:rPr>
                <w:lang w:val="fr-CH"/>
              </w:rPr>
              <w:t>Abréviations et sigles utilisés en télécommunication</w:t>
            </w:r>
          </w:p>
        </w:tc>
      </w:tr>
    </w:tbl>
    <w:p w:rsidR="00E55517" w:rsidRPr="0076405A" w:rsidRDefault="00E55517" w:rsidP="00E55517">
      <w:pPr>
        <w:rPr>
          <w:lang w:val="fr-CH"/>
        </w:rPr>
      </w:pPr>
    </w:p>
    <w:p w:rsidR="00421299" w:rsidRPr="00421299" w:rsidRDefault="00421299" w:rsidP="00421299">
      <w:pPr>
        <w:rPr>
          <w:lang w:val="fr-CH"/>
        </w:rPr>
      </w:pPr>
    </w:p>
    <w:p w:rsidR="004256F2" w:rsidRPr="00773F7E" w:rsidRDefault="00A54301" w:rsidP="00547377">
      <w:pPr>
        <w:jc w:val="center"/>
        <w:rPr>
          <w:lang w:val="fr-FR"/>
        </w:rPr>
      </w:pPr>
      <w:r>
        <w:t>______________</w:t>
      </w:r>
    </w:p>
    <w:sectPr w:rsidR="004256F2" w:rsidRPr="00773F7E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C02209" w:rsidP="00C02209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965E1" w:rsidRDefault="00E915AF" w:rsidP="002A7808">
    <w:pPr>
      <w:pStyle w:val="Header"/>
      <w:rPr>
        <w:sz w:val="18"/>
        <w:szCs w:val="16"/>
      </w:rPr>
    </w:pPr>
    <w:r>
      <w:tab/>
    </w:r>
    <w:r>
      <w:tab/>
    </w:r>
    <w:r w:rsidR="002A7808" w:rsidRPr="002A7808">
      <w:rPr>
        <w:sz w:val="18"/>
        <w:szCs w:val="16"/>
      </w:rPr>
      <w:t>-</w:t>
    </w:r>
    <w:r w:rsidRPr="002A7808">
      <w:rPr>
        <w:sz w:val="12"/>
        <w:szCs w:val="10"/>
      </w:rPr>
      <w:t xml:space="preserve"> </w:t>
    </w:r>
    <w:r w:rsidR="001B42C9" w:rsidRPr="005965E1">
      <w:rPr>
        <w:rStyle w:val="PageNumber"/>
        <w:sz w:val="18"/>
        <w:szCs w:val="16"/>
      </w:rPr>
      <w:fldChar w:fldCharType="begin"/>
    </w:r>
    <w:r w:rsidRPr="005965E1">
      <w:rPr>
        <w:rStyle w:val="PageNumber"/>
        <w:sz w:val="18"/>
        <w:szCs w:val="16"/>
      </w:rPr>
      <w:instrText xml:space="preserve"> PAGE </w:instrText>
    </w:r>
    <w:r w:rsidR="001B42C9" w:rsidRPr="005965E1">
      <w:rPr>
        <w:rStyle w:val="PageNumber"/>
        <w:sz w:val="18"/>
        <w:szCs w:val="16"/>
      </w:rPr>
      <w:fldChar w:fldCharType="separate"/>
    </w:r>
    <w:r w:rsidR="005E65E2">
      <w:rPr>
        <w:rStyle w:val="PageNumber"/>
        <w:noProof/>
        <w:sz w:val="18"/>
        <w:szCs w:val="16"/>
      </w:rPr>
      <w:t>2</w:t>
    </w:r>
    <w:r w:rsidR="001B42C9" w:rsidRPr="005965E1">
      <w:rPr>
        <w:rStyle w:val="PageNumber"/>
        <w:sz w:val="18"/>
        <w:szCs w:val="16"/>
      </w:rPr>
      <w:fldChar w:fldCharType="end"/>
    </w:r>
    <w:r w:rsidRPr="005965E1">
      <w:rPr>
        <w:rStyle w:val="PageNumber"/>
        <w:sz w:val="18"/>
        <w:szCs w:val="16"/>
      </w:rPr>
      <w:t xml:space="preserve"> </w:t>
    </w:r>
    <w:r w:rsidR="002A7808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660A68">
    <w:pPr>
      <w:pStyle w:val="Header"/>
    </w:pPr>
    <w:r>
      <w:tab/>
    </w:r>
    <w:r>
      <w:tab/>
    </w:r>
    <w:r w:rsidR="002A7808">
      <w:t>-</w:t>
    </w:r>
    <w:r w:rsidR="00847A64" w:rsidRPr="001D696E">
      <w:rPr>
        <w:sz w:val="18"/>
        <w:szCs w:val="16"/>
      </w:rPr>
      <w:t xml:space="preserve"> </w:t>
    </w:r>
    <w:r w:rsidR="00847A64" w:rsidRPr="001D696E">
      <w:rPr>
        <w:rStyle w:val="PageNumber"/>
        <w:sz w:val="18"/>
        <w:szCs w:val="16"/>
      </w:rPr>
      <w:fldChar w:fldCharType="begin"/>
    </w:r>
    <w:r w:rsidR="00847A64" w:rsidRPr="001D696E">
      <w:rPr>
        <w:rStyle w:val="PageNumber"/>
        <w:sz w:val="18"/>
        <w:szCs w:val="16"/>
      </w:rPr>
      <w:instrText xml:space="preserve"> PAGE </w:instrText>
    </w:r>
    <w:r w:rsidR="00847A64" w:rsidRPr="001D696E">
      <w:rPr>
        <w:rStyle w:val="PageNumber"/>
        <w:sz w:val="18"/>
        <w:szCs w:val="16"/>
      </w:rPr>
      <w:fldChar w:fldCharType="separate"/>
    </w:r>
    <w:r w:rsidR="005E65E2">
      <w:rPr>
        <w:rStyle w:val="PageNumber"/>
        <w:noProof/>
        <w:sz w:val="18"/>
        <w:szCs w:val="16"/>
      </w:rPr>
      <w:t>3</w:t>
    </w:r>
    <w:r w:rsidR="00847A64" w:rsidRPr="001D696E">
      <w:rPr>
        <w:rStyle w:val="PageNumber"/>
        <w:sz w:val="18"/>
        <w:szCs w:val="16"/>
      </w:rPr>
      <w:fldChar w:fldCharType="end"/>
    </w:r>
    <w:r w:rsidR="00847A64" w:rsidRPr="001D696E">
      <w:rPr>
        <w:rStyle w:val="PageNumber"/>
        <w:sz w:val="18"/>
        <w:szCs w:val="16"/>
      </w:rPr>
      <w:t xml:space="preserve"> </w:t>
    </w:r>
    <w:r w:rsidR="00660A68"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02209" w:rsidTr="000E4FDE">
      <w:trPr>
        <w:jc w:val="center"/>
      </w:trPr>
      <w:tc>
        <w:tcPr>
          <w:tcW w:w="4889" w:type="dxa"/>
        </w:tcPr>
        <w:p w:rsidR="00C02209" w:rsidRDefault="00C02209" w:rsidP="00C0220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A1CFABF" wp14:editId="44CC6DB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02209" w:rsidRDefault="00C02209" w:rsidP="00C0220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1990653" wp14:editId="169494F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2209" w:rsidRPr="00EA15B3" w:rsidRDefault="00C02209" w:rsidP="00EA15B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96E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808"/>
    <w:rsid w:val="002B0CAC"/>
    <w:rsid w:val="002D5A15"/>
    <w:rsid w:val="002D5BDD"/>
    <w:rsid w:val="002E3D27"/>
    <w:rsid w:val="002F0890"/>
    <w:rsid w:val="002F2531"/>
    <w:rsid w:val="002F4967"/>
    <w:rsid w:val="002F4FE8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41A9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4AF6"/>
    <w:rsid w:val="00534372"/>
    <w:rsid w:val="00543DF8"/>
    <w:rsid w:val="00546101"/>
    <w:rsid w:val="00547377"/>
    <w:rsid w:val="00553DD7"/>
    <w:rsid w:val="005638CF"/>
    <w:rsid w:val="0056741E"/>
    <w:rsid w:val="0057325A"/>
    <w:rsid w:val="0057469A"/>
    <w:rsid w:val="00580814"/>
    <w:rsid w:val="00583A0B"/>
    <w:rsid w:val="005965E1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E65E2"/>
    <w:rsid w:val="005F2E09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0A68"/>
    <w:rsid w:val="0066286A"/>
    <w:rsid w:val="006829F3"/>
    <w:rsid w:val="006A518B"/>
    <w:rsid w:val="006B0590"/>
    <w:rsid w:val="006B4355"/>
    <w:rsid w:val="006B49DA"/>
    <w:rsid w:val="006C0F60"/>
    <w:rsid w:val="006C53F8"/>
    <w:rsid w:val="006C7CDE"/>
    <w:rsid w:val="006E70EA"/>
    <w:rsid w:val="006F7BEA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C437A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321"/>
    <w:rsid w:val="009C56B4"/>
    <w:rsid w:val="009D51A2"/>
    <w:rsid w:val="009E04A8"/>
    <w:rsid w:val="009E4AEC"/>
    <w:rsid w:val="009E5BD8"/>
    <w:rsid w:val="009E681E"/>
    <w:rsid w:val="00A016DA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370F"/>
    <w:rsid w:val="00AF70DA"/>
    <w:rsid w:val="00B019D3"/>
    <w:rsid w:val="00B02E5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2209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94D75"/>
    <w:rsid w:val="00CA3F44"/>
    <w:rsid w:val="00CA4E58"/>
    <w:rsid w:val="00CB3771"/>
    <w:rsid w:val="00CB44BF"/>
    <w:rsid w:val="00CB5153"/>
    <w:rsid w:val="00CE076A"/>
    <w:rsid w:val="00CE463D"/>
    <w:rsid w:val="00D0752B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DAB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517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013C"/>
    <w:rsid w:val="00F424BF"/>
    <w:rsid w:val="00F44FC3"/>
    <w:rsid w:val="00F46107"/>
    <w:rsid w:val="00F468C5"/>
    <w:rsid w:val="00F52F39"/>
    <w:rsid w:val="00F6184F"/>
    <w:rsid w:val="00F6304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22D1125-2EFE-4BBA-8DB9-1961C5BC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1D696E"/>
    <w:rPr>
      <w:b/>
      <w:sz w:val="28"/>
      <w:szCs w:val="22"/>
      <w:lang w:val="en-US" w:eastAsia="en-US"/>
    </w:rPr>
  </w:style>
  <w:style w:type="character" w:customStyle="1" w:styleId="hps">
    <w:name w:val="hps"/>
    <w:basedOn w:val="DefaultParagraphFont"/>
    <w:rsid w:val="001D696E"/>
  </w:style>
  <w:style w:type="character" w:customStyle="1" w:styleId="TableheadChar">
    <w:name w:val="Table_head Char"/>
    <w:basedOn w:val="DefaultParagraphFont"/>
    <w:link w:val="Tablehead"/>
    <w:uiPriority w:val="99"/>
    <w:locked/>
    <w:rsid w:val="001D696E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D696E"/>
    <w:rPr>
      <w:szCs w:val="22"/>
      <w:lang w:val="en-US" w:eastAsia="en-US"/>
    </w:rPr>
  </w:style>
  <w:style w:type="table" w:styleId="TableGrid">
    <w:name w:val="Table Grid"/>
    <w:basedOn w:val="TableNormal"/>
    <w:rsid w:val="001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02209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F301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6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6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CCV-C-00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7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6266-E1D4-4114-A855-486E0C90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126</TotalTime>
  <Pages>3</Pages>
  <Words>356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3029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Song, Xiaojing</cp:lastModifiedBy>
  <cp:revision>18</cp:revision>
  <cp:lastPrinted>2015-08-20T06:51:00Z</cp:lastPrinted>
  <dcterms:created xsi:type="dcterms:W3CDTF">2015-08-18T06:47:00Z</dcterms:created>
  <dcterms:modified xsi:type="dcterms:W3CDTF">2015-08-25T12:08:00Z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