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A4009C" w:rsidTr="00EA15B3">
        <w:tc>
          <w:tcPr>
            <w:tcW w:w="9889" w:type="dxa"/>
            <w:gridSpan w:val="3"/>
            <w:shd w:val="clear" w:color="auto" w:fill="auto"/>
          </w:tcPr>
          <w:p w:rsidR="00EA15B3" w:rsidRPr="00A4009C" w:rsidRDefault="008E38B4" w:rsidP="00117282">
            <w:pPr>
              <w:spacing w:before="0"/>
              <w:jc w:val="left"/>
              <w:rPr>
                <w:rFonts w:cstheme="minorHAnsi"/>
                <w:b/>
                <w:bCs/>
                <w:color w:val="808080"/>
                <w:sz w:val="28"/>
                <w:szCs w:val="28"/>
                <w:lang w:val="en-GB"/>
              </w:rPr>
            </w:pPr>
            <w:proofErr w:type="spellStart"/>
            <w:r w:rsidRPr="00A4009C">
              <w:rPr>
                <w:rFonts w:cstheme="minorHAnsi"/>
                <w:b/>
                <w:bCs/>
                <w:color w:val="808080"/>
                <w:sz w:val="28"/>
                <w:szCs w:val="28"/>
                <w:lang w:val="en-GB"/>
              </w:rPr>
              <w:t>Radiocommunication</w:t>
            </w:r>
            <w:proofErr w:type="spellEnd"/>
            <w:r w:rsidRPr="00A4009C">
              <w:rPr>
                <w:rFonts w:cstheme="minorHAnsi"/>
                <w:b/>
                <w:bCs/>
                <w:color w:val="808080"/>
                <w:sz w:val="28"/>
                <w:szCs w:val="28"/>
                <w:lang w:val="en-GB"/>
              </w:rPr>
              <w:t xml:space="preserve"> </w:t>
            </w:r>
            <w:r w:rsidR="00AF70DA" w:rsidRPr="00A4009C">
              <w:rPr>
                <w:rFonts w:cstheme="minorHAnsi"/>
                <w:b/>
                <w:bCs/>
                <w:color w:val="808080"/>
                <w:sz w:val="28"/>
                <w:szCs w:val="28"/>
                <w:lang w:val="en-GB"/>
              </w:rPr>
              <w:t>Bureau (BR)</w:t>
            </w:r>
          </w:p>
          <w:p w:rsidR="008E38B4" w:rsidRPr="00A4009C" w:rsidRDefault="008E38B4" w:rsidP="00117282">
            <w:pPr>
              <w:spacing w:before="0"/>
              <w:jc w:val="left"/>
              <w:rPr>
                <w:rFonts w:cstheme="minorHAnsi"/>
                <w:b/>
                <w:bCs/>
                <w:color w:val="808080"/>
                <w:sz w:val="28"/>
                <w:szCs w:val="28"/>
                <w:lang w:val="en-GB"/>
              </w:rPr>
            </w:pPr>
          </w:p>
          <w:p w:rsidR="008E38B4" w:rsidRPr="00A4009C" w:rsidRDefault="008E38B4" w:rsidP="00117282">
            <w:pPr>
              <w:spacing w:before="0"/>
              <w:jc w:val="left"/>
              <w:rPr>
                <w:rFonts w:cs="Times New Roman Bold"/>
                <w:b/>
                <w:bCs/>
                <w:color w:val="808080"/>
                <w:sz w:val="28"/>
                <w:szCs w:val="28"/>
                <w:lang w:val="en-GB"/>
              </w:rPr>
            </w:pPr>
          </w:p>
        </w:tc>
      </w:tr>
      <w:tr w:rsidR="00651777" w:rsidRPr="00A4009C" w:rsidTr="00034340">
        <w:tc>
          <w:tcPr>
            <w:tcW w:w="7054" w:type="dxa"/>
            <w:gridSpan w:val="2"/>
            <w:shd w:val="clear" w:color="auto" w:fill="auto"/>
          </w:tcPr>
          <w:p w:rsidR="00C76D7F" w:rsidRPr="00A4009C" w:rsidRDefault="00D21694" w:rsidP="00E17344">
            <w:pPr>
              <w:spacing w:before="0"/>
              <w:jc w:val="left"/>
              <w:rPr>
                <w:sz w:val="24"/>
                <w:szCs w:val="24"/>
                <w:lang w:val="fr-CH"/>
              </w:rPr>
            </w:pPr>
            <w:r w:rsidRPr="00A4009C">
              <w:rPr>
                <w:sz w:val="24"/>
                <w:szCs w:val="24"/>
                <w:lang w:val="fr-CH"/>
              </w:rPr>
              <w:t xml:space="preserve">Administrative </w:t>
            </w:r>
            <w:proofErr w:type="spellStart"/>
            <w:r w:rsidR="008B35A3" w:rsidRPr="00A4009C">
              <w:rPr>
                <w:sz w:val="24"/>
                <w:szCs w:val="24"/>
                <w:lang w:val="fr-CH"/>
              </w:rPr>
              <w:t>C</w:t>
            </w:r>
            <w:r w:rsidR="00C76D7F" w:rsidRPr="00A4009C">
              <w:rPr>
                <w:sz w:val="24"/>
                <w:szCs w:val="24"/>
                <w:lang w:val="fr-CH"/>
              </w:rPr>
              <w:t>ircular</w:t>
            </w:r>
            <w:proofErr w:type="spellEnd"/>
          </w:p>
          <w:p w:rsidR="00651777" w:rsidRPr="00A4009C" w:rsidRDefault="00E17344" w:rsidP="00977DA2">
            <w:pPr>
              <w:spacing w:before="0"/>
              <w:jc w:val="left"/>
              <w:rPr>
                <w:b/>
                <w:bCs/>
                <w:sz w:val="24"/>
                <w:szCs w:val="24"/>
                <w:lang w:val="fr-CH"/>
              </w:rPr>
            </w:pPr>
            <w:r w:rsidRPr="00A4009C">
              <w:rPr>
                <w:b/>
                <w:bCs/>
                <w:sz w:val="24"/>
                <w:szCs w:val="24"/>
                <w:lang w:val="fr-CH"/>
              </w:rPr>
              <w:t>CA</w:t>
            </w:r>
            <w:r w:rsidR="004A7970" w:rsidRPr="00A4009C">
              <w:rPr>
                <w:b/>
                <w:bCs/>
                <w:sz w:val="24"/>
                <w:szCs w:val="24"/>
                <w:lang w:val="fr-CH"/>
              </w:rPr>
              <w:t>CE</w:t>
            </w:r>
            <w:r w:rsidR="003836D4" w:rsidRPr="00A4009C">
              <w:rPr>
                <w:b/>
                <w:bCs/>
                <w:sz w:val="24"/>
                <w:szCs w:val="24"/>
                <w:lang w:val="fr-CH"/>
              </w:rPr>
              <w:t>/</w:t>
            </w:r>
            <w:r w:rsidR="00977DA2" w:rsidRPr="00A4009C">
              <w:rPr>
                <w:b/>
                <w:bCs/>
                <w:sz w:val="24"/>
                <w:szCs w:val="24"/>
                <w:lang w:val="fr-CH"/>
              </w:rPr>
              <w:t>701</w:t>
            </w:r>
          </w:p>
        </w:tc>
        <w:tc>
          <w:tcPr>
            <w:tcW w:w="2835" w:type="dxa"/>
            <w:shd w:val="clear" w:color="auto" w:fill="auto"/>
          </w:tcPr>
          <w:p w:rsidR="00651777" w:rsidRPr="00A4009C" w:rsidRDefault="00977DA2" w:rsidP="00034340">
            <w:pPr>
              <w:spacing w:before="0"/>
              <w:jc w:val="right"/>
              <w:rPr>
                <w:sz w:val="24"/>
                <w:szCs w:val="24"/>
                <w:lang w:val="en-GB"/>
              </w:rPr>
            </w:pPr>
            <w:r w:rsidRPr="00A4009C">
              <w:rPr>
                <w:sz w:val="24"/>
                <w:szCs w:val="24"/>
                <w:lang w:val="en-GB"/>
              </w:rPr>
              <w:t>4 December 2014</w:t>
            </w:r>
          </w:p>
        </w:tc>
      </w:tr>
      <w:tr w:rsidR="0037309C" w:rsidRPr="00A4009C" w:rsidTr="004D02EC">
        <w:tc>
          <w:tcPr>
            <w:tcW w:w="9889" w:type="dxa"/>
            <w:gridSpan w:val="3"/>
            <w:shd w:val="clear" w:color="auto" w:fill="auto"/>
          </w:tcPr>
          <w:p w:rsidR="0037309C" w:rsidRPr="00A4009C" w:rsidRDefault="0037309C" w:rsidP="006047E5">
            <w:pPr>
              <w:spacing w:before="0"/>
              <w:jc w:val="left"/>
              <w:rPr>
                <w:rFonts w:cs="Arial"/>
                <w:sz w:val="24"/>
                <w:szCs w:val="24"/>
                <w:lang w:val="en-GB"/>
              </w:rPr>
            </w:pPr>
          </w:p>
        </w:tc>
      </w:tr>
      <w:tr w:rsidR="0037309C" w:rsidRPr="00A4009C" w:rsidTr="00D374CD">
        <w:tc>
          <w:tcPr>
            <w:tcW w:w="9889" w:type="dxa"/>
            <w:gridSpan w:val="3"/>
            <w:shd w:val="clear" w:color="auto" w:fill="auto"/>
          </w:tcPr>
          <w:p w:rsidR="0037309C" w:rsidRPr="00A4009C" w:rsidRDefault="0037309C" w:rsidP="00D374CD">
            <w:pPr>
              <w:spacing w:before="0"/>
              <w:jc w:val="left"/>
              <w:rPr>
                <w:sz w:val="24"/>
                <w:szCs w:val="24"/>
              </w:rPr>
            </w:pPr>
          </w:p>
        </w:tc>
      </w:tr>
      <w:tr w:rsidR="0037309C" w:rsidRPr="00A4009C" w:rsidTr="004D02EC">
        <w:tc>
          <w:tcPr>
            <w:tcW w:w="9889" w:type="dxa"/>
            <w:gridSpan w:val="3"/>
            <w:shd w:val="clear" w:color="auto" w:fill="auto"/>
          </w:tcPr>
          <w:p w:rsidR="00D21694" w:rsidRPr="00A4009C" w:rsidRDefault="004A7970">
            <w:pPr>
              <w:spacing w:before="0"/>
              <w:jc w:val="left"/>
              <w:rPr>
                <w:b/>
                <w:bCs/>
                <w:sz w:val="24"/>
                <w:szCs w:val="24"/>
              </w:rPr>
            </w:pPr>
            <w:r w:rsidRPr="00A4009C">
              <w:rPr>
                <w:b/>
                <w:bCs/>
                <w:sz w:val="24"/>
                <w:szCs w:val="24"/>
              </w:rPr>
              <w:t xml:space="preserve">To Administrations of Member States of the ITU, </w:t>
            </w:r>
            <w:proofErr w:type="spellStart"/>
            <w:r w:rsidRPr="00A4009C">
              <w:rPr>
                <w:b/>
                <w:bCs/>
                <w:sz w:val="24"/>
                <w:szCs w:val="24"/>
              </w:rPr>
              <w:t>Radiocommunication</w:t>
            </w:r>
            <w:proofErr w:type="spellEnd"/>
            <w:r w:rsidRPr="00A4009C">
              <w:rPr>
                <w:b/>
                <w:bCs/>
                <w:sz w:val="24"/>
                <w:szCs w:val="24"/>
              </w:rPr>
              <w:t xml:space="preserve"> Sector Members</w:t>
            </w:r>
            <w:r w:rsidR="00BF5F50" w:rsidRPr="00A4009C">
              <w:rPr>
                <w:b/>
                <w:bCs/>
                <w:sz w:val="24"/>
                <w:szCs w:val="24"/>
              </w:rPr>
              <w:t xml:space="preserve"> </w:t>
            </w:r>
            <w:r w:rsidR="00DA16A9" w:rsidRPr="00A4009C">
              <w:rPr>
                <w:b/>
                <w:bCs/>
                <w:sz w:val="24"/>
                <w:szCs w:val="24"/>
              </w:rPr>
              <w:t>and</w:t>
            </w:r>
            <w:r w:rsidRPr="00A4009C">
              <w:rPr>
                <w:b/>
                <w:bCs/>
                <w:sz w:val="24"/>
                <w:szCs w:val="24"/>
              </w:rPr>
              <w:br/>
              <w:t xml:space="preserve">ITU-R Associates participating in the work of </w:t>
            </w:r>
            <w:proofErr w:type="spellStart"/>
            <w:r w:rsidRPr="00A4009C">
              <w:rPr>
                <w:b/>
                <w:bCs/>
                <w:sz w:val="24"/>
                <w:szCs w:val="24"/>
              </w:rPr>
              <w:t>Radiocommunication</w:t>
            </w:r>
            <w:proofErr w:type="spellEnd"/>
            <w:r w:rsidRPr="00A4009C">
              <w:rPr>
                <w:b/>
                <w:bCs/>
                <w:sz w:val="24"/>
                <w:szCs w:val="24"/>
              </w:rPr>
              <w:t xml:space="preserve"> Study Group </w:t>
            </w:r>
            <w:r w:rsidR="00977DA2" w:rsidRPr="00A4009C">
              <w:rPr>
                <w:b/>
                <w:bCs/>
                <w:sz w:val="24"/>
                <w:szCs w:val="24"/>
              </w:rPr>
              <w:t>6</w:t>
            </w:r>
          </w:p>
        </w:tc>
      </w:tr>
      <w:tr w:rsidR="0037309C" w:rsidRPr="00A4009C" w:rsidTr="004D02EC">
        <w:tc>
          <w:tcPr>
            <w:tcW w:w="9889" w:type="dxa"/>
            <w:gridSpan w:val="3"/>
            <w:shd w:val="clear" w:color="auto" w:fill="auto"/>
          </w:tcPr>
          <w:p w:rsidR="0037309C" w:rsidRPr="00A4009C" w:rsidRDefault="0037309C" w:rsidP="006047E5">
            <w:pPr>
              <w:spacing w:before="0"/>
              <w:jc w:val="left"/>
              <w:rPr>
                <w:sz w:val="24"/>
                <w:szCs w:val="24"/>
              </w:rPr>
            </w:pPr>
          </w:p>
        </w:tc>
      </w:tr>
      <w:tr w:rsidR="0037309C" w:rsidRPr="00A4009C" w:rsidTr="004D02EC">
        <w:tc>
          <w:tcPr>
            <w:tcW w:w="9889" w:type="dxa"/>
            <w:gridSpan w:val="3"/>
            <w:shd w:val="clear" w:color="auto" w:fill="auto"/>
          </w:tcPr>
          <w:p w:rsidR="0037309C" w:rsidRPr="00A4009C" w:rsidRDefault="0037309C" w:rsidP="006047E5">
            <w:pPr>
              <w:spacing w:before="0"/>
              <w:jc w:val="left"/>
              <w:rPr>
                <w:sz w:val="24"/>
                <w:szCs w:val="24"/>
              </w:rPr>
            </w:pPr>
          </w:p>
        </w:tc>
      </w:tr>
      <w:tr w:rsidR="00B4054B" w:rsidRPr="00A4009C" w:rsidTr="0037309C">
        <w:tc>
          <w:tcPr>
            <w:tcW w:w="1526" w:type="dxa"/>
            <w:shd w:val="clear" w:color="auto" w:fill="auto"/>
          </w:tcPr>
          <w:p w:rsidR="00B4054B" w:rsidRPr="00A4009C" w:rsidRDefault="00B4054B" w:rsidP="006A0053">
            <w:pPr>
              <w:spacing w:before="0"/>
              <w:jc w:val="left"/>
              <w:rPr>
                <w:sz w:val="24"/>
                <w:szCs w:val="24"/>
                <w:lang w:val="en-GB"/>
              </w:rPr>
            </w:pPr>
            <w:r w:rsidRPr="00A4009C">
              <w:rPr>
                <w:sz w:val="24"/>
                <w:szCs w:val="24"/>
              </w:rPr>
              <w:t>Subject:</w:t>
            </w:r>
          </w:p>
        </w:tc>
        <w:tc>
          <w:tcPr>
            <w:tcW w:w="8363" w:type="dxa"/>
            <w:gridSpan w:val="2"/>
            <w:vMerge w:val="restart"/>
            <w:shd w:val="clear" w:color="auto" w:fill="auto"/>
          </w:tcPr>
          <w:p w:rsidR="00B4054B" w:rsidRPr="00A4009C" w:rsidRDefault="004A7970">
            <w:pPr>
              <w:spacing w:before="0"/>
              <w:jc w:val="left"/>
              <w:rPr>
                <w:b/>
                <w:bCs/>
                <w:sz w:val="24"/>
                <w:szCs w:val="24"/>
              </w:rPr>
            </w:pPr>
            <w:proofErr w:type="spellStart"/>
            <w:r w:rsidRPr="00A4009C">
              <w:rPr>
                <w:b/>
                <w:bCs/>
                <w:sz w:val="24"/>
                <w:szCs w:val="24"/>
              </w:rPr>
              <w:t>Radiocommunication</w:t>
            </w:r>
            <w:proofErr w:type="spellEnd"/>
            <w:r w:rsidRPr="00A4009C">
              <w:rPr>
                <w:b/>
                <w:bCs/>
                <w:sz w:val="24"/>
                <w:szCs w:val="24"/>
              </w:rPr>
              <w:t xml:space="preserve"> Study Group </w:t>
            </w:r>
            <w:r w:rsidR="00977DA2" w:rsidRPr="00A4009C">
              <w:rPr>
                <w:b/>
                <w:bCs/>
                <w:sz w:val="24"/>
                <w:szCs w:val="24"/>
              </w:rPr>
              <w:t>6 (Broadcasting service)</w:t>
            </w:r>
          </w:p>
          <w:p w:rsidR="004A7970" w:rsidRPr="006E301A" w:rsidRDefault="004A7970">
            <w:pPr>
              <w:keepNext/>
              <w:keepLines/>
              <w:numPr>
                <w:ilvl w:val="0"/>
                <w:numId w:val="2"/>
              </w:numPr>
              <w:tabs>
                <w:tab w:val="clear" w:pos="794"/>
                <w:tab w:val="clear" w:pos="1191"/>
                <w:tab w:val="clear" w:pos="1588"/>
                <w:tab w:val="left" w:pos="1418"/>
              </w:tabs>
              <w:spacing w:before="240" w:after="120" w:line="240" w:lineRule="auto"/>
              <w:ind w:left="317" w:right="-284" w:hanging="317"/>
              <w:jc w:val="left"/>
              <w:rPr>
                <w:rFonts w:asciiTheme="minorHAnsi" w:hAnsiTheme="minorHAnsi" w:cstheme="minorHAnsi"/>
                <w:b/>
                <w:sz w:val="24"/>
                <w:szCs w:val="24"/>
              </w:rPr>
            </w:pPr>
            <w:r w:rsidRPr="006E301A">
              <w:rPr>
                <w:rFonts w:asciiTheme="minorHAnsi" w:hAnsiTheme="minorHAnsi" w:cstheme="minorHAnsi"/>
                <w:b/>
                <w:sz w:val="24"/>
                <w:szCs w:val="24"/>
              </w:rPr>
              <w:t xml:space="preserve">Proposed adoption of </w:t>
            </w:r>
            <w:r w:rsidR="00977DA2" w:rsidRPr="00A4009C">
              <w:rPr>
                <w:rFonts w:asciiTheme="minorHAnsi" w:hAnsiTheme="minorHAnsi" w:cstheme="minorHAnsi"/>
                <w:b/>
                <w:sz w:val="24"/>
                <w:szCs w:val="24"/>
              </w:rPr>
              <w:t>2</w:t>
            </w:r>
            <w:r w:rsidR="00977DA2" w:rsidRPr="006E301A">
              <w:rPr>
                <w:rFonts w:asciiTheme="minorHAnsi" w:hAnsiTheme="minorHAnsi" w:cstheme="minorHAnsi"/>
                <w:b/>
                <w:sz w:val="24"/>
                <w:szCs w:val="24"/>
              </w:rPr>
              <w:t xml:space="preserve"> </w:t>
            </w:r>
            <w:r w:rsidRPr="006E301A">
              <w:rPr>
                <w:rFonts w:asciiTheme="minorHAnsi" w:hAnsiTheme="minorHAnsi" w:cstheme="minorHAnsi"/>
                <w:b/>
                <w:sz w:val="24"/>
                <w:szCs w:val="24"/>
              </w:rPr>
              <w:t>draft new ITU-R Recommendations and</w:t>
            </w:r>
            <w:r w:rsidR="00BF5F50" w:rsidRPr="00A4009C">
              <w:rPr>
                <w:rFonts w:asciiTheme="minorHAnsi" w:hAnsiTheme="minorHAnsi" w:cstheme="minorHAnsi"/>
                <w:b/>
                <w:sz w:val="24"/>
                <w:szCs w:val="24"/>
              </w:rPr>
              <w:t xml:space="preserve"> </w:t>
            </w:r>
            <w:r w:rsidR="00977DA2" w:rsidRPr="00A4009C">
              <w:rPr>
                <w:rFonts w:asciiTheme="minorHAnsi" w:hAnsiTheme="minorHAnsi" w:cstheme="minorHAnsi"/>
                <w:b/>
                <w:sz w:val="24"/>
                <w:szCs w:val="24"/>
              </w:rPr>
              <w:t>8</w:t>
            </w:r>
            <w:r w:rsidR="00977DA2" w:rsidRPr="006E301A">
              <w:rPr>
                <w:rFonts w:asciiTheme="minorHAnsi" w:hAnsiTheme="minorHAnsi" w:cstheme="minorHAnsi"/>
                <w:b/>
                <w:sz w:val="24"/>
                <w:szCs w:val="24"/>
              </w:rPr>
              <w:t xml:space="preserve"> </w:t>
            </w:r>
            <w:r w:rsidRPr="006E301A">
              <w:rPr>
                <w:rFonts w:asciiTheme="minorHAnsi" w:hAnsiTheme="minorHAnsi" w:cstheme="minorHAnsi"/>
                <w:b/>
                <w:sz w:val="24"/>
                <w:szCs w:val="24"/>
              </w:rPr>
              <w:t>draft</w:t>
            </w:r>
            <w:r w:rsidR="00BF5F50" w:rsidRPr="00A4009C">
              <w:rPr>
                <w:rFonts w:asciiTheme="minorHAnsi" w:hAnsiTheme="minorHAnsi" w:cstheme="minorHAnsi"/>
                <w:b/>
                <w:sz w:val="24"/>
                <w:szCs w:val="24"/>
              </w:rPr>
              <w:br/>
            </w:r>
            <w:r w:rsidRPr="006E301A">
              <w:rPr>
                <w:rFonts w:asciiTheme="minorHAnsi" w:hAnsiTheme="minorHAnsi" w:cstheme="minorHAnsi"/>
                <w:b/>
                <w:sz w:val="24"/>
                <w:szCs w:val="24"/>
              </w:rPr>
              <w:t>revised</w:t>
            </w:r>
            <w:r w:rsidR="00BF5F50" w:rsidRPr="00A4009C">
              <w:rPr>
                <w:rFonts w:asciiTheme="minorHAnsi" w:hAnsiTheme="minorHAnsi" w:cstheme="minorHAnsi"/>
                <w:b/>
                <w:sz w:val="24"/>
                <w:szCs w:val="24"/>
              </w:rPr>
              <w:t xml:space="preserve"> </w:t>
            </w:r>
            <w:r w:rsidRPr="006E301A">
              <w:rPr>
                <w:rFonts w:asciiTheme="minorHAnsi" w:hAnsiTheme="minorHAnsi" w:cstheme="minorHAnsi"/>
                <w:b/>
                <w:sz w:val="24"/>
                <w:szCs w:val="24"/>
              </w:rPr>
              <w:t>ITU-R Recommendations and their simultaneous approval</w:t>
            </w:r>
            <w:r w:rsidR="00BF5F50" w:rsidRPr="00A4009C">
              <w:rPr>
                <w:rFonts w:asciiTheme="minorHAnsi" w:hAnsiTheme="minorHAnsi" w:cstheme="minorHAnsi"/>
                <w:b/>
                <w:sz w:val="24"/>
                <w:szCs w:val="24"/>
              </w:rPr>
              <w:br/>
            </w:r>
            <w:r w:rsidRPr="006E301A">
              <w:rPr>
                <w:rFonts w:asciiTheme="minorHAnsi" w:hAnsiTheme="minorHAnsi" w:cstheme="minorHAnsi"/>
                <w:b/>
                <w:sz w:val="24"/>
                <w:szCs w:val="24"/>
              </w:rPr>
              <w:t>by correspondence</w:t>
            </w:r>
            <w:r w:rsidR="00A45D9A" w:rsidRPr="00A4009C">
              <w:rPr>
                <w:rFonts w:asciiTheme="minorHAnsi" w:hAnsiTheme="minorHAnsi" w:cstheme="minorHAnsi"/>
                <w:b/>
                <w:sz w:val="24"/>
                <w:szCs w:val="24"/>
              </w:rPr>
              <w:t xml:space="preserve"> </w:t>
            </w:r>
            <w:r w:rsidRPr="006E301A">
              <w:rPr>
                <w:rFonts w:asciiTheme="minorHAnsi" w:hAnsiTheme="minorHAnsi" w:cstheme="minorHAnsi"/>
                <w:b/>
                <w:sz w:val="24"/>
                <w:szCs w:val="24"/>
              </w:rPr>
              <w:t>in accordance with § 10.3 of Resolution ITU</w:t>
            </w:r>
            <w:r w:rsidRPr="006E301A">
              <w:rPr>
                <w:rFonts w:asciiTheme="minorHAnsi" w:hAnsiTheme="minorHAnsi" w:cstheme="minorHAnsi"/>
                <w:b/>
                <w:sz w:val="24"/>
                <w:szCs w:val="24"/>
              </w:rPr>
              <w:noBreakHyphen/>
              <w:t>R 1-6</w:t>
            </w:r>
            <w:r w:rsidR="00BF5F50" w:rsidRPr="00A4009C">
              <w:rPr>
                <w:rFonts w:asciiTheme="minorHAnsi" w:hAnsiTheme="minorHAnsi" w:cstheme="minorHAnsi"/>
                <w:b/>
                <w:sz w:val="24"/>
                <w:szCs w:val="24"/>
              </w:rPr>
              <w:br/>
            </w:r>
            <w:r w:rsidRPr="006E301A">
              <w:rPr>
                <w:rFonts w:asciiTheme="minorHAnsi" w:hAnsiTheme="minorHAnsi" w:cstheme="minorHAnsi"/>
                <w:b/>
                <w:sz w:val="24"/>
                <w:szCs w:val="24"/>
              </w:rPr>
              <w:t>(Procedure for the simultaneous adoption and approval by correspondence)</w:t>
            </w:r>
          </w:p>
          <w:p w:rsidR="004A7970" w:rsidRPr="00A4009C" w:rsidRDefault="004A7970">
            <w:pPr>
              <w:pStyle w:val="ListParagraph"/>
              <w:numPr>
                <w:ilvl w:val="0"/>
                <w:numId w:val="2"/>
              </w:numPr>
              <w:tabs>
                <w:tab w:val="clear" w:pos="1191"/>
                <w:tab w:val="clear" w:pos="1588"/>
                <w:tab w:val="clear" w:pos="1985"/>
                <w:tab w:val="left" w:pos="1418"/>
              </w:tabs>
              <w:ind w:left="317" w:hanging="317"/>
              <w:rPr>
                <w:szCs w:val="24"/>
              </w:rPr>
            </w:pPr>
            <w:r w:rsidRPr="006E301A">
              <w:rPr>
                <w:rFonts w:asciiTheme="minorHAnsi" w:hAnsiTheme="minorHAnsi" w:cstheme="minorHAnsi"/>
                <w:b/>
                <w:szCs w:val="24"/>
              </w:rPr>
              <w:t xml:space="preserve">Proposed </w:t>
            </w:r>
            <w:r w:rsidR="00090022" w:rsidRPr="00A4009C">
              <w:rPr>
                <w:rFonts w:asciiTheme="minorHAnsi" w:hAnsiTheme="minorHAnsi" w:cstheme="minorHAnsi"/>
                <w:b/>
                <w:szCs w:val="24"/>
              </w:rPr>
              <w:t xml:space="preserve">approval of </w:t>
            </w:r>
            <w:r w:rsidRPr="006E301A">
              <w:rPr>
                <w:rFonts w:asciiTheme="minorHAnsi" w:hAnsiTheme="minorHAnsi" w:cstheme="minorHAnsi"/>
                <w:b/>
                <w:szCs w:val="24"/>
              </w:rPr>
              <w:t xml:space="preserve">suppression of </w:t>
            </w:r>
            <w:r w:rsidR="00977DA2" w:rsidRPr="00A4009C">
              <w:rPr>
                <w:rFonts w:asciiTheme="minorHAnsi" w:hAnsiTheme="minorHAnsi" w:cstheme="minorHAnsi"/>
                <w:b/>
                <w:szCs w:val="24"/>
              </w:rPr>
              <w:t>2</w:t>
            </w:r>
            <w:r w:rsidR="00977DA2" w:rsidRPr="006E301A">
              <w:rPr>
                <w:rFonts w:asciiTheme="minorHAnsi" w:hAnsiTheme="minorHAnsi" w:cstheme="minorHAnsi"/>
                <w:b/>
                <w:szCs w:val="24"/>
              </w:rPr>
              <w:t xml:space="preserve"> </w:t>
            </w:r>
            <w:r w:rsidRPr="006E301A">
              <w:rPr>
                <w:rFonts w:asciiTheme="minorHAnsi" w:hAnsiTheme="minorHAnsi" w:cstheme="minorHAnsi"/>
                <w:b/>
                <w:szCs w:val="24"/>
              </w:rPr>
              <w:t>ITU-R Recommendations</w:t>
            </w:r>
          </w:p>
        </w:tc>
      </w:tr>
      <w:tr w:rsidR="00B4054B" w:rsidRPr="00A4009C" w:rsidTr="006A0053">
        <w:tc>
          <w:tcPr>
            <w:tcW w:w="1526" w:type="dxa"/>
            <w:shd w:val="clear" w:color="auto" w:fill="auto"/>
          </w:tcPr>
          <w:p w:rsidR="00B4054B" w:rsidRPr="00A4009C" w:rsidRDefault="00B4054B" w:rsidP="006A0053">
            <w:pPr>
              <w:spacing w:before="0"/>
              <w:jc w:val="left"/>
              <w:rPr>
                <w:b/>
                <w:bCs/>
                <w:sz w:val="24"/>
                <w:szCs w:val="24"/>
                <w:lang w:val="en-GB"/>
              </w:rPr>
            </w:pPr>
          </w:p>
        </w:tc>
        <w:tc>
          <w:tcPr>
            <w:tcW w:w="8363" w:type="dxa"/>
            <w:gridSpan w:val="2"/>
            <w:vMerge/>
            <w:shd w:val="clear" w:color="auto" w:fill="auto"/>
          </w:tcPr>
          <w:p w:rsidR="00B4054B" w:rsidRPr="00A4009C" w:rsidRDefault="00B4054B" w:rsidP="006A0053">
            <w:pPr>
              <w:spacing w:before="0"/>
              <w:rPr>
                <w:b/>
                <w:bCs/>
                <w:sz w:val="24"/>
                <w:szCs w:val="24"/>
                <w:lang w:val="en-GB"/>
              </w:rPr>
            </w:pPr>
          </w:p>
        </w:tc>
      </w:tr>
      <w:tr w:rsidR="00B4054B" w:rsidRPr="00A4009C" w:rsidTr="006A0053">
        <w:tc>
          <w:tcPr>
            <w:tcW w:w="1526" w:type="dxa"/>
            <w:shd w:val="clear" w:color="auto" w:fill="auto"/>
          </w:tcPr>
          <w:p w:rsidR="00B4054B" w:rsidRPr="00A4009C" w:rsidRDefault="00B4054B" w:rsidP="006A0053">
            <w:pPr>
              <w:spacing w:before="0"/>
              <w:jc w:val="left"/>
              <w:rPr>
                <w:b/>
                <w:bCs/>
                <w:sz w:val="24"/>
                <w:szCs w:val="24"/>
                <w:lang w:val="en-GB"/>
              </w:rPr>
            </w:pPr>
          </w:p>
        </w:tc>
        <w:tc>
          <w:tcPr>
            <w:tcW w:w="8363" w:type="dxa"/>
            <w:gridSpan w:val="2"/>
            <w:vMerge/>
            <w:shd w:val="clear" w:color="auto" w:fill="auto"/>
          </w:tcPr>
          <w:p w:rsidR="00B4054B" w:rsidRPr="00A4009C" w:rsidRDefault="00B4054B" w:rsidP="006A0053">
            <w:pPr>
              <w:spacing w:before="0"/>
              <w:rPr>
                <w:b/>
                <w:bCs/>
                <w:sz w:val="24"/>
                <w:szCs w:val="24"/>
                <w:lang w:val="en-GB"/>
              </w:rPr>
            </w:pPr>
          </w:p>
        </w:tc>
      </w:tr>
      <w:tr w:rsidR="00C51E92" w:rsidRPr="00A4009C" w:rsidTr="00F72DBF">
        <w:tc>
          <w:tcPr>
            <w:tcW w:w="9889" w:type="dxa"/>
            <w:gridSpan w:val="3"/>
            <w:shd w:val="clear" w:color="auto" w:fill="auto"/>
          </w:tcPr>
          <w:p w:rsidR="00C51E92" w:rsidRPr="00A4009C" w:rsidRDefault="00C51E92" w:rsidP="00F72DBF">
            <w:pPr>
              <w:spacing w:before="0"/>
              <w:jc w:val="left"/>
              <w:rPr>
                <w:b/>
                <w:bCs/>
                <w:sz w:val="24"/>
                <w:szCs w:val="24"/>
              </w:rPr>
            </w:pPr>
          </w:p>
        </w:tc>
      </w:tr>
      <w:tr w:rsidR="00C51E92" w:rsidRPr="00A4009C" w:rsidTr="00F72DBF">
        <w:tc>
          <w:tcPr>
            <w:tcW w:w="9889" w:type="dxa"/>
            <w:gridSpan w:val="3"/>
            <w:shd w:val="clear" w:color="auto" w:fill="auto"/>
          </w:tcPr>
          <w:p w:rsidR="00C51E92" w:rsidRPr="00A4009C" w:rsidRDefault="00C51E92" w:rsidP="00F72DBF">
            <w:pPr>
              <w:spacing w:before="0"/>
              <w:jc w:val="left"/>
              <w:rPr>
                <w:b/>
                <w:bCs/>
                <w:sz w:val="24"/>
                <w:szCs w:val="24"/>
              </w:rPr>
            </w:pPr>
          </w:p>
        </w:tc>
      </w:tr>
    </w:tbl>
    <w:p w:rsidR="004A7970" w:rsidRPr="00A4009C" w:rsidRDefault="004A7970">
      <w:pPr>
        <w:pStyle w:val="Normalaftertitle"/>
        <w:spacing w:before="160"/>
        <w:rPr>
          <w:sz w:val="24"/>
          <w:szCs w:val="24"/>
        </w:rPr>
      </w:pPr>
      <w:r w:rsidRPr="00A4009C">
        <w:rPr>
          <w:sz w:val="24"/>
          <w:szCs w:val="24"/>
        </w:rPr>
        <w:t xml:space="preserve">At the meeting of </w:t>
      </w:r>
      <w:proofErr w:type="spellStart"/>
      <w:r w:rsidRPr="00A4009C">
        <w:rPr>
          <w:sz w:val="24"/>
          <w:szCs w:val="24"/>
        </w:rPr>
        <w:t>Radiocommunication</w:t>
      </w:r>
      <w:proofErr w:type="spellEnd"/>
      <w:r w:rsidRPr="00A4009C">
        <w:rPr>
          <w:sz w:val="24"/>
          <w:szCs w:val="24"/>
        </w:rPr>
        <w:t xml:space="preserve"> Study Group </w:t>
      </w:r>
      <w:r w:rsidR="00977DA2" w:rsidRPr="00A4009C">
        <w:rPr>
          <w:sz w:val="24"/>
          <w:szCs w:val="24"/>
        </w:rPr>
        <w:t>6</w:t>
      </w:r>
      <w:r w:rsidRPr="00A4009C">
        <w:rPr>
          <w:sz w:val="24"/>
          <w:szCs w:val="24"/>
        </w:rPr>
        <w:t>, held</w:t>
      </w:r>
      <w:r w:rsidR="00977DA2" w:rsidRPr="00A4009C">
        <w:rPr>
          <w:sz w:val="24"/>
          <w:szCs w:val="24"/>
        </w:rPr>
        <w:t xml:space="preserve"> on 21 November 2014</w:t>
      </w:r>
      <w:r w:rsidRPr="00A4009C">
        <w:rPr>
          <w:sz w:val="24"/>
          <w:szCs w:val="24"/>
        </w:rPr>
        <w:t xml:space="preserve">, the Study Group decided to seek adoption of </w:t>
      </w:r>
      <w:r w:rsidR="00977DA2" w:rsidRPr="00A4009C">
        <w:rPr>
          <w:sz w:val="24"/>
          <w:szCs w:val="24"/>
        </w:rPr>
        <w:t xml:space="preserve">2 </w:t>
      </w:r>
      <w:r w:rsidRPr="00A4009C">
        <w:rPr>
          <w:sz w:val="24"/>
          <w:szCs w:val="24"/>
        </w:rPr>
        <w:t xml:space="preserve">draft new ITU-R Recommendations </w:t>
      </w:r>
      <w:r w:rsidRPr="00A4009C">
        <w:rPr>
          <w:bCs/>
          <w:sz w:val="24"/>
          <w:szCs w:val="24"/>
        </w:rPr>
        <w:t xml:space="preserve">and </w:t>
      </w:r>
      <w:r w:rsidR="00977DA2" w:rsidRPr="00A4009C">
        <w:rPr>
          <w:bCs/>
          <w:sz w:val="24"/>
          <w:szCs w:val="24"/>
        </w:rPr>
        <w:t>8</w:t>
      </w:r>
      <w:r w:rsidRPr="00A4009C">
        <w:rPr>
          <w:bCs/>
          <w:sz w:val="24"/>
          <w:szCs w:val="24"/>
        </w:rPr>
        <w:t xml:space="preserve"> draft revised ITU-R Recommendations</w:t>
      </w:r>
      <w:r w:rsidRPr="00A4009C">
        <w:rPr>
          <w:sz w:val="24"/>
          <w:szCs w:val="24"/>
        </w:rPr>
        <w:t xml:space="preserve"> by correspondence (§ 10.2.3 of Resolution ITU-R 1-6) and further decided to apply the procedure for simultaneous adoption and approval by correspondence (PSAA), (§ 10.3 of Resolution ITU</w:t>
      </w:r>
      <w:r w:rsidRPr="00A4009C">
        <w:rPr>
          <w:sz w:val="24"/>
          <w:szCs w:val="24"/>
        </w:rPr>
        <w:noBreakHyphen/>
        <w:t>R 1</w:t>
      </w:r>
      <w:r w:rsidRPr="00A4009C">
        <w:rPr>
          <w:sz w:val="24"/>
          <w:szCs w:val="24"/>
        </w:rPr>
        <w:noBreakHyphen/>
        <w:t xml:space="preserve">6). The titles and summaries of the draft Recommendations are given in Annex 1. Furthermore, the Study Group proposed </w:t>
      </w:r>
      <w:r w:rsidR="00FF7CE7" w:rsidRPr="00A4009C">
        <w:rPr>
          <w:sz w:val="24"/>
          <w:szCs w:val="24"/>
        </w:rPr>
        <w:t xml:space="preserve">approval of </w:t>
      </w:r>
      <w:r w:rsidRPr="00A4009C">
        <w:rPr>
          <w:sz w:val="24"/>
          <w:szCs w:val="24"/>
        </w:rPr>
        <w:t xml:space="preserve">suppression of </w:t>
      </w:r>
      <w:r w:rsidR="00977DA2" w:rsidRPr="00A4009C">
        <w:rPr>
          <w:sz w:val="24"/>
          <w:szCs w:val="24"/>
        </w:rPr>
        <w:t xml:space="preserve">2 </w:t>
      </w:r>
      <w:r w:rsidRPr="00A4009C">
        <w:rPr>
          <w:sz w:val="24"/>
          <w:szCs w:val="24"/>
        </w:rPr>
        <w:t>Recommendations listed in Annex 2.</w:t>
      </w:r>
    </w:p>
    <w:p w:rsidR="004A7970" w:rsidRPr="00A4009C" w:rsidRDefault="004A7970">
      <w:pPr>
        <w:rPr>
          <w:sz w:val="24"/>
          <w:szCs w:val="24"/>
        </w:rPr>
      </w:pPr>
      <w:r w:rsidRPr="00A4009C">
        <w:rPr>
          <w:sz w:val="24"/>
          <w:szCs w:val="24"/>
        </w:rPr>
        <w:t>The consideration period shall extend for 2 months ending on</w:t>
      </w:r>
      <w:r w:rsidR="008D5DEC">
        <w:rPr>
          <w:sz w:val="24"/>
          <w:szCs w:val="24"/>
        </w:rPr>
        <w:t xml:space="preserve"> </w:t>
      </w:r>
      <w:r w:rsidR="00977DA2" w:rsidRPr="008D5DEC">
        <w:rPr>
          <w:sz w:val="24"/>
          <w:szCs w:val="24"/>
          <w:u w:val="single"/>
        </w:rPr>
        <w:t>4 February 2015</w:t>
      </w:r>
      <w:r w:rsidRPr="00A4009C">
        <w:rPr>
          <w:sz w:val="24"/>
          <w:szCs w:val="24"/>
        </w:rPr>
        <w:t xml:space="preserve">. If within this period no objections are received from Member States, the draft Recommendations shall be considered to be adopted by Study Group </w:t>
      </w:r>
      <w:r w:rsidR="00977DA2" w:rsidRPr="00A4009C">
        <w:rPr>
          <w:sz w:val="24"/>
          <w:szCs w:val="24"/>
        </w:rPr>
        <w:t>6</w:t>
      </w:r>
      <w:r w:rsidRPr="00A4009C">
        <w:rPr>
          <w:sz w:val="24"/>
          <w:szCs w:val="24"/>
        </w:rPr>
        <w:t xml:space="preserve">. Furthermore, since the PSAA procedure has been followed, the draft Recommendations shall also be considered as approved. </w:t>
      </w:r>
    </w:p>
    <w:p w:rsidR="004A7970" w:rsidRPr="00A4009C" w:rsidRDefault="004A7970" w:rsidP="00BF5F50">
      <w:pPr>
        <w:tabs>
          <w:tab w:val="left" w:pos="0"/>
          <w:tab w:val="left" w:pos="1134"/>
          <w:tab w:val="left" w:pos="3119"/>
        </w:tabs>
        <w:spacing w:after="240"/>
        <w:rPr>
          <w:sz w:val="24"/>
          <w:szCs w:val="24"/>
        </w:rPr>
      </w:pPr>
      <w:r w:rsidRPr="00A4009C">
        <w:rPr>
          <w:sz w:val="24"/>
          <w:szCs w:val="24"/>
        </w:rPr>
        <w:t>Any Member State who objects to the adoption of a draft Recommendation</w:t>
      </w:r>
      <w:r w:rsidR="00090022" w:rsidRPr="00A4009C">
        <w:rPr>
          <w:sz w:val="24"/>
          <w:szCs w:val="24"/>
        </w:rPr>
        <w:t xml:space="preserve"> or approval of the suppression of a Recommendation</w:t>
      </w:r>
      <w:r w:rsidRPr="00A4009C">
        <w:rPr>
          <w:sz w:val="24"/>
          <w:szCs w:val="24"/>
        </w:rPr>
        <w:t xml:space="preserve"> is requested to inform the Director and the Chairman of the Study Group of the reasons for the objection.</w:t>
      </w:r>
    </w:p>
    <w:p w:rsidR="004A7970" w:rsidRPr="00A4009C" w:rsidRDefault="004A7970">
      <w:pPr>
        <w:rPr>
          <w:sz w:val="24"/>
          <w:szCs w:val="24"/>
        </w:rPr>
      </w:pPr>
      <w:r w:rsidRPr="00A4009C">
        <w:rPr>
          <w:sz w:val="24"/>
          <w:szCs w:val="24"/>
        </w:rPr>
        <w:t xml:space="preserve">After the above-mentioned deadline, the results of the PSAA procedure will be announced in an Administrative Circular and the approved Recommendations will be published as soon as practicable (see </w:t>
      </w:r>
      <w:hyperlink r:id="rId8" w:history="1">
        <w:r w:rsidRPr="00A4009C">
          <w:rPr>
            <w:rStyle w:val="Hyperlink"/>
            <w:sz w:val="24"/>
            <w:szCs w:val="24"/>
          </w:rPr>
          <w:t>http://www.itu.int/pub/R-REC</w:t>
        </w:r>
      </w:hyperlink>
      <w:r w:rsidRPr="00A4009C">
        <w:rPr>
          <w:sz w:val="24"/>
          <w:szCs w:val="24"/>
        </w:rPr>
        <w:t xml:space="preserve">). </w:t>
      </w:r>
    </w:p>
    <w:p w:rsidR="004A7970" w:rsidRPr="00A4009C" w:rsidRDefault="004A7970" w:rsidP="00BF5F50">
      <w:pPr>
        <w:rPr>
          <w:sz w:val="24"/>
          <w:szCs w:val="24"/>
        </w:rPr>
      </w:pPr>
      <w:r w:rsidRPr="00A4009C">
        <w:br w:type="page"/>
      </w:r>
      <w:r w:rsidRPr="00A4009C">
        <w:rPr>
          <w:sz w:val="24"/>
          <w:szCs w:val="24"/>
        </w:rP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A4009C">
        <w:rPr>
          <w:sz w:val="24"/>
          <w:szCs w:val="24"/>
        </w:rPr>
        <w:noBreakHyphen/>
        <w:t>T/ITU</w:t>
      </w:r>
      <w:r w:rsidRPr="00A4009C">
        <w:rPr>
          <w:sz w:val="24"/>
          <w:szCs w:val="24"/>
        </w:rPr>
        <w:noBreakHyphen/>
        <w:t>R/ISO/IEC is available at</w:t>
      </w:r>
      <w:r w:rsidR="00B57F3C" w:rsidRPr="00A4009C">
        <w:rPr>
          <w:rStyle w:val="Hyperlink"/>
          <w:sz w:val="24"/>
          <w:szCs w:val="24"/>
        </w:rPr>
        <w:t xml:space="preserve"> </w:t>
      </w:r>
      <w:hyperlink r:id="rId9" w:history="1">
        <w:r w:rsidR="00B57F3C" w:rsidRPr="00A4009C">
          <w:rPr>
            <w:rStyle w:val="Hyperlink"/>
            <w:sz w:val="24"/>
            <w:szCs w:val="24"/>
          </w:rPr>
          <w:t>http://www.itu.int/en/ITU-T/ipr/Pages/policy.aspx</w:t>
        </w:r>
      </w:hyperlink>
      <w:r w:rsidRPr="00A4009C">
        <w:rPr>
          <w:sz w:val="24"/>
          <w:szCs w:val="24"/>
        </w:rPr>
        <w:t>.</w:t>
      </w:r>
    </w:p>
    <w:p w:rsidR="004A7970" w:rsidRPr="00A4009C" w:rsidRDefault="004A7970" w:rsidP="00904ECB">
      <w:pPr>
        <w:spacing w:before="1418" w:line="240" w:lineRule="auto"/>
        <w:jc w:val="left"/>
        <w:rPr>
          <w:rFonts w:asciiTheme="minorHAnsi" w:hAnsiTheme="minorHAnsi" w:cstheme="minorHAnsi"/>
          <w:sz w:val="24"/>
          <w:szCs w:val="24"/>
        </w:rPr>
      </w:pPr>
      <w:r w:rsidRPr="00A4009C">
        <w:rPr>
          <w:rFonts w:asciiTheme="minorHAnsi" w:hAnsiTheme="minorHAnsi" w:cstheme="minorHAnsi"/>
          <w:sz w:val="24"/>
          <w:szCs w:val="24"/>
        </w:rPr>
        <w:t xml:space="preserve">François </w:t>
      </w:r>
      <w:proofErr w:type="spellStart"/>
      <w:r w:rsidRPr="00A4009C">
        <w:rPr>
          <w:rFonts w:asciiTheme="minorHAnsi" w:hAnsiTheme="minorHAnsi" w:cstheme="minorHAnsi"/>
          <w:sz w:val="24"/>
          <w:szCs w:val="24"/>
        </w:rPr>
        <w:t>Rancy</w:t>
      </w:r>
      <w:proofErr w:type="spellEnd"/>
    </w:p>
    <w:p w:rsidR="004A7970" w:rsidRPr="00A4009C" w:rsidRDefault="004A7970" w:rsidP="004A7970">
      <w:pPr>
        <w:spacing w:before="0" w:line="240" w:lineRule="auto"/>
        <w:jc w:val="left"/>
        <w:rPr>
          <w:rFonts w:asciiTheme="minorHAnsi" w:hAnsiTheme="minorHAnsi" w:cstheme="minorHAnsi"/>
          <w:sz w:val="24"/>
          <w:szCs w:val="24"/>
        </w:rPr>
      </w:pPr>
      <w:r w:rsidRPr="00A4009C">
        <w:rPr>
          <w:rFonts w:asciiTheme="minorHAnsi" w:hAnsiTheme="minorHAnsi" w:cstheme="minorHAnsi"/>
          <w:sz w:val="24"/>
          <w:szCs w:val="24"/>
        </w:rPr>
        <w:t>Director</w:t>
      </w:r>
    </w:p>
    <w:p w:rsidR="004A7970" w:rsidRPr="00A4009C" w:rsidRDefault="004A7970" w:rsidP="004A7970">
      <w:pPr>
        <w:ind w:left="1191" w:hanging="1191"/>
        <w:rPr>
          <w:sz w:val="24"/>
          <w:szCs w:val="24"/>
          <w:u w:val="single"/>
        </w:rPr>
      </w:pPr>
    </w:p>
    <w:p w:rsidR="004A7970" w:rsidRPr="00A4009C" w:rsidRDefault="004A7970" w:rsidP="004A7970">
      <w:pPr>
        <w:ind w:left="1191" w:hanging="1191"/>
        <w:rPr>
          <w:sz w:val="24"/>
          <w:szCs w:val="24"/>
          <w:u w:val="single"/>
        </w:rPr>
      </w:pPr>
    </w:p>
    <w:p w:rsidR="004A7970" w:rsidRPr="00A4009C" w:rsidRDefault="004A7970">
      <w:pPr>
        <w:ind w:left="1191" w:hanging="1191"/>
        <w:rPr>
          <w:sz w:val="24"/>
          <w:szCs w:val="24"/>
        </w:rPr>
      </w:pPr>
      <w:r w:rsidRPr="00A4009C">
        <w:rPr>
          <w:b/>
          <w:bCs/>
          <w:sz w:val="24"/>
          <w:szCs w:val="24"/>
        </w:rPr>
        <w:t>Annex 1:</w:t>
      </w:r>
      <w:r w:rsidRPr="00A4009C">
        <w:rPr>
          <w:sz w:val="24"/>
          <w:szCs w:val="24"/>
        </w:rPr>
        <w:tab/>
        <w:t>Titles and summaries of the draft Recommendations</w:t>
      </w:r>
    </w:p>
    <w:p w:rsidR="004A7970" w:rsidRPr="00A4009C" w:rsidRDefault="004A7970">
      <w:pPr>
        <w:ind w:left="1191" w:hanging="1191"/>
        <w:rPr>
          <w:sz w:val="24"/>
          <w:szCs w:val="24"/>
        </w:rPr>
      </w:pPr>
      <w:r w:rsidRPr="00A4009C">
        <w:rPr>
          <w:b/>
          <w:bCs/>
          <w:sz w:val="24"/>
          <w:szCs w:val="24"/>
        </w:rPr>
        <w:t>Annex 2:</w:t>
      </w:r>
      <w:r w:rsidRPr="00A4009C">
        <w:rPr>
          <w:sz w:val="24"/>
          <w:szCs w:val="24"/>
        </w:rPr>
        <w:tab/>
        <w:t>Recommendations proposed for suppression</w:t>
      </w:r>
    </w:p>
    <w:p w:rsidR="004A7970" w:rsidRPr="00A4009C" w:rsidRDefault="004A7970" w:rsidP="004A7970">
      <w:pPr>
        <w:ind w:left="1191" w:hanging="1191"/>
        <w:rPr>
          <w:b/>
          <w:bCs/>
          <w:sz w:val="24"/>
          <w:szCs w:val="24"/>
        </w:rPr>
      </w:pPr>
    </w:p>
    <w:p w:rsidR="004A7970" w:rsidRPr="006E301A" w:rsidRDefault="00B42EDD" w:rsidP="005D2C33">
      <w:pPr>
        <w:tabs>
          <w:tab w:val="clear" w:pos="1191"/>
          <w:tab w:val="clear" w:pos="1588"/>
          <w:tab w:val="clear" w:pos="1985"/>
          <w:tab w:val="left" w:pos="1134"/>
          <w:tab w:val="left" w:pos="1560"/>
          <w:tab w:val="left" w:pos="2552"/>
        </w:tabs>
        <w:ind w:left="1418" w:hanging="1418"/>
        <w:rPr>
          <w:sz w:val="24"/>
          <w:szCs w:val="24"/>
        </w:rPr>
      </w:pPr>
      <w:r>
        <w:rPr>
          <w:b/>
          <w:bCs/>
          <w:sz w:val="24"/>
          <w:szCs w:val="24"/>
        </w:rPr>
        <w:t>Documents</w:t>
      </w:r>
      <w:r w:rsidR="004A7970" w:rsidRPr="006E301A">
        <w:rPr>
          <w:b/>
          <w:bCs/>
          <w:sz w:val="24"/>
          <w:szCs w:val="24"/>
        </w:rPr>
        <w:t>:</w:t>
      </w:r>
      <w:r w:rsidR="00281D80">
        <w:rPr>
          <w:sz w:val="24"/>
          <w:szCs w:val="24"/>
        </w:rPr>
        <w:tab/>
        <w:t>Document</w:t>
      </w:r>
      <w:r w:rsidR="006C448F">
        <w:rPr>
          <w:sz w:val="24"/>
          <w:szCs w:val="24"/>
        </w:rPr>
        <w:t xml:space="preserve"> </w:t>
      </w:r>
      <w:r w:rsidR="00977DA2" w:rsidRPr="006E301A">
        <w:rPr>
          <w:sz w:val="24"/>
          <w:szCs w:val="24"/>
        </w:rPr>
        <w:t>6/282</w:t>
      </w:r>
      <w:r w:rsidR="004A7970" w:rsidRPr="006E301A">
        <w:rPr>
          <w:sz w:val="24"/>
          <w:szCs w:val="24"/>
        </w:rPr>
        <w:t>(Rev.1)</w:t>
      </w:r>
      <w:r w:rsidR="00977DA2" w:rsidRPr="006E301A">
        <w:rPr>
          <w:sz w:val="24"/>
          <w:szCs w:val="24"/>
        </w:rPr>
        <w:t>, 6/283(Rev.1), 6/296(Rev.1), 6/297(Rev.1), 6/298(Rev.1), 6/299(Rev.1), 6/300(Rev.1), 6/301(Rev.1), 6/303(Rev.1)</w:t>
      </w:r>
      <w:r w:rsidR="00977DA2" w:rsidRPr="00A4009C">
        <w:rPr>
          <w:sz w:val="24"/>
          <w:szCs w:val="24"/>
        </w:rPr>
        <w:t xml:space="preserve"> and</w:t>
      </w:r>
      <w:r w:rsidR="00977DA2" w:rsidRPr="006E301A">
        <w:rPr>
          <w:sz w:val="24"/>
          <w:szCs w:val="24"/>
        </w:rPr>
        <w:t xml:space="preserve"> 6/309(Rev.1)</w:t>
      </w:r>
    </w:p>
    <w:p w:rsidR="004A7970" w:rsidRDefault="004A7970" w:rsidP="005D2C33">
      <w:pPr>
        <w:tabs>
          <w:tab w:val="clear" w:pos="1588"/>
          <w:tab w:val="left" w:pos="2552"/>
        </w:tabs>
        <w:jc w:val="left"/>
        <w:rPr>
          <w:sz w:val="24"/>
          <w:szCs w:val="24"/>
        </w:rPr>
      </w:pPr>
      <w:r w:rsidRPr="00A4009C">
        <w:rPr>
          <w:sz w:val="24"/>
          <w:szCs w:val="24"/>
        </w:rPr>
        <w:t xml:space="preserve">These documents are available in electronic format at: </w:t>
      </w:r>
      <w:r w:rsidR="005D2C33">
        <w:rPr>
          <w:sz w:val="24"/>
          <w:szCs w:val="24"/>
        </w:rPr>
        <w:br/>
      </w:r>
      <w:hyperlink r:id="rId10" w:history="1">
        <w:r w:rsidR="008D5DEC" w:rsidRPr="00B574C5">
          <w:rPr>
            <w:rStyle w:val="Hyperlink"/>
            <w:sz w:val="24"/>
            <w:szCs w:val="24"/>
          </w:rPr>
          <w:t>http://www.itu.int/md/R12-SG06-C/en</w:t>
        </w:r>
      </w:hyperlink>
    </w:p>
    <w:p w:rsidR="008D5DEC" w:rsidRPr="00A4009C" w:rsidRDefault="008D5DEC" w:rsidP="00977DA2">
      <w:pPr>
        <w:tabs>
          <w:tab w:val="clear" w:pos="1588"/>
          <w:tab w:val="left" w:pos="2552"/>
        </w:tabs>
        <w:rPr>
          <w:sz w:val="24"/>
          <w:szCs w:val="24"/>
        </w:rPr>
      </w:pPr>
    </w:p>
    <w:p w:rsidR="004A7970" w:rsidRPr="00A4009C" w:rsidRDefault="004A7970" w:rsidP="004A7970">
      <w:pPr>
        <w:tabs>
          <w:tab w:val="clear" w:pos="1588"/>
          <w:tab w:val="left" w:pos="2552"/>
        </w:tabs>
        <w:rPr>
          <w:sz w:val="24"/>
          <w:szCs w:val="24"/>
        </w:rPr>
      </w:pPr>
    </w:p>
    <w:p w:rsidR="004A7970" w:rsidRPr="00A4009C" w:rsidRDefault="004A7970" w:rsidP="004A7970">
      <w:pPr>
        <w:tabs>
          <w:tab w:val="left" w:pos="284"/>
          <w:tab w:val="left" w:pos="568"/>
        </w:tabs>
        <w:spacing w:before="1920" w:after="60"/>
        <w:rPr>
          <w:sz w:val="24"/>
          <w:szCs w:val="24"/>
          <w:u w:val="single"/>
        </w:rPr>
      </w:pPr>
    </w:p>
    <w:p w:rsidR="004A7970" w:rsidRPr="00A4009C" w:rsidRDefault="004A7970" w:rsidP="004A7970">
      <w:pPr>
        <w:tabs>
          <w:tab w:val="left" w:pos="284"/>
          <w:tab w:val="left" w:pos="568"/>
        </w:tabs>
        <w:spacing w:before="0" w:after="60"/>
        <w:rPr>
          <w:b/>
          <w:bCs/>
          <w:sz w:val="18"/>
          <w:szCs w:val="18"/>
        </w:rPr>
      </w:pPr>
      <w:r w:rsidRPr="00A4009C">
        <w:rPr>
          <w:b/>
          <w:bCs/>
          <w:sz w:val="18"/>
          <w:szCs w:val="18"/>
        </w:rPr>
        <w:t>Distribution:</w:t>
      </w:r>
    </w:p>
    <w:p w:rsidR="0077406E" w:rsidRPr="00A4009C"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 xml:space="preserve">Administrations of Member States of the ITU and </w:t>
      </w:r>
      <w:proofErr w:type="spellStart"/>
      <w:r w:rsidRPr="00A4009C">
        <w:rPr>
          <w:rFonts w:asciiTheme="minorHAnsi" w:hAnsiTheme="minorHAnsi" w:cstheme="minorHAnsi"/>
          <w:sz w:val="18"/>
          <w:szCs w:val="18"/>
        </w:rPr>
        <w:t>Radiocommunication</w:t>
      </w:r>
      <w:proofErr w:type="spellEnd"/>
      <w:r w:rsidRPr="00A4009C">
        <w:rPr>
          <w:rFonts w:asciiTheme="minorHAnsi" w:hAnsiTheme="minorHAnsi" w:cstheme="minorHAnsi"/>
          <w:sz w:val="18"/>
          <w:szCs w:val="18"/>
        </w:rPr>
        <w:t xml:space="preserve"> Sector Members</w:t>
      </w:r>
    </w:p>
    <w:p w:rsidR="004A7970" w:rsidRPr="00A4009C" w:rsidRDefault="0077406E">
      <w:pPr>
        <w:tabs>
          <w:tab w:val="left" w:pos="567"/>
          <w:tab w:val="left" w:pos="6237"/>
        </w:tabs>
        <w:spacing w:before="0" w:line="240" w:lineRule="auto"/>
        <w:ind w:left="794" w:hanging="794"/>
        <w:rPr>
          <w:rFonts w:asciiTheme="minorHAnsi" w:hAnsiTheme="minorHAnsi" w:cstheme="minorHAnsi"/>
          <w:sz w:val="18"/>
          <w:szCs w:val="18"/>
        </w:rPr>
      </w:pPr>
      <w:r w:rsidRPr="00A4009C">
        <w:rPr>
          <w:rFonts w:asciiTheme="minorHAnsi" w:hAnsiTheme="minorHAnsi" w:cstheme="minorHAnsi"/>
          <w:sz w:val="18"/>
          <w:szCs w:val="18"/>
        </w:rPr>
        <w:tab/>
      </w:r>
      <w:r w:rsidR="004A7970" w:rsidRPr="00A4009C">
        <w:rPr>
          <w:rFonts w:asciiTheme="minorHAnsi" w:hAnsiTheme="minorHAnsi" w:cstheme="minorHAnsi"/>
          <w:sz w:val="18"/>
          <w:szCs w:val="18"/>
        </w:rPr>
        <w:t>participating</w:t>
      </w:r>
      <w:r w:rsidRPr="00A4009C">
        <w:rPr>
          <w:rFonts w:asciiTheme="minorHAnsi" w:hAnsiTheme="minorHAnsi" w:cstheme="minorHAnsi"/>
          <w:sz w:val="18"/>
          <w:szCs w:val="18"/>
        </w:rPr>
        <w:t xml:space="preserve"> </w:t>
      </w:r>
      <w:r w:rsidR="004A7970" w:rsidRPr="00A4009C">
        <w:rPr>
          <w:rFonts w:asciiTheme="minorHAnsi" w:hAnsiTheme="minorHAnsi" w:cstheme="minorHAnsi"/>
          <w:sz w:val="18"/>
          <w:szCs w:val="18"/>
        </w:rPr>
        <w:t>in the work of</w:t>
      </w:r>
      <w:r w:rsidRPr="00A4009C">
        <w:rPr>
          <w:rFonts w:asciiTheme="minorHAnsi" w:hAnsiTheme="minorHAnsi" w:cstheme="minorHAnsi"/>
          <w:sz w:val="18"/>
          <w:szCs w:val="18"/>
        </w:rPr>
        <w:t xml:space="preserve"> </w:t>
      </w:r>
      <w:proofErr w:type="spellStart"/>
      <w:r w:rsidR="004A7970" w:rsidRPr="00A4009C">
        <w:rPr>
          <w:rFonts w:asciiTheme="minorHAnsi" w:hAnsiTheme="minorHAnsi" w:cstheme="minorHAnsi"/>
          <w:sz w:val="18"/>
          <w:szCs w:val="18"/>
        </w:rPr>
        <w:t>Radiocommunication</w:t>
      </w:r>
      <w:proofErr w:type="spellEnd"/>
      <w:r w:rsidR="004A7970" w:rsidRPr="00A4009C">
        <w:rPr>
          <w:rFonts w:asciiTheme="minorHAnsi" w:hAnsiTheme="minorHAnsi" w:cstheme="minorHAnsi"/>
          <w:sz w:val="18"/>
          <w:szCs w:val="18"/>
        </w:rPr>
        <w:t xml:space="preserve"> Study Group </w:t>
      </w:r>
      <w:r w:rsidR="00977DA2" w:rsidRPr="00A4009C">
        <w:rPr>
          <w:rFonts w:asciiTheme="minorHAnsi" w:hAnsiTheme="minorHAnsi" w:cstheme="minorHAnsi"/>
          <w:sz w:val="18"/>
          <w:szCs w:val="18"/>
        </w:rPr>
        <w:t>6</w:t>
      </w:r>
    </w:p>
    <w:p w:rsidR="004A7970" w:rsidRPr="00A4009C" w:rsidRDefault="004A7970">
      <w:pPr>
        <w:tabs>
          <w:tab w:val="left" w:pos="567"/>
          <w:tab w:val="left" w:pos="6237"/>
        </w:tabs>
        <w:spacing w:before="0" w:line="240" w:lineRule="auto"/>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 xml:space="preserve">ITU-R Associates participating in the work of </w:t>
      </w:r>
      <w:proofErr w:type="spellStart"/>
      <w:r w:rsidRPr="00A4009C">
        <w:rPr>
          <w:rFonts w:asciiTheme="minorHAnsi" w:hAnsiTheme="minorHAnsi" w:cstheme="minorHAnsi"/>
          <w:sz w:val="18"/>
          <w:szCs w:val="18"/>
        </w:rPr>
        <w:t>Radiocommunication</w:t>
      </w:r>
      <w:proofErr w:type="spellEnd"/>
      <w:r w:rsidRPr="00A4009C">
        <w:rPr>
          <w:rFonts w:asciiTheme="minorHAnsi" w:hAnsiTheme="minorHAnsi" w:cstheme="minorHAnsi"/>
          <w:sz w:val="18"/>
          <w:szCs w:val="18"/>
        </w:rPr>
        <w:t xml:space="preserve"> Study Group </w:t>
      </w:r>
      <w:r w:rsidR="00977DA2" w:rsidRPr="00A4009C">
        <w:rPr>
          <w:rFonts w:asciiTheme="minorHAnsi" w:hAnsiTheme="minorHAnsi" w:cstheme="minorHAnsi"/>
          <w:sz w:val="18"/>
          <w:szCs w:val="18"/>
        </w:rPr>
        <w:t>6</w:t>
      </w:r>
    </w:p>
    <w:p w:rsidR="0077406E" w:rsidRPr="00A4009C" w:rsidRDefault="004A7970" w:rsidP="0077406E">
      <w:pPr>
        <w:tabs>
          <w:tab w:val="left" w:pos="567"/>
          <w:tab w:val="left" w:pos="6237"/>
        </w:tabs>
        <w:spacing w:before="0" w:line="240" w:lineRule="auto"/>
        <w:ind w:left="567" w:hanging="567"/>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 xml:space="preserve">Chairmen and Vice-Chairmen of </w:t>
      </w:r>
      <w:proofErr w:type="spellStart"/>
      <w:r w:rsidRPr="00A4009C">
        <w:rPr>
          <w:rFonts w:asciiTheme="minorHAnsi" w:hAnsiTheme="minorHAnsi" w:cstheme="minorHAnsi"/>
          <w:sz w:val="18"/>
          <w:szCs w:val="18"/>
        </w:rPr>
        <w:t>Radiocommunication</w:t>
      </w:r>
      <w:proofErr w:type="spellEnd"/>
      <w:r w:rsidRPr="00A4009C">
        <w:rPr>
          <w:rFonts w:asciiTheme="minorHAnsi" w:hAnsiTheme="minorHAnsi" w:cstheme="minorHAnsi"/>
          <w:sz w:val="18"/>
          <w:szCs w:val="18"/>
        </w:rPr>
        <w:t xml:space="preserve"> Study Groups and the Special Committee</w:t>
      </w:r>
    </w:p>
    <w:p w:rsidR="004A7970" w:rsidRPr="00A4009C" w:rsidRDefault="0077406E" w:rsidP="0077406E">
      <w:pPr>
        <w:tabs>
          <w:tab w:val="left" w:pos="567"/>
          <w:tab w:val="left" w:pos="6237"/>
        </w:tabs>
        <w:spacing w:before="0" w:line="240" w:lineRule="auto"/>
        <w:ind w:left="567" w:hanging="567"/>
        <w:rPr>
          <w:rFonts w:asciiTheme="minorHAnsi" w:hAnsiTheme="minorHAnsi" w:cstheme="minorHAnsi"/>
          <w:sz w:val="18"/>
          <w:szCs w:val="18"/>
        </w:rPr>
      </w:pPr>
      <w:r w:rsidRPr="00A4009C">
        <w:rPr>
          <w:rFonts w:asciiTheme="minorHAnsi" w:hAnsiTheme="minorHAnsi" w:cstheme="minorHAnsi"/>
          <w:sz w:val="18"/>
          <w:szCs w:val="18"/>
        </w:rPr>
        <w:tab/>
      </w:r>
      <w:r w:rsidR="004A7970" w:rsidRPr="00A4009C">
        <w:rPr>
          <w:rFonts w:asciiTheme="minorHAnsi" w:hAnsiTheme="minorHAnsi" w:cstheme="minorHAnsi"/>
          <w:sz w:val="18"/>
          <w:szCs w:val="18"/>
        </w:rPr>
        <w:t>on Regulatory/Procedural Matters</w:t>
      </w:r>
    </w:p>
    <w:p w:rsidR="004A7970" w:rsidRPr="00A4009C" w:rsidRDefault="004A7970" w:rsidP="00B500FB">
      <w:pPr>
        <w:tabs>
          <w:tab w:val="left" w:pos="567"/>
          <w:tab w:val="left" w:pos="6237"/>
        </w:tabs>
        <w:spacing w:before="0" w:line="240" w:lineRule="auto"/>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Chairman and Vice-Chairmen of the Conference Preparatory Meeting</w:t>
      </w:r>
    </w:p>
    <w:p w:rsidR="004A7970" w:rsidRPr="00A4009C" w:rsidRDefault="004A7970" w:rsidP="00B500FB">
      <w:pPr>
        <w:tabs>
          <w:tab w:val="left" w:pos="567"/>
          <w:tab w:val="left" w:pos="6237"/>
        </w:tabs>
        <w:spacing w:before="0" w:line="240" w:lineRule="auto"/>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Members of the Radio Regulations Board</w:t>
      </w:r>
    </w:p>
    <w:p w:rsidR="0077406E" w:rsidRPr="00A4009C" w:rsidRDefault="004A7970" w:rsidP="00B500FB">
      <w:pPr>
        <w:pStyle w:val="BodyTextIndent"/>
        <w:jc w:val="both"/>
        <w:rPr>
          <w:rFonts w:asciiTheme="minorHAnsi" w:hAnsiTheme="minorHAnsi" w:cstheme="minorHAnsi"/>
          <w:sz w:val="18"/>
          <w:szCs w:val="18"/>
        </w:rPr>
      </w:pPr>
      <w:r w:rsidRPr="00A4009C">
        <w:rPr>
          <w:rFonts w:asciiTheme="minorHAnsi" w:hAnsiTheme="minorHAnsi" w:cstheme="minorHAnsi"/>
          <w:sz w:val="18"/>
          <w:szCs w:val="18"/>
        </w:rPr>
        <w:t>–</w:t>
      </w:r>
      <w:r w:rsidRPr="00A4009C">
        <w:rPr>
          <w:rFonts w:asciiTheme="minorHAnsi" w:hAnsiTheme="minorHAnsi" w:cstheme="minorHAnsi"/>
          <w:sz w:val="18"/>
          <w:szCs w:val="18"/>
        </w:rPr>
        <w:tab/>
        <w:t xml:space="preserve">Secretary-General of the ITU, Director of the Telecommunication Standardization Bureau, </w:t>
      </w:r>
    </w:p>
    <w:p w:rsidR="004A7970" w:rsidRPr="00A4009C" w:rsidRDefault="0077406E" w:rsidP="0077406E">
      <w:pPr>
        <w:pStyle w:val="BodyTextIndent"/>
        <w:jc w:val="both"/>
        <w:rPr>
          <w:rFonts w:asciiTheme="minorHAnsi" w:hAnsiTheme="minorHAnsi" w:cstheme="minorHAnsi"/>
          <w:sz w:val="18"/>
          <w:szCs w:val="18"/>
        </w:rPr>
      </w:pPr>
      <w:r w:rsidRPr="00A4009C">
        <w:rPr>
          <w:rFonts w:asciiTheme="minorHAnsi" w:hAnsiTheme="minorHAnsi" w:cstheme="minorHAnsi"/>
          <w:sz w:val="18"/>
          <w:szCs w:val="18"/>
        </w:rPr>
        <w:tab/>
      </w:r>
      <w:r w:rsidR="004A7970" w:rsidRPr="00A4009C">
        <w:rPr>
          <w:rFonts w:asciiTheme="minorHAnsi" w:hAnsiTheme="minorHAnsi" w:cstheme="minorHAnsi"/>
          <w:sz w:val="18"/>
          <w:szCs w:val="18"/>
        </w:rPr>
        <w:t>Director of the Telecommunication</w:t>
      </w:r>
      <w:r w:rsidR="00BF5F50" w:rsidRPr="00A4009C">
        <w:rPr>
          <w:rFonts w:asciiTheme="minorHAnsi" w:hAnsiTheme="minorHAnsi" w:cstheme="minorHAnsi"/>
          <w:sz w:val="18"/>
          <w:szCs w:val="18"/>
        </w:rPr>
        <w:t xml:space="preserve"> </w:t>
      </w:r>
      <w:r w:rsidR="004A7970" w:rsidRPr="00A4009C">
        <w:rPr>
          <w:rFonts w:asciiTheme="minorHAnsi" w:hAnsiTheme="minorHAnsi" w:cstheme="minorHAnsi"/>
          <w:sz w:val="18"/>
          <w:szCs w:val="18"/>
        </w:rPr>
        <w:t>Development Bureau</w:t>
      </w:r>
    </w:p>
    <w:p w:rsidR="00A45D9A" w:rsidRPr="00A4009C" w:rsidRDefault="004A7970" w:rsidP="00A45D9A">
      <w:pPr>
        <w:pStyle w:val="AnnexNotitle0"/>
        <w:rPr>
          <w:rFonts w:asciiTheme="minorHAnsi" w:hAnsiTheme="minorHAnsi" w:cstheme="minorHAnsi"/>
          <w:szCs w:val="28"/>
        </w:rPr>
      </w:pPr>
      <w:r w:rsidRPr="00A4009C">
        <w:br w:type="page"/>
      </w:r>
      <w:r w:rsidRPr="00A4009C">
        <w:rPr>
          <w:rFonts w:asciiTheme="minorHAnsi" w:hAnsiTheme="minorHAnsi" w:cstheme="minorHAnsi"/>
          <w:szCs w:val="28"/>
        </w:rPr>
        <w:lastRenderedPageBreak/>
        <w:t>Annex 1</w:t>
      </w:r>
    </w:p>
    <w:p w:rsidR="004A7970" w:rsidRPr="00A4009C" w:rsidRDefault="004A7970">
      <w:pPr>
        <w:pStyle w:val="AnnexNotitle0"/>
        <w:rPr>
          <w:rFonts w:asciiTheme="minorHAnsi" w:hAnsiTheme="minorHAnsi" w:cstheme="minorHAnsi"/>
          <w:szCs w:val="28"/>
        </w:rPr>
      </w:pPr>
      <w:r w:rsidRPr="00A4009C">
        <w:rPr>
          <w:rFonts w:asciiTheme="minorHAnsi" w:hAnsiTheme="minorHAnsi" w:cstheme="minorHAnsi"/>
          <w:szCs w:val="28"/>
        </w:rPr>
        <w:t>Titles and summaries of the draft Recommendations</w:t>
      </w:r>
    </w:p>
    <w:p w:rsidR="004A7970" w:rsidRPr="00A4009C" w:rsidRDefault="004A7970" w:rsidP="00A4009C">
      <w:pPr>
        <w:tabs>
          <w:tab w:val="right" w:pos="9639"/>
        </w:tabs>
        <w:spacing w:before="360" w:line="240" w:lineRule="auto"/>
        <w:rPr>
          <w:rFonts w:asciiTheme="minorHAnsi" w:hAnsiTheme="minorHAnsi" w:cstheme="minorHAnsi"/>
          <w:sz w:val="24"/>
          <w:szCs w:val="24"/>
        </w:rPr>
      </w:pPr>
      <w:r w:rsidRPr="00A4009C">
        <w:rPr>
          <w:rFonts w:asciiTheme="minorHAnsi" w:hAnsiTheme="minorHAnsi" w:cstheme="minorHAnsi"/>
          <w:sz w:val="24"/>
          <w:szCs w:val="24"/>
          <w:u w:val="single"/>
        </w:rPr>
        <w:t>Draft new Recommendation ITU-R</w:t>
      </w:r>
      <w:r w:rsidR="000F3ED5" w:rsidRPr="00A4009C">
        <w:rPr>
          <w:rFonts w:asciiTheme="minorHAnsi" w:hAnsiTheme="minorHAnsi" w:cstheme="minorHAnsi"/>
          <w:sz w:val="24"/>
          <w:szCs w:val="24"/>
          <w:u w:val="single"/>
        </w:rPr>
        <w:t xml:space="preserve"> </w:t>
      </w:r>
      <w:r w:rsidR="000F3ED5" w:rsidRPr="00A4009C">
        <w:rPr>
          <w:sz w:val="24"/>
          <w:szCs w:val="24"/>
          <w:u w:val="single"/>
        </w:rPr>
        <w:t>BT.[R-WBR]</w:t>
      </w:r>
      <w:r w:rsidRPr="00A4009C">
        <w:rPr>
          <w:rFonts w:asciiTheme="minorHAnsi" w:hAnsiTheme="minorHAnsi" w:cstheme="minorHAnsi"/>
          <w:sz w:val="24"/>
          <w:szCs w:val="24"/>
        </w:rPr>
        <w:tab/>
        <w:t xml:space="preserve">Doc. </w:t>
      </w:r>
      <w:r w:rsidR="00977DA2" w:rsidRPr="00A4009C">
        <w:rPr>
          <w:rFonts w:asciiTheme="minorHAnsi" w:hAnsiTheme="minorHAnsi" w:cstheme="minorHAnsi"/>
          <w:sz w:val="24"/>
          <w:szCs w:val="24"/>
        </w:rPr>
        <w:t>6/297</w:t>
      </w:r>
      <w:r w:rsidRPr="00A4009C">
        <w:rPr>
          <w:rFonts w:asciiTheme="minorHAnsi" w:hAnsiTheme="minorHAnsi" w:cstheme="minorHAnsi"/>
          <w:sz w:val="24"/>
          <w:szCs w:val="24"/>
        </w:rPr>
        <w:t>(Rev.1)</w:t>
      </w:r>
    </w:p>
    <w:p w:rsidR="000F3ED5" w:rsidRPr="00A4009C" w:rsidRDefault="000F3ED5" w:rsidP="00332976">
      <w:pPr>
        <w:tabs>
          <w:tab w:val="right" w:pos="9639"/>
        </w:tabs>
        <w:spacing w:before="240"/>
        <w:jc w:val="center"/>
        <w:rPr>
          <w:b/>
          <w:bCs/>
          <w:sz w:val="28"/>
          <w:szCs w:val="28"/>
          <w:lang w:eastAsia="zh-CN"/>
        </w:rPr>
      </w:pPr>
      <w:r w:rsidRPr="00A4009C">
        <w:rPr>
          <w:b/>
          <w:bCs/>
          <w:sz w:val="28"/>
          <w:szCs w:val="28"/>
          <w:lang w:eastAsia="zh-CN"/>
        </w:rPr>
        <w:t>Main functionalities of consumer receivers for</w:t>
      </w:r>
      <w:r w:rsidRPr="00A4009C">
        <w:rPr>
          <w:b/>
          <w:bCs/>
          <w:sz w:val="28"/>
          <w:szCs w:val="28"/>
          <w:lang w:eastAsia="zh-CN"/>
        </w:rPr>
        <w:br/>
        <w:t>worldwide broadcasting roaming</w:t>
      </w:r>
    </w:p>
    <w:p w:rsidR="000F3ED5" w:rsidRPr="00A4009C" w:rsidRDefault="000F3ED5" w:rsidP="00606AF1">
      <w:pPr>
        <w:pStyle w:val="Summary"/>
        <w:spacing w:after="0"/>
        <w:rPr>
          <w:rFonts w:asciiTheme="minorHAnsi" w:hAnsiTheme="minorHAnsi"/>
          <w:sz w:val="24"/>
          <w:szCs w:val="24"/>
          <w:lang w:val="en-GB" w:eastAsia="ja-JP"/>
        </w:rPr>
      </w:pPr>
      <w:r w:rsidRPr="00A4009C">
        <w:rPr>
          <w:rFonts w:asciiTheme="minorHAnsi" w:hAnsiTheme="minorHAnsi"/>
          <w:sz w:val="24"/>
          <w:szCs w:val="24"/>
          <w:lang w:val="en-GB"/>
        </w:rPr>
        <w:t>This</w:t>
      </w:r>
      <w:r w:rsidRPr="00A4009C">
        <w:rPr>
          <w:rFonts w:asciiTheme="minorHAnsi" w:hAnsiTheme="minorHAnsi"/>
          <w:sz w:val="24"/>
          <w:szCs w:val="24"/>
          <w:lang w:val="en-GB" w:eastAsia="ja-JP"/>
        </w:rPr>
        <w:t xml:space="preserve"> Recommendation defines main functionalities of consumer receivers for worldwide broadcasting roaming. The list of the functionalities given in the Recommendation should be taken into account for the development and production of modern and prospective consumer receivers of TV, multimedia and sound broadcasting.</w:t>
      </w:r>
    </w:p>
    <w:p w:rsidR="00977DA2" w:rsidRDefault="00977DA2" w:rsidP="00A4009C">
      <w:pPr>
        <w:tabs>
          <w:tab w:val="right" w:pos="9639"/>
        </w:tabs>
        <w:spacing w:before="360" w:line="240" w:lineRule="auto"/>
        <w:rPr>
          <w:rFonts w:asciiTheme="minorHAnsi" w:hAnsiTheme="minorHAnsi" w:cstheme="minorHAnsi"/>
          <w:sz w:val="24"/>
          <w:szCs w:val="24"/>
        </w:rPr>
      </w:pPr>
      <w:r w:rsidRPr="00A4009C">
        <w:rPr>
          <w:rFonts w:asciiTheme="minorHAnsi" w:hAnsiTheme="minorHAnsi" w:cstheme="minorHAnsi"/>
          <w:sz w:val="24"/>
          <w:szCs w:val="24"/>
          <w:u w:val="single"/>
        </w:rPr>
        <w:t>Draft new Recommendation</w:t>
      </w:r>
      <w:r w:rsidRPr="00DA383E">
        <w:rPr>
          <w:rFonts w:asciiTheme="minorHAnsi" w:hAnsiTheme="minorHAnsi" w:cstheme="minorHAnsi"/>
          <w:sz w:val="24"/>
          <w:szCs w:val="24"/>
          <w:u w:val="single"/>
        </w:rPr>
        <w:t xml:space="preserve"> ITU-R</w:t>
      </w:r>
      <w:r w:rsidR="000F3ED5" w:rsidRPr="000F3ED5">
        <w:rPr>
          <w:rFonts w:asciiTheme="minorHAnsi" w:hAnsiTheme="minorHAnsi" w:cstheme="minorHAnsi"/>
          <w:sz w:val="24"/>
          <w:szCs w:val="24"/>
          <w:u w:val="single"/>
        </w:rPr>
        <w:t xml:space="preserve"> </w:t>
      </w:r>
      <w:r w:rsidR="000F3ED5" w:rsidRPr="000F3ED5">
        <w:rPr>
          <w:sz w:val="24"/>
          <w:szCs w:val="24"/>
          <w:u w:val="single"/>
          <w:lang w:eastAsia="zh-CN"/>
        </w:rPr>
        <w:t>BT.[HEVC]</w:t>
      </w:r>
      <w:r w:rsidRPr="00DA383E">
        <w:rPr>
          <w:rFonts w:asciiTheme="minorHAnsi" w:hAnsiTheme="minorHAnsi" w:cstheme="minorHAnsi"/>
          <w:sz w:val="24"/>
          <w:szCs w:val="24"/>
        </w:rPr>
        <w:tab/>
        <w:t xml:space="preserve">Doc. </w:t>
      </w:r>
      <w:r>
        <w:rPr>
          <w:rFonts w:asciiTheme="minorHAnsi" w:hAnsiTheme="minorHAnsi" w:cstheme="minorHAnsi"/>
          <w:sz w:val="24"/>
          <w:szCs w:val="24"/>
        </w:rPr>
        <w:t>6/298</w:t>
      </w:r>
      <w:r w:rsidRPr="00DA383E">
        <w:rPr>
          <w:rFonts w:asciiTheme="minorHAnsi" w:hAnsiTheme="minorHAnsi" w:cstheme="minorHAnsi"/>
          <w:sz w:val="24"/>
          <w:szCs w:val="24"/>
        </w:rPr>
        <w:t>(Rev.1)</w:t>
      </w:r>
    </w:p>
    <w:p w:rsidR="00827A3D" w:rsidRPr="00827A3D" w:rsidRDefault="00827A3D" w:rsidP="00827A3D">
      <w:pPr>
        <w:tabs>
          <w:tab w:val="right" w:pos="9639"/>
        </w:tabs>
        <w:spacing w:before="360" w:line="240" w:lineRule="auto"/>
        <w:jc w:val="center"/>
        <w:rPr>
          <w:rFonts w:asciiTheme="minorHAnsi" w:hAnsiTheme="minorHAnsi" w:cstheme="minorHAnsi"/>
          <w:b/>
          <w:bCs/>
          <w:sz w:val="28"/>
          <w:szCs w:val="28"/>
        </w:rPr>
      </w:pPr>
      <w:r w:rsidRPr="00827A3D">
        <w:rPr>
          <w:b/>
          <w:bCs/>
          <w:sz w:val="28"/>
          <w:szCs w:val="28"/>
          <w:lang w:eastAsia="zh-CN"/>
        </w:rPr>
        <w:t xml:space="preserve">Use of the high efficiency video coding (HEVC) standard </w:t>
      </w:r>
      <w:r w:rsidRPr="00827A3D">
        <w:rPr>
          <w:b/>
          <w:bCs/>
          <w:sz w:val="28"/>
          <w:szCs w:val="28"/>
          <w:lang w:eastAsia="zh-CN"/>
        </w:rPr>
        <w:br/>
        <w:t>for UHDTV and HDTV broadcasting</w:t>
      </w:r>
    </w:p>
    <w:p w:rsidR="000F3ED5" w:rsidRPr="000F3ED5" w:rsidRDefault="000F3ED5" w:rsidP="00606AF1">
      <w:pPr>
        <w:pStyle w:val="Summary"/>
        <w:spacing w:after="0"/>
        <w:rPr>
          <w:rFonts w:asciiTheme="minorHAnsi" w:hAnsiTheme="minorHAnsi"/>
          <w:sz w:val="24"/>
          <w:szCs w:val="24"/>
          <w:lang w:val="en-US" w:eastAsia="ja-JP"/>
        </w:rPr>
      </w:pPr>
      <w:r w:rsidRPr="000F3ED5">
        <w:rPr>
          <w:rFonts w:asciiTheme="minorHAnsi" w:hAnsiTheme="minorHAnsi"/>
          <w:sz w:val="24"/>
          <w:szCs w:val="24"/>
          <w:lang w:val="en-US" w:eastAsia="ja-JP"/>
        </w:rPr>
        <w:t xml:space="preserve">This Recommendation specifies the use of the High Efficiency Video Coding (HEVC) standard </w:t>
      </w:r>
      <w:r w:rsidRPr="000F3ED5">
        <w:rPr>
          <w:rFonts w:asciiTheme="minorHAnsi" w:hAnsiTheme="minorHAnsi"/>
          <w:sz w:val="24"/>
          <w:szCs w:val="24"/>
          <w:lang w:val="en-US"/>
        </w:rPr>
        <w:t>as per Recommendation ITU-T H.26</w:t>
      </w:r>
      <w:r w:rsidRPr="000F3ED5">
        <w:rPr>
          <w:rFonts w:asciiTheme="minorHAnsi" w:hAnsiTheme="minorHAnsi"/>
          <w:sz w:val="24"/>
          <w:szCs w:val="24"/>
          <w:lang w:val="en-US" w:eastAsia="ja-JP"/>
        </w:rPr>
        <w:t>5 | </w:t>
      </w:r>
      <w:r w:rsidRPr="000F3ED5">
        <w:rPr>
          <w:rFonts w:asciiTheme="minorHAnsi" w:hAnsiTheme="minorHAnsi"/>
          <w:sz w:val="24"/>
          <w:szCs w:val="24"/>
          <w:lang w:val="en-US"/>
        </w:rPr>
        <w:t xml:space="preserve">ISO/IEC </w:t>
      </w:r>
      <w:r w:rsidRPr="000F3ED5">
        <w:rPr>
          <w:rFonts w:asciiTheme="minorHAnsi" w:hAnsiTheme="minorHAnsi"/>
          <w:sz w:val="24"/>
          <w:szCs w:val="24"/>
          <w:lang w:val="en-US" w:eastAsia="ja-JP"/>
        </w:rPr>
        <w:t>23008-2 for ultra high definition television (U</w:t>
      </w:r>
      <w:r w:rsidRPr="000F3ED5">
        <w:rPr>
          <w:rFonts w:asciiTheme="minorHAnsi" w:hAnsiTheme="minorHAnsi"/>
          <w:sz w:val="24"/>
          <w:szCs w:val="24"/>
          <w:lang w:val="en-US"/>
        </w:rPr>
        <w:t xml:space="preserve">HDTV) </w:t>
      </w:r>
      <w:r w:rsidRPr="000F3ED5">
        <w:rPr>
          <w:rFonts w:asciiTheme="minorHAnsi" w:hAnsiTheme="minorHAnsi"/>
          <w:sz w:val="24"/>
          <w:szCs w:val="24"/>
          <w:lang w:val="en-US" w:eastAsia="ja-JP"/>
        </w:rPr>
        <w:t>and high definition television (HDTV) broadcasting.</w:t>
      </w:r>
    </w:p>
    <w:p w:rsidR="0031790A" w:rsidRDefault="0031790A" w:rsidP="00A4009C">
      <w:pPr>
        <w:tabs>
          <w:tab w:val="right" w:pos="9639"/>
        </w:tabs>
        <w:spacing w:before="360" w:line="240" w:lineRule="auto"/>
        <w:rPr>
          <w:rFonts w:asciiTheme="minorHAnsi" w:hAnsiTheme="minorHAnsi" w:cstheme="minorHAnsi"/>
          <w:sz w:val="24"/>
          <w:szCs w:val="24"/>
        </w:rPr>
      </w:pPr>
      <w:r w:rsidRPr="00133681">
        <w:rPr>
          <w:rFonts w:asciiTheme="minorHAnsi" w:hAnsiTheme="minorHAnsi" w:cstheme="minorHAnsi"/>
          <w:sz w:val="24"/>
          <w:szCs w:val="24"/>
          <w:u w:val="single"/>
        </w:rPr>
        <w:t xml:space="preserve">Draft revision of Recommendation ITU-R </w:t>
      </w:r>
      <w:r w:rsidR="00133681" w:rsidRPr="00133681">
        <w:rPr>
          <w:sz w:val="24"/>
          <w:szCs w:val="24"/>
          <w:u w:val="single"/>
          <w:lang w:eastAsia="zh-CN"/>
        </w:rPr>
        <w:t>BS.1116</w:t>
      </w:r>
      <w:r w:rsidR="00133681" w:rsidRPr="00133681">
        <w:rPr>
          <w:rFonts w:hint="eastAsia"/>
          <w:sz w:val="24"/>
          <w:szCs w:val="24"/>
          <w:u w:val="single"/>
          <w:lang w:eastAsia="ja-JP"/>
        </w:rPr>
        <w:t>-2</w:t>
      </w:r>
      <w:r>
        <w:rPr>
          <w:rFonts w:asciiTheme="minorHAnsi" w:hAnsiTheme="minorHAnsi" w:cstheme="minorHAnsi"/>
          <w:sz w:val="24"/>
          <w:szCs w:val="24"/>
        </w:rPr>
        <w:tab/>
        <w:t>Doc. 6/282(Rev.1)</w:t>
      </w:r>
    </w:p>
    <w:p w:rsidR="00133681" w:rsidRPr="00133681" w:rsidRDefault="00133681" w:rsidP="00133681">
      <w:pPr>
        <w:spacing w:before="240"/>
        <w:jc w:val="center"/>
        <w:rPr>
          <w:rFonts w:asciiTheme="minorHAnsi" w:hAnsiTheme="minorHAnsi" w:cstheme="minorHAnsi"/>
          <w:b/>
          <w:bCs/>
          <w:sz w:val="28"/>
          <w:szCs w:val="28"/>
          <w:highlight w:val="yellow"/>
        </w:rPr>
      </w:pPr>
      <w:r w:rsidRPr="00133681">
        <w:rPr>
          <w:b/>
          <w:bCs/>
          <w:sz w:val="28"/>
          <w:szCs w:val="28"/>
          <w:lang w:eastAsia="ja-JP"/>
        </w:rPr>
        <w:t xml:space="preserve">Methods for the subjective assessment of small impairments </w:t>
      </w:r>
      <w:r w:rsidR="00E0368A">
        <w:rPr>
          <w:b/>
          <w:bCs/>
          <w:sz w:val="28"/>
          <w:szCs w:val="28"/>
          <w:lang w:eastAsia="ja-JP"/>
        </w:rPr>
        <w:br/>
      </w:r>
      <w:r w:rsidRPr="00133681">
        <w:rPr>
          <w:b/>
          <w:bCs/>
          <w:sz w:val="28"/>
          <w:szCs w:val="28"/>
          <w:lang w:eastAsia="ja-JP"/>
        </w:rPr>
        <w:t>in audio systems</w:t>
      </w:r>
    </w:p>
    <w:p w:rsidR="00133681" w:rsidRPr="00133681" w:rsidRDefault="00133681" w:rsidP="00133681">
      <w:pPr>
        <w:rPr>
          <w:sz w:val="24"/>
          <w:szCs w:val="24"/>
          <w:lang w:eastAsia="ja-JP"/>
        </w:rPr>
      </w:pPr>
      <w:r w:rsidRPr="00133681">
        <w:rPr>
          <w:sz w:val="24"/>
          <w:szCs w:val="24"/>
          <w:lang w:eastAsia="ja-JP"/>
        </w:rPr>
        <w:t>This revision of includes two minor modifications intended to improve the utility of the Recommendation.</w:t>
      </w:r>
    </w:p>
    <w:p w:rsidR="00133681" w:rsidRPr="00133681" w:rsidRDefault="00133681" w:rsidP="00133681">
      <w:pPr>
        <w:rPr>
          <w:sz w:val="24"/>
          <w:szCs w:val="24"/>
          <w:lang w:eastAsia="ja-JP"/>
        </w:rPr>
      </w:pPr>
      <w:r w:rsidRPr="00133681">
        <w:rPr>
          <w:sz w:val="24"/>
          <w:szCs w:val="24"/>
          <w:lang w:eastAsia="ja-JP"/>
        </w:rPr>
        <w:t>Modification (1) clarifies the tolerance for matching in the speaker frequency responses between individual speakers as a function of position in the room.</w:t>
      </w:r>
    </w:p>
    <w:p w:rsidR="00133681" w:rsidRPr="00133681" w:rsidRDefault="00133681" w:rsidP="00133681">
      <w:pPr>
        <w:tabs>
          <w:tab w:val="right" w:pos="9639"/>
        </w:tabs>
        <w:rPr>
          <w:sz w:val="24"/>
          <w:szCs w:val="24"/>
          <w:lang w:eastAsia="ja-JP"/>
        </w:rPr>
      </w:pPr>
      <w:r w:rsidRPr="00133681">
        <w:rPr>
          <w:sz w:val="24"/>
          <w:szCs w:val="24"/>
          <w:lang w:eastAsia="ja-JP"/>
        </w:rPr>
        <w:t>Modification (2) adjusts the method of loud speaker sound pressure level alignment to make the setting independent of</w:t>
      </w:r>
      <w:r w:rsidR="00213490">
        <w:rPr>
          <w:sz w:val="24"/>
          <w:szCs w:val="24"/>
          <w:lang w:eastAsia="ja-JP"/>
        </w:rPr>
        <w:t xml:space="preserve"> the number of loud speakers.</w:t>
      </w:r>
    </w:p>
    <w:p w:rsidR="004A7970" w:rsidRDefault="00977DA2"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 xml:space="preserve">Draft revision of Recommendation ITU-R </w:t>
      </w:r>
      <w:r w:rsidR="00133681" w:rsidRPr="00133681">
        <w:rPr>
          <w:sz w:val="24"/>
          <w:szCs w:val="24"/>
          <w:u w:val="single"/>
          <w:lang w:eastAsia="zh-CN"/>
        </w:rPr>
        <w:t>B</w:t>
      </w:r>
      <w:r w:rsidR="00133681" w:rsidRPr="00133681">
        <w:rPr>
          <w:sz w:val="24"/>
          <w:szCs w:val="24"/>
          <w:u w:val="single"/>
          <w:lang w:eastAsia="ja-JP"/>
        </w:rPr>
        <w:t>T</w:t>
      </w:r>
      <w:r w:rsidR="00133681" w:rsidRPr="00133681">
        <w:rPr>
          <w:sz w:val="24"/>
          <w:szCs w:val="24"/>
          <w:u w:val="single"/>
          <w:lang w:eastAsia="zh-CN"/>
        </w:rPr>
        <w:t>.</w:t>
      </w:r>
      <w:r w:rsidR="00133681" w:rsidRPr="00133681">
        <w:rPr>
          <w:sz w:val="24"/>
          <w:szCs w:val="24"/>
          <w:u w:val="single"/>
          <w:lang w:eastAsia="ja-JP"/>
        </w:rPr>
        <w:t>2021</w:t>
      </w:r>
      <w:r w:rsidR="000F3ED5">
        <w:rPr>
          <w:sz w:val="24"/>
          <w:szCs w:val="24"/>
          <w:u w:val="single"/>
          <w:lang w:eastAsia="ja-JP"/>
        </w:rPr>
        <w:t>-0</w:t>
      </w:r>
      <w:r>
        <w:rPr>
          <w:rFonts w:asciiTheme="minorHAnsi" w:hAnsiTheme="minorHAnsi" w:cstheme="minorHAnsi"/>
          <w:sz w:val="24"/>
          <w:szCs w:val="24"/>
        </w:rPr>
        <w:tab/>
      </w:r>
      <w:r w:rsidR="0031790A">
        <w:rPr>
          <w:rFonts w:asciiTheme="minorHAnsi" w:hAnsiTheme="minorHAnsi" w:cstheme="minorHAnsi"/>
          <w:sz w:val="24"/>
          <w:szCs w:val="24"/>
        </w:rPr>
        <w:t>Doc. 6/283(Rev.1)</w:t>
      </w:r>
    </w:p>
    <w:p w:rsidR="00133681" w:rsidRDefault="00133681" w:rsidP="00332976">
      <w:pPr>
        <w:tabs>
          <w:tab w:val="right" w:pos="9639"/>
        </w:tabs>
        <w:spacing w:before="240"/>
        <w:jc w:val="center"/>
        <w:rPr>
          <w:b/>
          <w:bCs/>
          <w:sz w:val="28"/>
          <w:szCs w:val="28"/>
        </w:rPr>
      </w:pPr>
      <w:r w:rsidRPr="00133681">
        <w:rPr>
          <w:b/>
          <w:bCs/>
          <w:sz w:val="28"/>
          <w:szCs w:val="28"/>
          <w:lang w:eastAsia="ja-JP"/>
        </w:rPr>
        <w:t>S</w:t>
      </w:r>
      <w:r w:rsidRPr="00133681">
        <w:rPr>
          <w:b/>
          <w:bCs/>
          <w:sz w:val="28"/>
          <w:szCs w:val="28"/>
        </w:rPr>
        <w:t xml:space="preserve">ubjective methods for the assessment of </w:t>
      </w:r>
      <w:r w:rsidR="00E0368A">
        <w:rPr>
          <w:b/>
          <w:bCs/>
          <w:sz w:val="28"/>
          <w:szCs w:val="28"/>
        </w:rPr>
        <w:br/>
      </w:r>
      <w:r w:rsidRPr="00133681">
        <w:rPr>
          <w:b/>
          <w:bCs/>
          <w:sz w:val="28"/>
          <w:szCs w:val="28"/>
        </w:rPr>
        <w:t>stereoscopic 3DTV systems</w:t>
      </w:r>
    </w:p>
    <w:p w:rsidR="00133681" w:rsidRPr="00133681" w:rsidRDefault="00133681" w:rsidP="00133681">
      <w:pPr>
        <w:rPr>
          <w:sz w:val="24"/>
          <w:szCs w:val="24"/>
          <w:lang w:eastAsia="ja-JP"/>
        </w:rPr>
      </w:pPr>
      <w:r w:rsidRPr="00133681">
        <w:rPr>
          <w:sz w:val="24"/>
          <w:szCs w:val="24"/>
          <w:lang w:eastAsia="ja-JP"/>
        </w:rPr>
        <w:t xml:space="preserve">This </w:t>
      </w:r>
      <w:r>
        <w:rPr>
          <w:sz w:val="24"/>
          <w:szCs w:val="24"/>
          <w:lang w:eastAsia="ja-JP"/>
        </w:rPr>
        <w:t>revision</w:t>
      </w:r>
      <w:r w:rsidRPr="00133681">
        <w:rPr>
          <w:sz w:val="24"/>
          <w:szCs w:val="24"/>
          <w:lang w:eastAsia="ja-JP"/>
        </w:rPr>
        <w:t xml:space="preserve"> is to include two additional methods, the double-stimulus impairment scale (DSIS) method and the simultaneous double stimulus for continuous evaluation (SDSCE) method, described in Rec</w:t>
      </w:r>
      <w:r>
        <w:rPr>
          <w:sz w:val="24"/>
          <w:szCs w:val="24"/>
          <w:lang w:eastAsia="ja-JP"/>
        </w:rPr>
        <w:t>ommendation</w:t>
      </w:r>
      <w:r w:rsidRPr="00133681">
        <w:rPr>
          <w:sz w:val="24"/>
          <w:szCs w:val="24"/>
          <w:lang w:eastAsia="ja-JP"/>
        </w:rPr>
        <w:t xml:space="preserve"> ITU-R BT.500 so that Rec</w:t>
      </w:r>
      <w:r>
        <w:rPr>
          <w:sz w:val="24"/>
          <w:szCs w:val="24"/>
          <w:lang w:eastAsia="ja-JP"/>
        </w:rPr>
        <w:t>ommendation</w:t>
      </w:r>
      <w:r w:rsidRPr="00133681">
        <w:rPr>
          <w:sz w:val="24"/>
          <w:szCs w:val="24"/>
          <w:lang w:eastAsia="ja-JP"/>
        </w:rPr>
        <w:t> ITU</w:t>
      </w:r>
      <w:r w:rsidRPr="00133681">
        <w:rPr>
          <w:sz w:val="24"/>
          <w:szCs w:val="24"/>
          <w:lang w:eastAsia="ja-JP"/>
        </w:rPr>
        <w:noBreakHyphen/>
        <w:t>R BT.2021 can support a variety of subjective assessments of stereoscopic 3DTV systems.</w:t>
      </w:r>
    </w:p>
    <w:p w:rsidR="00827A3D" w:rsidRDefault="00827A3D" w:rsidP="00A4009C">
      <w:pPr>
        <w:tabs>
          <w:tab w:val="right" w:pos="9639"/>
        </w:tabs>
        <w:spacing w:before="360" w:line="240" w:lineRule="auto"/>
        <w:rPr>
          <w:rFonts w:asciiTheme="minorHAnsi" w:hAnsiTheme="minorHAnsi" w:cstheme="minorHAnsi"/>
          <w:sz w:val="24"/>
          <w:szCs w:val="24"/>
          <w:u w:val="single"/>
        </w:rPr>
      </w:pPr>
      <w:r>
        <w:rPr>
          <w:rFonts w:asciiTheme="minorHAnsi" w:hAnsiTheme="minorHAnsi" w:cstheme="minorHAnsi"/>
          <w:sz w:val="24"/>
          <w:szCs w:val="24"/>
          <w:u w:val="single"/>
        </w:rPr>
        <w:br w:type="page"/>
      </w:r>
    </w:p>
    <w:p w:rsidR="0031790A"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lastRenderedPageBreak/>
        <w:t>Draft revision of Recommendation ITU-</w:t>
      </w:r>
      <w:r w:rsidRPr="00133681">
        <w:rPr>
          <w:rFonts w:asciiTheme="minorHAnsi" w:hAnsiTheme="minorHAnsi" w:cstheme="minorHAnsi"/>
          <w:sz w:val="24"/>
          <w:szCs w:val="24"/>
          <w:u w:val="single"/>
        </w:rPr>
        <w:t xml:space="preserve">R </w:t>
      </w:r>
      <w:r w:rsidR="00133681" w:rsidRPr="00133681">
        <w:rPr>
          <w:sz w:val="24"/>
          <w:szCs w:val="24"/>
          <w:u w:val="single"/>
          <w:lang w:eastAsia="zh-CN"/>
        </w:rPr>
        <w:t>BT.1735-2</w:t>
      </w:r>
      <w:r>
        <w:rPr>
          <w:rFonts w:asciiTheme="minorHAnsi" w:hAnsiTheme="minorHAnsi" w:cstheme="minorHAnsi"/>
          <w:sz w:val="24"/>
          <w:szCs w:val="24"/>
        </w:rPr>
        <w:tab/>
        <w:t>Doc. 6/296(Rev.1)</w:t>
      </w:r>
    </w:p>
    <w:p w:rsidR="00133681" w:rsidRDefault="00133681" w:rsidP="00332976">
      <w:pPr>
        <w:tabs>
          <w:tab w:val="right" w:pos="9639"/>
        </w:tabs>
        <w:spacing w:before="240"/>
        <w:jc w:val="center"/>
        <w:rPr>
          <w:b/>
          <w:bCs/>
          <w:sz w:val="28"/>
          <w:szCs w:val="28"/>
          <w:lang w:eastAsia="zh-CN"/>
        </w:rPr>
      </w:pPr>
      <w:r w:rsidRPr="00133681">
        <w:rPr>
          <w:b/>
          <w:bCs/>
          <w:sz w:val="28"/>
          <w:szCs w:val="28"/>
          <w:lang w:eastAsia="zh-CN"/>
        </w:rPr>
        <w:t>Methods for objective reception quality assessment of</w:t>
      </w:r>
      <w:r>
        <w:rPr>
          <w:b/>
          <w:bCs/>
          <w:sz w:val="28"/>
          <w:szCs w:val="28"/>
          <w:lang w:eastAsia="zh-CN"/>
        </w:rPr>
        <w:br/>
      </w:r>
      <w:r w:rsidRPr="00133681">
        <w:rPr>
          <w:b/>
          <w:bCs/>
          <w:sz w:val="28"/>
          <w:szCs w:val="28"/>
          <w:lang w:eastAsia="zh-CN"/>
        </w:rPr>
        <w:t>digital terrestrial television broadcasting signals of System B</w:t>
      </w:r>
      <w:r>
        <w:rPr>
          <w:b/>
          <w:bCs/>
          <w:sz w:val="28"/>
          <w:szCs w:val="28"/>
          <w:lang w:eastAsia="zh-CN"/>
        </w:rPr>
        <w:br/>
      </w:r>
      <w:r w:rsidRPr="00133681">
        <w:rPr>
          <w:b/>
          <w:bCs/>
          <w:sz w:val="28"/>
          <w:szCs w:val="28"/>
          <w:lang w:eastAsia="zh-CN"/>
        </w:rPr>
        <w:t>specified in Recommendation ITU-R BT.1306</w:t>
      </w:r>
    </w:p>
    <w:p w:rsidR="00133681" w:rsidRDefault="00133681" w:rsidP="00133681">
      <w:pPr>
        <w:rPr>
          <w:sz w:val="24"/>
          <w:szCs w:val="24"/>
          <w:lang w:eastAsia="zh-CN"/>
        </w:rPr>
      </w:pPr>
      <w:r>
        <w:rPr>
          <w:sz w:val="24"/>
          <w:szCs w:val="24"/>
          <w:lang w:eastAsia="zh-CN"/>
        </w:rPr>
        <w:t>This revision is to clarify</w:t>
      </w:r>
      <w:r w:rsidRPr="00133681">
        <w:rPr>
          <w:sz w:val="24"/>
          <w:szCs w:val="24"/>
          <w:lang w:eastAsia="zh-CN"/>
        </w:rPr>
        <w:t xml:space="preserve"> the definition of the term “modulation error ratio”, or MER. </w:t>
      </w:r>
    </w:p>
    <w:p w:rsidR="0031790A"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 xml:space="preserve">Draft revision of Recommendation ITU-R </w:t>
      </w:r>
      <w:r w:rsidR="00806A5E" w:rsidRPr="00806A5E">
        <w:rPr>
          <w:rStyle w:val="href"/>
          <w:sz w:val="24"/>
          <w:szCs w:val="24"/>
          <w:u w:val="single"/>
        </w:rPr>
        <w:t>BT.1203-1</w:t>
      </w:r>
      <w:r>
        <w:rPr>
          <w:rFonts w:asciiTheme="minorHAnsi" w:hAnsiTheme="minorHAnsi" w:cstheme="minorHAnsi"/>
          <w:sz w:val="24"/>
          <w:szCs w:val="24"/>
        </w:rPr>
        <w:tab/>
        <w:t>Doc. 6/299(Rev.1)</w:t>
      </w:r>
    </w:p>
    <w:p w:rsidR="00806A5E" w:rsidRDefault="00806A5E" w:rsidP="00332976">
      <w:pPr>
        <w:tabs>
          <w:tab w:val="right" w:pos="9639"/>
        </w:tabs>
        <w:spacing w:before="240"/>
        <w:jc w:val="center"/>
        <w:rPr>
          <w:b/>
          <w:bCs/>
          <w:sz w:val="28"/>
          <w:szCs w:val="28"/>
        </w:rPr>
      </w:pPr>
      <w:r w:rsidRPr="00806A5E">
        <w:rPr>
          <w:b/>
          <w:bCs/>
          <w:sz w:val="28"/>
          <w:szCs w:val="28"/>
        </w:rPr>
        <w:t>User requirements for generic video bit-rate reduction coding</w:t>
      </w:r>
      <w:r w:rsidRPr="00806A5E">
        <w:rPr>
          <w:b/>
          <w:bCs/>
          <w:sz w:val="28"/>
          <w:szCs w:val="28"/>
        </w:rPr>
        <w:br/>
        <w:t>of digital TV signals for an end-to-end television system</w:t>
      </w:r>
    </w:p>
    <w:p w:rsidR="00806A5E" w:rsidRPr="00806A5E" w:rsidRDefault="00806A5E" w:rsidP="00657E11">
      <w:pPr>
        <w:rPr>
          <w:sz w:val="24"/>
          <w:szCs w:val="24"/>
        </w:rPr>
      </w:pPr>
      <w:r w:rsidRPr="00806A5E">
        <w:rPr>
          <w:sz w:val="24"/>
          <w:szCs w:val="24"/>
          <w:lang w:eastAsia="zh-CN"/>
        </w:rPr>
        <w:t xml:space="preserve">This revision covers the inclusion of </w:t>
      </w:r>
      <w:r>
        <w:rPr>
          <w:sz w:val="24"/>
          <w:szCs w:val="24"/>
          <w:lang w:eastAsia="zh-CN"/>
        </w:rPr>
        <w:t xml:space="preserve">Recommendation </w:t>
      </w:r>
      <w:r w:rsidR="00657E11">
        <w:rPr>
          <w:sz w:val="24"/>
          <w:szCs w:val="24"/>
          <w:lang w:eastAsia="zh-CN"/>
        </w:rPr>
        <w:t xml:space="preserve">ITU-T </w:t>
      </w:r>
      <w:r w:rsidRPr="00806A5E">
        <w:rPr>
          <w:sz w:val="24"/>
          <w:szCs w:val="24"/>
        </w:rPr>
        <w:t>H.265 | ISO/IEC 23008-2 (MPEG-H HEVC), and adds addition</w:t>
      </w:r>
      <w:r w:rsidRPr="00806A5E">
        <w:rPr>
          <w:rFonts w:hint="eastAsia"/>
          <w:sz w:val="24"/>
          <w:szCs w:val="24"/>
          <w:lang w:eastAsia="ja-JP"/>
        </w:rPr>
        <w:t>al</w:t>
      </w:r>
      <w:r w:rsidRPr="00806A5E">
        <w:rPr>
          <w:sz w:val="24"/>
          <w:szCs w:val="24"/>
        </w:rPr>
        <w:t xml:space="preserve"> sampling information.</w:t>
      </w:r>
    </w:p>
    <w:p w:rsidR="0031790A"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Draft revision of Recommendation ITU-</w:t>
      </w:r>
      <w:r w:rsidRPr="00657E11">
        <w:rPr>
          <w:rFonts w:asciiTheme="minorHAnsi" w:hAnsiTheme="minorHAnsi" w:cstheme="minorHAnsi"/>
          <w:sz w:val="24"/>
          <w:szCs w:val="24"/>
          <w:u w:val="single"/>
        </w:rPr>
        <w:t xml:space="preserve">R </w:t>
      </w:r>
      <w:r w:rsidR="00657E11" w:rsidRPr="00657E11">
        <w:rPr>
          <w:rStyle w:val="href"/>
          <w:sz w:val="24"/>
          <w:szCs w:val="24"/>
          <w:u w:val="single"/>
        </w:rPr>
        <w:t>BT.1870</w:t>
      </w:r>
      <w:r w:rsidR="000F3ED5">
        <w:rPr>
          <w:rStyle w:val="href"/>
          <w:sz w:val="24"/>
          <w:szCs w:val="24"/>
          <w:u w:val="single"/>
        </w:rPr>
        <w:t>-0</w:t>
      </w:r>
      <w:r>
        <w:rPr>
          <w:rFonts w:asciiTheme="minorHAnsi" w:hAnsiTheme="minorHAnsi" w:cstheme="minorHAnsi"/>
          <w:sz w:val="24"/>
          <w:szCs w:val="24"/>
        </w:rPr>
        <w:tab/>
        <w:t>Doc. 6/300(Rev.1)</w:t>
      </w:r>
    </w:p>
    <w:p w:rsidR="00657E11" w:rsidRPr="00657E11" w:rsidRDefault="00657E11" w:rsidP="00332976">
      <w:pPr>
        <w:tabs>
          <w:tab w:val="right" w:pos="9639"/>
        </w:tabs>
        <w:spacing w:before="240"/>
        <w:jc w:val="center"/>
        <w:rPr>
          <w:rFonts w:asciiTheme="minorHAnsi" w:hAnsiTheme="minorHAnsi" w:cstheme="minorHAnsi"/>
          <w:b/>
          <w:bCs/>
          <w:sz w:val="28"/>
          <w:szCs w:val="28"/>
        </w:rPr>
      </w:pPr>
      <w:r w:rsidRPr="00657E11">
        <w:rPr>
          <w:b/>
          <w:bCs/>
          <w:sz w:val="28"/>
          <w:szCs w:val="28"/>
        </w:rPr>
        <w:t>Video coding for digital television broadcasting</w:t>
      </w:r>
      <w:r w:rsidRPr="00657E11">
        <w:rPr>
          <w:b/>
          <w:bCs/>
          <w:sz w:val="28"/>
          <w:szCs w:val="28"/>
          <w:lang w:eastAsia="ja-JP"/>
        </w:rPr>
        <w:t xml:space="preserve"> emission</w:t>
      </w:r>
    </w:p>
    <w:p w:rsidR="00657E11" w:rsidRPr="00657E11" w:rsidRDefault="00657E11" w:rsidP="00657E11">
      <w:pPr>
        <w:rPr>
          <w:sz w:val="24"/>
          <w:szCs w:val="24"/>
          <w:lang w:eastAsia="ja-JP"/>
        </w:rPr>
      </w:pPr>
      <w:r w:rsidRPr="00657E11">
        <w:rPr>
          <w:sz w:val="24"/>
          <w:szCs w:val="24"/>
          <w:lang w:eastAsia="ja-JP"/>
        </w:rPr>
        <w:t>This revision includes the Recommendation ITU</w:t>
      </w:r>
      <w:r w:rsidRPr="00657E11">
        <w:rPr>
          <w:sz w:val="24"/>
          <w:szCs w:val="24"/>
          <w:lang w:eastAsia="ja-JP"/>
        </w:rPr>
        <w:noBreakHyphen/>
        <w:t>T H.265 | ISO/IEC 23008-2 (MPEG-H HEVC)</w:t>
      </w:r>
      <w:r w:rsidRPr="00657E11">
        <w:rPr>
          <w:rFonts w:hint="eastAsia"/>
          <w:sz w:val="24"/>
          <w:szCs w:val="24"/>
          <w:lang w:eastAsia="ja-JP"/>
        </w:rPr>
        <w:t xml:space="preserve"> as a video coding standard for </w:t>
      </w:r>
      <w:r w:rsidRPr="00657E11">
        <w:rPr>
          <w:sz w:val="24"/>
          <w:szCs w:val="24"/>
          <w:lang w:eastAsia="ja-JP"/>
        </w:rPr>
        <w:t>digital television broadcasting emission systems.</w:t>
      </w:r>
    </w:p>
    <w:p w:rsidR="0031790A"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Draft revision of Recommendation ITU-</w:t>
      </w:r>
      <w:r w:rsidRPr="00365BCC">
        <w:rPr>
          <w:rFonts w:asciiTheme="minorHAnsi" w:hAnsiTheme="minorHAnsi" w:cstheme="minorHAnsi"/>
          <w:sz w:val="24"/>
          <w:szCs w:val="24"/>
          <w:u w:val="single"/>
        </w:rPr>
        <w:t xml:space="preserve">R </w:t>
      </w:r>
      <w:r w:rsidR="00365BCC" w:rsidRPr="00365BCC">
        <w:rPr>
          <w:sz w:val="24"/>
          <w:szCs w:val="24"/>
          <w:u w:val="single"/>
        </w:rPr>
        <w:t>BT.2033</w:t>
      </w:r>
      <w:r w:rsidR="000F3ED5">
        <w:rPr>
          <w:sz w:val="24"/>
          <w:szCs w:val="24"/>
          <w:u w:val="single"/>
        </w:rPr>
        <w:t>-0</w:t>
      </w:r>
      <w:r>
        <w:rPr>
          <w:rFonts w:asciiTheme="minorHAnsi" w:hAnsiTheme="minorHAnsi" w:cstheme="minorHAnsi"/>
          <w:sz w:val="24"/>
          <w:szCs w:val="24"/>
        </w:rPr>
        <w:tab/>
        <w:t>Doc. 6/301(Rev.1)</w:t>
      </w:r>
    </w:p>
    <w:p w:rsidR="00365BCC" w:rsidRDefault="00365BCC" w:rsidP="00332976">
      <w:pPr>
        <w:tabs>
          <w:tab w:val="right" w:pos="9639"/>
        </w:tabs>
        <w:spacing w:before="240"/>
        <w:jc w:val="center"/>
        <w:rPr>
          <w:b/>
          <w:bCs/>
          <w:sz w:val="28"/>
          <w:szCs w:val="28"/>
        </w:rPr>
      </w:pPr>
      <w:r w:rsidRPr="00365BCC">
        <w:rPr>
          <w:b/>
          <w:bCs/>
          <w:sz w:val="28"/>
          <w:szCs w:val="28"/>
        </w:rPr>
        <w:t>Planning criteria, including protection ratios, for second generation of digital terrestrial television broadcasting systems in the VHF/UHF bands</w:t>
      </w:r>
    </w:p>
    <w:p w:rsidR="00365BCC" w:rsidRPr="00365BCC" w:rsidRDefault="00365BCC" w:rsidP="00365BCC">
      <w:pPr>
        <w:rPr>
          <w:sz w:val="24"/>
          <w:szCs w:val="24"/>
          <w:lang w:eastAsia="zh-CN"/>
        </w:rPr>
      </w:pPr>
      <w:r>
        <w:rPr>
          <w:sz w:val="24"/>
          <w:szCs w:val="24"/>
          <w:lang w:eastAsia="zh-CN"/>
        </w:rPr>
        <w:t>This revision updates</w:t>
      </w:r>
      <w:r w:rsidRPr="00365BCC">
        <w:rPr>
          <w:sz w:val="24"/>
          <w:szCs w:val="24"/>
          <w:lang w:eastAsia="ja-JP"/>
        </w:rPr>
        <w:t xml:space="preserve"> </w:t>
      </w:r>
      <w:r w:rsidRPr="00365BCC">
        <w:rPr>
          <w:sz w:val="24"/>
          <w:szCs w:val="24"/>
          <w:lang w:eastAsia="zh-CN"/>
        </w:rPr>
        <w:t>planning parameters for 6 MHz DVB-T2 system. Some slight editorial changes were made to clarify the channel bandwidth and the reception channel used.</w:t>
      </w:r>
    </w:p>
    <w:p w:rsidR="00365BCC" w:rsidRPr="00365BCC" w:rsidRDefault="00365BCC" w:rsidP="00365BCC">
      <w:pPr>
        <w:rPr>
          <w:sz w:val="24"/>
          <w:szCs w:val="24"/>
          <w:lang w:eastAsia="ja-JP"/>
        </w:rPr>
      </w:pPr>
      <w:r w:rsidRPr="00365BCC">
        <w:rPr>
          <w:sz w:val="24"/>
          <w:szCs w:val="24"/>
          <w:lang w:eastAsia="zh-CN"/>
        </w:rPr>
        <w:t xml:space="preserve">Table 21 </w:t>
      </w:r>
      <w:r>
        <w:rPr>
          <w:sz w:val="24"/>
          <w:szCs w:val="24"/>
          <w:lang w:eastAsia="zh-CN"/>
        </w:rPr>
        <w:t>i</w:t>
      </w:r>
      <w:r w:rsidRPr="00365BCC">
        <w:rPr>
          <w:sz w:val="24"/>
          <w:szCs w:val="24"/>
          <w:lang w:eastAsia="zh-CN"/>
        </w:rPr>
        <w:t>s modified to show protection ratios without the ISDB-T optional frequency offset effect; also notes in Tables 22 and 23 were added, describing this offset effect on the DVB-T2 protection ratios.</w:t>
      </w:r>
      <w:r>
        <w:rPr>
          <w:sz w:val="24"/>
          <w:szCs w:val="24"/>
          <w:lang w:eastAsia="zh-CN"/>
        </w:rPr>
        <w:t xml:space="preserve"> T</w:t>
      </w:r>
      <w:r w:rsidRPr="00365BCC">
        <w:rPr>
          <w:sz w:val="24"/>
          <w:szCs w:val="24"/>
          <w:lang w:eastAsia="zh-CN"/>
        </w:rPr>
        <w:t xml:space="preserve">he title of Annex 1 is changed. </w:t>
      </w:r>
    </w:p>
    <w:p w:rsidR="0031790A"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 xml:space="preserve">Draft revision of Recommendation ITU-R </w:t>
      </w:r>
      <w:r w:rsidR="00365BCC" w:rsidRPr="00365BCC">
        <w:rPr>
          <w:sz w:val="24"/>
          <w:szCs w:val="24"/>
          <w:u w:val="single"/>
          <w:lang w:eastAsia="zh-CN"/>
        </w:rPr>
        <w:t>BT.1368-1</w:t>
      </w:r>
      <w:r w:rsidR="00365BCC" w:rsidRPr="00365BCC">
        <w:rPr>
          <w:rFonts w:hint="eastAsia"/>
          <w:sz w:val="24"/>
          <w:szCs w:val="24"/>
          <w:u w:val="single"/>
          <w:lang w:eastAsia="ja-JP"/>
        </w:rPr>
        <w:t>1</w:t>
      </w:r>
      <w:r>
        <w:rPr>
          <w:rFonts w:asciiTheme="minorHAnsi" w:hAnsiTheme="minorHAnsi" w:cstheme="minorHAnsi"/>
          <w:sz w:val="24"/>
          <w:szCs w:val="24"/>
        </w:rPr>
        <w:tab/>
        <w:t>Doc. 6/303(Rev.1)</w:t>
      </w:r>
    </w:p>
    <w:p w:rsidR="00365BCC" w:rsidRDefault="00365BCC" w:rsidP="00332976">
      <w:pPr>
        <w:tabs>
          <w:tab w:val="right" w:pos="9639"/>
        </w:tabs>
        <w:spacing w:before="240"/>
        <w:jc w:val="center"/>
        <w:rPr>
          <w:b/>
          <w:bCs/>
          <w:sz w:val="28"/>
          <w:szCs w:val="28"/>
          <w:lang w:eastAsia="zh-CN"/>
        </w:rPr>
      </w:pPr>
      <w:r w:rsidRPr="00365BCC">
        <w:rPr>
          <w:b/>
          <w:bCs/>
          <w:sz w:val="28"/>
          <w:szCs w:val="28"/>
          <w:lang w:eastAsia="zh-CN"/>
        </w:rPr>
        <w:t>Planning criteria, including protection ratios, for digital terrestrial</w:t>
      </w:r>
      <w:r w:rsidRPr="00365BCC">
        <w:rPr>
          <w:b/>
          <w:bCs/>
          <w:sz w:val="28"/>
          <w:szCs w:val="28"/>
          <w:lang w:eastAsia="ja-JP"/>
        </w:rPr>
        <w:br/>
      </w:r>
      <w:r w:rsidRPr="00365BCC">
        <w:rPr>
          <w:b/>
          <w:bCs/>
          <w:sz w:val="28"/>
          <w:szCs w:val="28"/>
          <w:lang w:eastAsia="zh-CN"/>
        </w:rPr>
        <w:t>television services in the VHF/UHF bands</w:t>
      </w:r>
    </w:p>
    <w:p w:rsidR="00365BCC" w:rsidRPr="00365BCC" w:rsidRDefault="00365BCC" w:rsidP="00365BCC">
      <w:pPr>
        <w:rPr>
          <w:sz w:val="24"/>
          <w:szCs w:val="24"/>
          <w:lang w:eastAsia="ja-JP"/>
        </w:rPr>
      </w:pPr>
      <w:r>
        <w:rPr>
          <w:sz w:val="24"/>
          <w:szCs w:val="24"/>
        </w:rPr>
        <w:t xml:space="preserve">This revision </w:t>
      </w:r>
      <w:r w:rsidRPr="00365BCC">
        <w:rPr>
          <w:rFonts w:hint="eastAsia"/>
          <w:sz w:val="24"/>
          <w:szCs w:val="24"/>
          <w:lang w:eastAsia="ja-JP"/>
        </w:rPr>
        <w:t>include</w:t>
      </w:r>
      <w:r>
        <w:rPr>
          <w:sz w:val="24"/>
          <w:szCs w:val="24"/>
          <w:lang w:eastAsia="ja-JP"/>
        </w:rPr>
        <w:t>s</w:t>
      </w:r>
      <w:r w:rsidRPr="00365BCC">
        <w:rPr>
          <w:rFonts w:hint="eastAsia"/>
          <w:sz w:val="24"/>
          <w:szCs w:val="24"/>
          <w:lang w:eastAsia="ja-JP"/>
        </w:rPr>
        <w:t xml:space="preserve"> the addition of planning criteria between ISDB-T and DVB-T2 6</w:t>
      </w:r>
      <w:r>
        <w:rPr>
          <w:sz w:val="24"/>
          <w:szCs w:val="24"/>
          <w:lang w:eastAsia="ja-JP"/>
        </w:rPr>
        <w:t xml:space="preserve"> </w:t>
      </w:r>
      <w:r w:rsidRPr="00365BCC">
        <w:rPr>
          <w:rFonts w:hint="eastAsia"/>
          <w:sz w:val="24"/>
          <w:szCs w:val="24"/>
          <w:lang w:eastAsia="ja-JP"/>
        </w:rPr>
        <w:t>MHz system and DTMB 6</w:t>
      </w:r>
      <w:r>
        <w:rPr>
          <w:sz w:val="24"/>
          <w:szCs w:val="24"/>
          <w:lang w:eastAsia="ja-JP"/>
        </w:rPr>
        <w:t xml:space="preserve"> </w:t>
      </w:r>
      <w:r w:rsidRPr="00365BCC">
        <w:rPr>
          <w:rFonts w:hint="eastAsia"/>
          <w:sz w:val="24"/>
          <w:szCs w:val="24"/>
          <w:lang w:eastAsia="ja-JP"/>
        </w:rPr>
        <w:t>MHz system</w:t>
      </w:r>
      <w:r>
        <w:rPr>
          <w:sz w:val="24"/>
          <w:szCs w:val="24"/>
          <w:lang w:eastAsia="ja-JP"/>
        </w:rPr>
        <w:t>,</w:t>
      </w:r>
      <w:r w:rsidRPr="00365BCC">
        <w:rPr>
          <w:rFonts w:hint="eastAsia"/>
          <w:sz w:val="24"/>
          <w:szCs w:val="24"/>
          <w:lang w:eastAsia="ja-JP"/>
        </w:rPr>
        <w:t xml:space="preserve"> </w:t>
      </w:r>
      <w:r w:rsidR="000F3ED5">
        <w:rPr>
          <w:sz w:val="24"/>
          <w:szCs w:val="24"/>
          <w:lang w:eastAsia="ja-JP"/>
        </w:rPr>
        <w:t xml:space="preserve">plus </w:t>
      </w:r>
      <w:r w:rsidRPr="00365BCC">
        <w:rPr>
          <w:rFonts w:hint="eastAsia"/>
          <w:sz w:val="24"/>
          <w:szCs w:val="24"/>
          <w:lang w:eastAsia="ja-JP"/>
        </w:rPr>
        <w:t xml:space="preserve">the information on </w:t>
      </w:r>
      <w:r w:rsidRPr="00365BCC">
        <w:rPr>
          <w:sz w:val="24"/>
          <w:szCs w:val="24"/>
          <w:lang w:eastAsia="ja-JP"/>
        </w:rPr>
        <w:t xml:space="preserve">Subjective </w:t>
      </w:r>
      <w:r>
        <w:rPr>
          <w:sz w:val="24"/>
          <w:szCs w:val="24"/>
          <w:lang w:eastAsia="ja-JP"/>
        </w:rPr>
        <w:t>F</w:t>
      </w:r>
      <w:r w:rsidRPr="00365BCC">
        <w:rPr>
          <w:sz w:val="24"/>
          <w:szCs w:val="24"/>
          <w:lang w:eastAsia="ja-JP"/>
        </w:rPr>
        <w:t xml:space="preserve">ailure </w:t>
      </w:r>
      <w:r>
        <w:rPr>
          <w:sz w:val="24"/>
          <w:szCs w:val="24"/>
          <w:lang w:eastAsia="ja-JP"/>
        </w:rPr>
        <w:t>P</w:t>
      </w:r>
      <w:r w:rsidRPr="00365BCC">
        <w:rPr>
          <w:sz w:val="24"/>
          <w:szCs w:val="24"/>
          <w:lang w:eastAsia="ja-JP"/>
        </w:rPr>
        <w:t>oint (SFP) method for protection ratio measurements</w:t>
      </w:r>
      <w:r w:rsidRPr="00365BCC">
        <w:rPr>
          <w:rFonts w:hint="eastAsia"/>
          <w:sz w:val="24"/>
          <w:szCs w:val="24"/>
          <w:lang w:eastAsia="ja-JP"/>
        </w:rPr>
        <w:t xml:space="preserve"> for ATSC television system.</w:t>
      </w:r>
    </w:p>
    <w:p w:rsidR="0031790A" w:rsidRPr="00977DA2" w:rsidRDefault="0031790A" w:rsidP="00A4009C">
      <w:pPr>
        <w:tabs>
          <w:tab w:val="right" w:pos="9639"/>
        </w:tabs>
        <w:spacing w:before="360" w:line="240" w:lineRule="auto"/>
        <w:rPr>
          <w:rFonts w:asciiTheme="minorHAnsi" w:hAnsiTheme="minorHAnsi" w:cstheme="minorHAnsi"/>
          <w:sz w:val="24"/>
          <w:szCs w:val="24"/>
        </w:rPr>
      </w:pPr>
      <w:r>
        <w:rPr>
          <w:rFonts w:asciiTheme="minorHAnsi" w:hAnsiTheme="minorHAnsi" w:cstheme="minorHAnsi"/>
          <w:sz w:val="24"/>
          <w:szCs w:val="24"/>
          <w:u w:val="single"/>
        </w:rPr>
        <w:t xml:space="preserve">Draft revision of Recommendation ITU-R </w:t>
      </w:r>
      <w:r w:rsidR="000F3ED5" w:rsidRPr="000F3ED5">
        <w:rPr>
          <w:sz w:val="24"/>
          <w:szCs w:val="24"/>
          <w:u w:val="single"/>
          <w:lang w:eastAsia="zh-CN"/>
        </w:rPr>
        <w:t>BS.1196-3</w:t>
      </w:r>
      <w:r>
        <w:rPr>
          <w:rFonts w:asciiTheme="minorHAnsi" w:hAnsiTheme="minorHAnsi" w:cstheme="minorHAnsi"/>
          <w:sz w:val="24"/>
          <w:szCs w:val="24"/>
        </w:rPr>
        <w:tab/>
        <w:t>Doc. 6/309(Rev.1)</w:t>
      </w:r>
    </w:p>
    <w:p w:rsidR="0031790A" w:rsidRDefault="000F3ED5" w:rsidP="00332976">
      <w:pPr>
        <w:tabs>
          <w:tab w:val="right" w:pos="9639"/>
        </w:tabs>
        <w:spacing w:before="240"/>
        <w:jc w:val="center"/>
        <w:rPr>
          <w:b/>
          <w:bCs/>
          <w:sz w:val="28"/>
          <w:szCs w:val="28"/>
          <w:lang w:eastAsia="zh-CN"/>
        </w:rPr>
      </w:pPr>
      <w:r w:rsidRPr="000F3ED5">
        <w:rPr>
          <w:b/>
          <w:bCs/>
          <w:sz w:val="28"/>
          <w:szCs w:val="28"/>
          <w:lang w:eastAsia="zh-CN"/>
        </w:rPr>
        <w:t>Audio coding for digital broadcasting</w:t>
      </w:r>
    </w:p>
    <w:p w:rsidR="000F3ED5" w:rsidRPr="000F3ED5" w:rsidRDefault="000F3ED5" w:rsidP="00332976">
      <w:pPr>
        <w:rPr>
          <w:rFonts w:asciiTheme="minorHAnsi" w:eastAsiaTheme="majorEastAsia" w:hAnsiTheme="minorHAnsi" w:cstheme="majorBidi"/>
          <w:sz w:val="24"/>
          <w:szCs w:val="24"/>
          <w:lang w:eastAsia="ja-JP"/>
        </w:rPr>
      </w:pPr>
      <w:r w:rsidRPr="000F3ED5">
        <w:rPr>
          <w:rFonts w:asciiTheme="minorHAnsi" w:eastAsiaTheme="majorEastAsia" w:hAnsiTheme="minorHAnsi" w:cstheme="majorBidi"/>
          <w:sz w:val="24"/>
          <w:szCs w:val="24"/>
          <w:lang w:eastAsia="ja-JP"/>
        </w:rPr>
        <w:t>This revision includes the following changes:</w:t>
      </w:r>
    </w:p>
    <w:p w:rsidR="000F3ED5" w:rsidRPr="000F3ED5" w:rsidRDefault="000F3ED5" w:rsidP="009A1D9F">
      <w:pPr>
        <w:spacing w:before="120"/>
        <w:rPr>
          <w:rFonts w:eastAsiaTheme="majorEastAsia"/>
          <w:sz w:val="24"/>
          <w:szCs w:val="24"/>
          <w:lang w:eastAsia="ja-JP"/>
        </w:rPr>
      </w:pPr>
      <w:r>
        <w:rPr>
          <w:rFonts w:eastAsiaTheme="majorEastAsia"/>
          <w:sz w:val="24"/>
          <w:szCs w:val="24"/>
        </w:rPr>
        <w:t>1</w:t>
      </w:r>
      <w:r w:rsidR="00280E94">
        <w:rPr>
          <w:rFonts w:eastAsiaTheme="majorEastAsia"/>
          <w:sz w:val="24"/>
          <w:szCs w:val="24"/>
        </w:rPr>
        <w:t>)</w:t>
      </w:r>
      <w:r>
        <w:rPr>
          <w:rFonts w:eastAsiaTheme="majorEastAsia"/>
          <w:sz w:val="24"/>
          <w:szCs w:val="24"/>
        </w:rPr>
        <w:tab/>
      </w:r>
      <w:r w:rsidRPr="000F3ED5">
        <w:rPr>
          <w:rFonts w:eastAsiaTheme="majorEastAsia"/>
          <w:sz w:val="24"/>
          <w:szCs w:val="24"/>
        </w:rPr>
        <w:t>Modification of “Considering” and “Further Recommends”</w:t>
      </w:r>
    </w:p>
    <w:p w:rsidR="000F3ED5" w:rsidRPr="000F3ED5" w:rsidRDefault="000F3ED5" w:rsidP="009A1D9F">
      <w:pPr>
        <w:spacing w:before="120"/>
        <w:rPr>
          <w:rFonts w:eastAsiaTheme="majorEastAsia"/>
          <w:sz w:val="24"/>
          <w:lang w:eastAsia="ja-JP"/>
        </w:rPr>
      </w:pPr>
      <w:r>
        <w:rPr>
          <w:rFonts w:eastAsiaTheme="majorEastAsia"/>
          <w:sz w:val="24"/>
        </w:rPr>
        <w:t>2</w:t>
      </w:r>
      <w:r w:rsidR="00280E94">
        <w:rPr>
          <w:rFonts w:eastAsiaTheme="majorEastAsia"/>
          <w:sz w:val="24"/>
          <w:szCs w:val="24"/>
        </w:rPr>
        <w:t>)</w:t>
      </w:r>
      <w:r>
        <w:rPr>
          <w:rFonts w:eastAsiaTheme="majorEastAsia"/>
          <w:sz w:val="24"/>
        </w:rPr>
        <w:tab/>
      </w:r>
      <w:r w:rsidRPr="000F3ED5">
        <w:rPr>
          <w:rFonts w:eastAsiaTheme="majorEastAsia"/>
          <w:sz w:val="24"/>
        </w:rPr>
        <w:t>Update of Table 2 in Appendix 2</w:t>
      </w:r>
    </w:p>
    <w:p w:rsidR="000F3ED5" w:rsidRPr="000F3ED5" w:rsidRDefault="000F3ED5" w:rsidP="009A1D9F">
      <w:pPr>
        <w:spacing w:before="120"/>
        <w:rPr>
          <w:rFonts w:eastAsiaTheme="majorEastAsia"/>
          <w:sz w:val="24"/>
          <w:lang w:eastAsia="ja-JP"/>
        </w:rPr>
      </w:pPr>
      <w:r>
        <w:rPr>
          <w:rFonts w:eastAsiaTheme="majorEastAsia"/>
          <w:sz w:val="24"/>
        </w:rPr>
        <w:t>3</w:t>
      </w:r>
      <w:r w:rsidR="00280E94">
        <w:rPr>
          <w:rFonts w:eastAsiaTheme="majorEastAsia"/>
          <w:sz w:val="24"/>
          <w:szCs w:val="24"/>
        </w:rPr>
        <w:t>)</w:t>
      </w:r>
      <w:bookmarkStart w:id="0" w:name="_GoBack"/>
      <w:bookmarkEnd w:id="0"/>
      <w:r>
        <w:rPr>
          <w:rFonts w:eastAsiaTheme="majorEastAsia"/>
          <w:sz w:val="24"/>
        </w:rPr>
        <w:tab/>
      </w:r>
      <w:r w:rsidRPr="000F3ED5">
        <w:rPr>
          <w:rFonts w:eastAsiaTheme="majorEastAsia"/>
          <w:sz w:val="24"/>
        </w:rPr>
        <w:t>The Appendices are clarified as informative.</w:t>
      </w:r>
    </w:p>
    <w:p w:rsidR="004A7970" w:rsidRPr="00BF5F50" w:rsidRDefault="004A7970" w:rsidP="004A7970">
      <w:pPr>
        <w:pStyle w:val="Headingb"/>
        <w:spacing w:before="360" w:after="120"/>
        <w:jc w:val="center"/>
        <w:rPr>
          <w:rFonts w:asciiTheme="minorHAnsi" w:hAnsiTheme="minorHAnsi" w:cstheme="minorHAnsi"/>
          <w:sz w:val="28"/>
          <w:szCs w:val="28"/>
        </w:rPr>
      </w:pPr>
      <w:r w:rsidRPr="00BF5F50">
        <w:rPr>
          <w:rFonts w:asciiTheme="minorHAnsi" w:hAnsiTheme="minorHAnsi" w:cstheme="minorHAnsi"/>
          <w:sz w:val="28"/>
          <w:szCs w:val="28"/>
        </w:rPr>
        <w:lastRenderedPageBreak/>
        <w:t>Annex 2</w:t>
      </w:r>
    </w:p>
    <w:p w:rsidR="004A7970" w:rsidRPr="00A4009C" w:rsidRDefault="004A7970">
      <w:pPr>
        <w:spacing w:before="360"/>
        <w:jc w:val="center"/>
        <w:rPr>
          <w:rFonts w:asciiTheme="minorHAnsi" w:hAnsiTheme="minorHAnsi" w:cstheme="minorHAnsi"/>
          <w:sz w:val="24"/>
          <w:szCs w:val="24"/>
        </w:rPr>
      </w:pPr>
      <w:r w:rsidRPr="00DA383E">
        <w:rPr>
          <w:rFonts w:asciiTheme="minorHAnsi" w:hAnsiTheme="minorHAnsi" w:cstheme="minorHAnsi"/>
          <w:sz w:val="24"/>
          <w:szCs w:val="24"/>
        </w:rPr>
        <w:t>(Source: Document</w:t>
      </w:r>
      <w:r w:rsidRPr="00A4009C">
        <w:rPr>
          <w:rFonts w:asciiTheme="minorHAnsi" w:hAnsiTheme="minorHAnsi" w:cstheme="minorHAnsi"/>
          <w:sz w:val="24"/>
          <w:szCs w:val="24"/>
        </w:rPr>
        <w:t>s</w:t>
      </w:r>
      <w:r w:rsidR="00A4009C">
        <w:rPr>
          <w:rFonts w:asciiTheme="minorHAnsi" w:hAnsiTheme="minorHAnsi" w:cstheme="minorHAnsi"/>
          <w:sz w:val="24"/>
          <w:szCs w:val="24"/>
        </w:rPr>
        <w:t xml:space="preserve"> 6/279 and 6/280</w:t>
      </w:r>
      <w:r w:rsidRPr="00A4009C">
        <w:rPr>
          <w:rFonts w:asciiTheme="minorHAnsi" w:hAnsiTheme="minorHAnsi" w:cstheme="minorHAnsi"/>
          <w:sz w:val="24"/>
          <w:szCs w:val="24"/>
        </w:rPr>
        <w:t>)</w:t>
      </w:r>
    </w:p>
    <w:p w:rsidR="004A7970" w:rsidRDefault="004A7970">
      <w:pPr>
        <w:spacing w:before="360"/>
        <w:jc w:val="center"/>
        <w:rPr>
          <w:rFonts w:asciiTheme="minorHAnsi" w:hAnsiTheme="minorHAnsi" w:cstheme="minorHAnsi"/>
          <w:b/>
          <w:bCs/>
          <w:sz w:val="28"/>
          <w:szCs w:val="28"/>
        </w:rPr>
      </w:pPr>
      <w:r w:rsidRPr="00A4009C">
        <w:rPr>
          <w:rFonts w:asciiTheme="minorHAnsi" w:hAnsiTheme="minorHAnsi" w:cstheme="minorHAnsi"/>
          <w:b/>
          <w:bCs/>
          <w:sz w:val="28"/>
          <w:szCs w:val="28"/>
        </w:rPr>
        <w:t>Recommendations proposed for suppression</w:t>
      </w:r>
    </w:p>
    <w:p w:rsidR="00A4009C" w:rsidRPr="00BF5F50" w:rsidRDefault="00A4009C" w:rsidP="00A4009C">
      <w:pPr>
        <w:spacing w:before="360"/>
        <w:jc w:val="center"/>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2217"/>
        <w:gridCol w:w="7412"/>
      </w:tblGrid>
      <w:tr w:rsidR="00A4009C" w:rsidTr="00A4009C">
        <w:tc>
          <w:tcPr>
            <w:tcW w:w="2235" w:type="dxa"/>
          </w:tcPr>
          <w:p w:rsidR="00A4009C" w:rsidRDefault="00A4009C" w:rsidP="00BE68F0">
            <w:pPr>
              <w:pStyle w:val="Tablehead"/>
              <w:rPr>
                <w:lang w:val="en-GB"/>
              </w:rPr>
            </w:pPr>
            <w:r>
              <w:rPr>
                <w:lang w:val="en-GB"/>
              </w:rPr>
              <w:t>Recommendation ITU-R</w:t>
            </w:r>
          </w:p>
        </w:tc>
        <w:tc>
          <w:tcPr>
            <w:tcW w:w="7620" w:type="dxa"/>
          </w:tcPr>
          <w:p w:rsidR="00A4009C" w:rsidRDefault="00A4009C" w:rsidP="00BE68F0">
            <w:pPr>
              <w:pStyle w:val="Tablehead"/>
              <w:rPr>
                <w:lang w:val="en-GB"/>
              </w:rPr>
            </w:pPr>
            <w:r>
              <w:rPr>
                <w:lang w:val="en-GB"/>
              </w:rPr>
              <w:t>Title</w:t>
            </w:r>
          </w:p>
        </w:tc>
      </w:tr>
      <w:tr w:rsidR="00A4009C" w:rsidTr="00A4009C">
        <w:tc>
          <w:tcPr>
            <w:tcW w:w="2235" w:type="dxa"/>
          </w:tcPr>
          <w:p w:rsidR="00A4009C" w:rsidRDefault="00A4009C" w:rsidP="00A4009C">
            <w:pPr>
              <w:pStyle w:val="Tabletext"/>
              <w:jc w:val="center"/>
              <w:rPr>
                <w:lang w:val="en-GB"/>
              </w:rPr>
            </w:pPr>
            <w:r w:rsidRPr="00A2609A">
              <w:rPr>
                <w:rStyle w:val="href"/>
              </w:rPr>
              <w:t>BT.1361</w:t>
            </w:r>
            <w:r>
              <w:rPr>
                <w:rStyle w:val="href"/>
              </w:rPr>
              <w:t>-0</w:t>
            </w:r>
          </w:p>
        </w:tc>
        <w:tc>
          <w:tcPr>
            <w:tcW w:w="7620" w:type="dxa"/>
          </w:tcPr>
          <w:p w:rsidR="00A4009C" w:rsidRDefault="00A4009C" w:rsidP="00A4009C">
            <w:pPr>
              <w:pStyle w:val="Tabletext"/>
              <w:rPr>
                <w:lang w:val="en-GB"/>
              </w:rPr>
            </w:pPr>
            <w:r w:rsidRPr="00A2609A">
              <w:t xml:space="preserve">Worldwide unified </w:t>
            </w:r>
            <w:proofErr w:type="spellStart"/>
            <w:r w:rsidRPr="00A2609A">
              <w:t>colorimetry</w:t>
            </w:r>
            <w:proofErr w:type="spellEnd"/>
            <w:r w:rsidRPr="00A2609A">
              <w:t xml:space="preserve"> and related characteristics</w:t>
            </w:r>
            <w:r>
              <w:t xml:space="preserve"> </w:t>
            </w:r>
            <w:r w:rsidRPr="00A2609A">
              <w:t>of future television and imaging systems</w:t>
            </w:r>
          </w:p>
        </w:tc>
      </w:tr>
      <w:tr w:rsidR="00A4009C" w:rsidTr="00A4009C">
        <w:tc>
          <w:tcPr>
            <w:tcW w:w="2235" w:type="dxa"/>
          </w:tcPr>
          <w:p w:rsidR="00A4009C" w:rsidRPr="00A2609A" w:rsidRDefault="00A4009C" w:rsidP="00A4009C">
            <w:pPr>
              <w:pStyle w:val="Tabletext"/>
              <w:jc w:val="center"/>
              <w:rPr>
                <w:rStyle w:val="href"/>
              </w:rPr>
            </w:pPr>
            <w:r>
              <w:rPr>
                <w:rStyle w:val="href"/>
              </w:rPr>
              <w:t>BT</w:t>
            </w:r>
            <w:r w:rsidRPr="00BF487A">
              <w:rPr>
                <w:rStyle w:val="href"/>
              </w:rPr>
              <w:t>.</w:t>
            </w:r>
            <w:r w:rsidRPr="003142AA">
              <w:rPr>
                <w:rStyle w:val="href"/>
              </w:rPr>
              <w:t>1358</w:t>
            </w:r>
            <w:r w:rsidRPr="00C223A8">
              <w:rPr>
                <w:rStyle w:val="href"/>
              </w:rPr>
              <w:t>-1</w:t>
            </w:r>
          </w:p>
        </w:tc>
        <w:tc>
          <w:tcPr>
            <w:tcW w:w="7620" w:type="dxa"/>
          </w:tcPr>
          <w:p w:rsidR="00A4009C" w:rsidRPr="00A2609A" w:rsidRDefault="00A4009C" w:rsidP="00BE68F0">
            <w:pPr>
              <w:pStyle w:val="Tabletext"/>
            </w:pPr>
            <w:r w:rsidRPr="00A2791F">
              <w:t>Studio parameters of 625 and 525 line progressive television systems</w:t>
            </w:r>
          </w:p>
        </w:tc>
      </w:tr>
    </w:tbl>
    <w:p w:rsidR="004A7970" w:rsidRPr="001E255D" w:rsidRDefault="004A7970" w:rsidP="004A7970"/>
    <w:p w:rsidR="004A7970" w:rsidRPr="00CF2B55" w:rsidRDefault="004A7970" w:rsidP="00281D80">
      <w:pPr>
        <w:pStyle w:val="Headingb"/>
        <w:spacing w:before="360" w:after="120"/>
        <w:jc w:val="center"/>
        <w:rPr>
          <w:b w:val="0"/>
          <w:bCs/>
        </w:rPr>
      </w:pPr>
      <w:r w:rsidRPr="00CF2B55">
        <w:rPr>
          <w:b w:val="0"/>
          <w:bCs/>
        </w:rPr>
        <w:t>________________</w:t>
      </w:r>
    </w:p>
    <w:sectPr w:rsidR="004A7970" w:rsidRPr="00CF2B55"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80E94">
      <w:rPr>
        <w:rStyle w:val="PageNumber"/>
        <w:noProof/>
        <w:sz w:val="18"/>
        <w:szCs w:val="18"/>
      </w:rPr>
      <w:t>2</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280E94">
      <w:rPr>
        <w:rStyle w:val="PageNumber"/>
        <w:noProof/>
        <w:sz w:val="18"/>
        <w:szCs w:val="18"/>
      </w:rPr>
      <w:t>5</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7D713A"/>
    <w:multiLevelType w:val="hybridMultilevel"/>
    <w:tmpl w:val="3C00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0F3ED5"/>
    <w:rsid w:val="00100B72"/>
    <w:rsid w:val="00101F7D"/>
    <w:rsid w:val="00103C76"/>
    <w:rsid w:val="0011265F"/>
    <w:rsid w:val="00117282"/>
    <w:rsid w:val="00117389"/>
    <w:rsid w:val="00121C2D"/>
    <w:rsid w:val="00133681"/>
    <w:rsid w:val="00134404"/>
    <w:rsid w:val="00144DFB"/>
    <w:rsid w:val="00187CA3"/>
    <w:rsid w:val="00196710"/>
    <w:rsid w:val="00196962"/>
    <w:rsid w:val="00197324"/>
    <w:rsid w:val="001B351B"/>
    <w:rsid w:val="001C06DB"/>
    <w:rsid w:val="001C6971"/>
    <w:rsid w:val="001D2785"/>
    <w:rsid w:val="001D7070"/>
    <w:rsid w:val="001F2170"/>
    <w:rsid w:val="001F3948"/>
    <w:rsid w:val="001F5A49"/>
    <w:rsid w:val="00201097"/>
    <w:rsid w:val="00201B6E"/>
    <w:rsid w:val="00213490"/>
    <w:rsid w:val="002302B3"/>
    <w:rsid w:val="00230C66"/>
    <w:rsid w:val="00235A29"/>
    <w:rsid w:val="00241526"/>
    <w:rsid w:val="002443A2"/>
    <w:rsid w:val="00257189"/>
    <w:rsid w:val="00266E74"/>
    <w:rsid w:val="00280E94"/>
    <w:rsid w:val="00281D80"/>
    <w:rsid w:val="00283C3B"/>
    <w:rsid w:val="002861E6"/>
    <w:rsid w:val="00287D18"/>
    <w:rsid w:val="002A2618"/>
    <w:rsid w:val="002A5DD7"/>
    <w:rsid w:val="002B0CAC"/>
    <w:rsid w:val="002D5A15"/>
    <w:rsid w:val="002D5BDD"/>
    <w:rsid w:val="002D67CA"/>
    <w:rsid w:val="002E3D27"/>
    <w:rsid w:val="002F0890"/>
    <w:rsid w:val="002F2531"/>
    <w:rsid w:val="002F4967"/>
    <w:rsid w:val="00316935"/>
    <w:rsid w:val="0031790A"/>
    <w:rsid w:val="003266ED"/>
    <w:rsid w:val="00332976"/>
    <w:rsid w:val="003370B8"/>
    <w:rsid w:val="00345D38"/>
    <w:rsid w:val="00352097"/>
    <w:rsid w:val="00365BCC"/>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4A37"/>
    <w:rsid w:val="004D733B"/>
    <w:rsid w:val="004E0DC4"/>
    <w:rsid w:val="004E0FB5"/>
    <w:rsid w:val="004E43BB"/>
    <w:rsid w:val="004E460D"/>
    <w:rsid w:val="004F178E"/>
    <w:rsid w:val="004F4543"/>
    <w:rsid w:val="004F57BB"/>
    <w:rsid w:val="00505309"/>
    <w:rsid w:val="0050789B"/>
    <w:rsid w:val="005224A1"/>
    <w:rsid w:val="00534372"/>
    <w:rsid w:val="00543987"/>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2C33"/>
    <w:rsid w:val="005D3669"/>
    <w:rsid w:val="005E5EB3"/>
    <w:rsid w:val="005F3CB6"/>
    <w:rsid w:val="005F657C"/>
    <w:rsid w:val="00602D53"/>
    <w:rsid w:val="006047E5"/>
    <w:rsid w:val="00606AF1"/>
    <w:rsid w:val="0064371D"/>
    <w:rsid w:val="00650B2A"/>
    <w:rsid w:val="00651777"/>
    <w:rsid w:val="006550F8"/>
    <w:rsid w:val="00656226"/>
    <w:rsid w:val="00657E11"/>
    <w:rsid w:val="006829F3"/>
    <w:rsid w:val="006A518B"/>
    <w:rsid w:val="006B0590"/>
    <w:rsid w:val="006B49DA"/>
    <w:rsid w:val="006C448F"/>
    <w:rsid w:val="006C53F8"/>
    <w:rsid w:val="006C7CDE"/>
    <w:rsid w:val="006E301A"/>
    <w:rsid w:val="007234B1"/>
    <w:rsid w:val="00723D08"/>
    <w:rsid w:val="00725FDA"/>
    <w:rsid w:val="00727816"/>
    <w:rsid w:val="00730B9A"/>
    <w:rsid w:val="00750CFA"/>
    <w:rsid w:val="007553DA"/>
    <w:rsid w:val="0077406E"/>
    <w:rsid w:val="00782354"/>
    <w:rsid w:val="007921A7"/>
    <w:rsid w:val="007B3DB1"/>
    <w:rsid w:val="007D183E"/>
    <w:rsid w:val="007D43D0"/>
    <w:rsid w:val="007E1833"/>
    <w:rsid w:val="007E3F13"/>
    <w:rsid w:val="007F751A"/>
    <w:rsid w:val="00800012"/>
    <w:rsid w:val="0080261F"/>
    <w:rsid w:val="00806160"/>
    <w:rsid w:val="00806A5E"/>
    <w:rsid w:val="008143A4"/>
    <w:rsid w:val="0081513E"/>
    <w:rsid w:val="00827A3D"/>
    <w:rsid w:val="00854131"/>
    <w:rsid w:val="0085652D"/>
    <w:rsid w:val="0087694B"/>
    <w:rsid w:val="00880F4D"/>
    <w:rsid w:val="008B35A3"/>
    <w:rsid w:val="008B37E1"/>
    <w:rsid w:val="008B45F8"/>
    <w:rsid w:val="008C2E74"/>
    <w:rsid w:val="008D5409"/>
    <w:rsid w:val="008D5DEC"/>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77DA2"/>
    <w:rsid w:val="0098013E"/>
    <w:rsid w:val="00981B54"/>
    <w:rsid w:val="009842C3"/>
    <w:rsid w:val="009A009A"/>
    <w:rsid w:val="009A1D9F"/>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009C"/>
    <w:rsid w:val="00A41F91"/>
    <w:rsid w:val="00A45D9A"/>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42EDD"/>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6FD2"/>
    <w:rsid w:val="00C4395E"/>
    <w:rsid w:val="00C47FFD"/>
    <w:rsid w:val="00C51E92"/>
    <w:rsid w:val="00C57E2C"/>
    <w:rsid w:val="00C608B7"/>
    <w:rsid w:val="00C66F24"/>
    <w:rsid w:val="00C758BC"/>
    <w:rsid w:val="00C76D7F"/>
    <w:rsid w:val="00C813AA"/>
    <w:rsid w:val="00C818D7"/>
    <w:rsid w:val="00C9291E"/>
    <w:rsid w:val="00CA3F44"/>
    <w:rsid w:val="00CA4E58"/>
    <w:rsid w:val="00CB3771"/>
    <w:rsid w:val="00CB44BF"/>
    <w:rsid w:val="00CB5153"/>
    <w:rsid w:val="00CE076A"/>
    <w:rsid w:val="00CE463D"/>
    <w:rsid w:val="00CF2B55"/>
    <w:rsid w:val="00CF6D57"/>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368A"/>
    <w:rsid w:val="00E04C86"/>
    <w:rsid w:val="00E17344"/>
    <w:rsid w:val="00E20F30"/>
    <w:rsid w:val="00E2189C"/>
    <w:rsid w:val="00E25BB1"/>
    <w:rsid w:val="00E27BBA"/>
    <w:rsid w:val="00E30E3F"/>
    <w:rsid w:val="00E35E8F"/>
    <w:rsid w:val="00E42769"/>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63323"/>
    <w:rsid w:val="00F802CD"/>
    <w:rsid w:val="00F8310E"/>
    <w:rsid w:val="00F914DD"/>
    <w:rsid w:val="00FA2358"/>
    <w:rsid w:val="00FB2592"/>
    <w:rsid w:val="00FB2810"/>
    <w:rsid w:val="00FB7A2C"/>
    <w:rsid w:val="00FC2947"/>
    <w:rsid w:val="00FE0818"/>
    <w:rsid w:val="00FE6FB1"/>
    <w:rsid w:val="00FF33EF"/>
    <w:rsid w:val="00FF63FD"/>
    <w:rsid w:val="00FF7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68E4346-5B9E-465E-ACD6-F619B2D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99"/>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customStyle="1" w:styleId="NoteChar">
    <w:name w:val="Note Char"/>
    <w:basedOn w:val="DefaultParagraphFont"/>
    <w:link w:val="Note"/>
    <w:locked/>
    <w:rsid w:val="00365BCC"/>
    <w:rPr>
      <w:szCs w:val="22"/>
      <w:lang w:val="en-US" w:eastAsia="en-US"/>
    </w:rPr>
  </w:style>
  <w:style w:type="paragraph" w:customStyle="1" w:styleId="Summary">
    <w:name w:val="Summary"/>
    <w:basedOn w:val="Normal"/>
    <w:next w:val="Normalaftertitle"/>
    <w:rsid w:val="000F3ED5"/>
    <w:pPr>
      <w:spacing w:before="120" w:after="480" w:line="240" w:lineRule="auto"/>
    </w:pPr>
    <w:rPr>
      <w:rFonts w:ascii="Times New Roman" w:hAnsi="Times New Roman" w:cs="Times New Roman"/>
      <w:szCs w:val="20"/>
      <w:lang w:val="es-ES_tradnl"/>
    </w:rPr>
  </w:style>
  <w:style w:type="character" w:customStyle="1" w:styleId="TabletextChar">
    <w:name w:val="Table_text Char"/>
    <w:link w:val="Tabletext"/>
    <w:uiPriority w:val="99"/>
    <w:locked/>
    <w:rsid w:val="00A4009C"/>
    <w:rPr>
      <w:szCs w:val="22"/>
      <w:lang w:val="en-US" w:eastAsia="en-US"/>
    </w:rPr>
  </w:style>
  <w:style w:type="character" w:customStyle="1" w:styleId="TableheadChar">
    <w:name w:val="Table_head Char"/>
    <w:basedOn w:val="DefaultParagraphFont"/>
    <w:link w:val="Tablehead"/>
    <w:uiPriority w:val="99"/>
    <w:locked/>
    <w:rsid w:val="00A4009C"/>
    <w:rPr>
      <w:b/>
      <w:szCs w:val="22"/>
      <w:lang w:val="en-US" w:eastAsia="en-US"/>
    </w:rPr>
  </w:style>
  <w:style w:type="table" w:styleId="TableGrid">
    <w:name w:val="Table Grid"/>
    <w:basedOn w:val="TableNormal"/>
    <w:rsid w:val="00A4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D5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A3E6-5FB8-45EA-9D35-92A52D2D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29</TotalTime>
  <Pages>5</Pages>
  <Words>1084</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20</cp:revision>
  <cp:lastPrinted>2014-11-28T09:34:00Z</cp:lastPrinted>
  <dcterms:created xsi:type="dcterms:W3CDTF">2014-11-27T15:15:00Z</dcterms:created>
  <dcterms:modified xsi:type="dcterms:W3CDTF">2014-12-03T10:39:00Z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