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515A1F" w:rsidTr="00651777">
        <w:tc>
          <w:tcPr>
            <w:tcW w:w="5353" w:type="dxa"/>
            <w:gridSpan w:val="4"/>
          </w:tcPr>
          <w:p w:rsidR="00651777" w:rsidRPr="00515A1F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515A1F">
              <w:rPr>
                <w:sz w:val="24"/>
                <w:szCs w:val="24"/>
              </w:rPr>
              <w:t>Circular Administrativa</w:t>
            </w:r>
            <w:r w:rsidRPr="00515A1F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515A1F">
              <w:rPr>
                <w:b/>
                <w:bCs/>
                <w:sz w:val="24"/>
                <w:szCs w:val="24"/>
              </w:rPr>
              <w:t>CACE/</w:t>
            </w:r>
            <w:r w:rsidR="00FA5758">
              <w:rPr>
                <w:b/>
                <w:bCs/>
                <w:sz w:val="24"/>
                <w:szCs w:val="24"/>
              </w:rPr>
              <w:t>698</w:t>
            </w:r>
          </w:p>
        </w:tc>
        <w:tc>
          <w:tcPr>
            <w:tcW w:w="4536" w:type="dxa"/>
          </w:tcPr>
          <w:p w:rsidR="00651777" w:rsidRPr="00515A1F" w:rsidRDefault="00BF471C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A5758">
              <w:rPr>
                <w:sz w:val="24"/>
                <w:szCs w:val="24"/>
              </w:rPr>
              <w:t xml:space="preserve"> de noviembre de 2014</w:t>
            </w:r>
          </w:p>
        </w:tc>
      </w:tr>
      <w:tr w:rsidR="00D2339B" w:rsidRPr="00515A1F" w:rsidTr="00D2339B">
        <w:tc>
          <w:tcPr>
            <w:tcW w:w="1384" w:type="dxa"/>
          </w:tcPr>
          <w:p w:rsidR="00D2339B" w:rsidRPr="00515A1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515A1F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515A1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515A1F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515A1F" w:rsidTr="00EA15B3">
        <w:tc>
          <w:tcPr>
            <w:tcW w:w="9889" w:type="dxa"/>
            <w:gridSpan w:val="5"/>
          </w:tcPr>
          <w:p w:rsidR="00D2339B" w:rsidRPr="00515A1F" w:rsidRDefault="00CD0E47" w:rsidP="00FA5758">
            <w:pPr>
              <w:jc w:val="left"/>
              <w:rPr>
                <w:b/>
                <w:sz w:val="24"/>
                <w:szCs w:val="24"/>
              </w:rPr>
            </w:pPr>
            <w:r w:rsidRPr="00515A1F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="00515A1F">
              <w:rPr>
                <w:b/>
                <w:sz w:val="24"/>
                <w:szCs w:val="24"/>
              </w:rPr>
              <w:t xml:space="preserve"> </w:t>
            </w:r>
            <w:r w:rsidRPr="00515A1F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 w:rsidR="00515A1F">
              <w:rPr>
                <w:b/>
                <w:sz w:val="24"/>
                <w:szCs w:val="24"/>
              </w:rPr>
              <w:t xml:space="preserve"> </w:t>
            </w:r>
            <w:r w:rsidRPr="00515A1F">
              <w:rPr>
                <w:b/>
                <w:sz w:val="24"/>
                <w:szCs w:val="24"/>
              </w:rPr>
              <w:t xml:space="preserve">en los trabajos de la </w:t>
            </w:r>
            <w:r w:rsidR="00515A1F">
              <w:rPr>
                <w:b/>
                <w:sz w:val="24"/>
                <w:szCs w:val="24"/>
              </w:rPr>
              <w:br/>
            </w:r>
            <w:r w:rsidRPr="00515A1F">
              <w:rPr>
                <w:b/>
                <w:sz w:val="24"/>
                <w:szCs w:val="24"/>
              </w:rPr>
              <w:t xml:space="preserve">Comisión de Estudio </w:t>
            </w:r>
            <w:r w:rsidR="00FA5758">
              <w:rPr>
                <w:b/>
                <w:sz w:val="24"/>
                <w:szCs w:val="24"/>
              </w:rPr>
              <w:t>5</w:t>
            </w:r>
            <w:r w:rsidRPr="00515A1F">
              <w:rPr>
                <w:b/>
                <w:sz w:val="24"/>
                <w:szCs w:val="24"/>
              </w:rPr>
              <w:t xml:space="preserve"> de </w:t>
            </w:r>
            <w:r w:rsidR="006C04E0" w:rsidRPr="00515A1F">
              <w:rPr>
                <w:b/>
                <w:sz w:val="24"/>
                <w:szCs w:val="24"/>
              </w:rPr>
              <w:t>Radiocomunicaciones</w:t>
            </w:r>
          </w:p>
          <w:p w:rsidR="00CD0E47" w:rsidRPr="00515A1F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515A1F">
              <w:rPr>
                <w:sz w:val="24"/>
                <w:szCs w:val="24"/>
              </w:rPr>
              <w:t>Objeto</w:t>
            </w:r>
            <w:r w:rsidR="006C04E0" w:rsidRPr="00515A1F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515A1F" w:rsidRDefault="00CD0E47" w:rsidP="00FA5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515A1F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FA5758">
              <w:rPr>
                <w:b/>
                <w:bCs/>
                <w:sz w:val="24"/>
                <w:szCs w:val="24"/>
              </w:rPr>
              <w:t>5</w:t>
            </w:r>
            <w:r w:rsidRPr="00515A1F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515A1F">
              <w:rPr>
                <w:b/>
                <w:bCs/>
                <w:sz w:val="24"/>
                <w:szCs w:val="24"/>
              </w:rPr>
              <w:t>(</w:t>
            </w:r>
            <w:r w:rsidR="00FA5758">
              <w:rPr>
                <w:b/>
                <w:bCs/>
                <w:sz w:val="24"/>
                <w:szCs w:val="24"/>
              </w:rPr>
              <w:t>Servicios terrenales</w:t>
            </w:r>
            <w:r w:rsidR="002C54C3" w:rsidRPr="00515A1F">
              <w:rPr>
                <w:b/>
                <w:bCs/>
                <w:sz w:val="24"/>
                <w:szCs w:val="24"/>
              </w:rPr>
              <w:t>)</w:t>
            </w:r>
          </w:p>
          <w:p w:rsidR="00CD0E47" w:rsidRPr="00515A1F" w:rsidRDefault="00CD0E47" w:rsidP="00FA57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515A1F">
              <w:rPr>
                <w:sz w:val="24"/>
                <w:szCs w:val="24"/>
              </w:rPr>
              <w:t>–</w:t>
            </w:r>
            <w:r w:rsidRPr="00515A1F">
              <w:rPr>
                <w:b/>
                <w:bCs/>
                <w:sz w:val="24"/>
                <w:szCs w:val="24"/>
              </w:rPr>
              <w:tab/>
            </w:r>
            <w:r w:rsidR="002C54C3" w:rsidRPr="00515A1F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FA5758">
              <w:rPr>
                <w:b/>
                <w:bCs/>
                <w:sz w:val="24"/>
                <w:szCs w:val="24"/>
              </w:rPr>
              <w:t>3</w:t>
            </w:r>
            <w:r w:rsidR="002C54C3" w:rsidRPr="00515A1F">
              <w:rPr>
                <w:b/>
                <w:bCs/>
                <w:sz w:val="24"/>
                <w:szCs w:val="24"/>
              </w:rPr>
              <w:t xml:space="preserve"> proyectos de </w:t>
            </w:r>
            <w:r w:rsidR="002C54C3" w:rsidRPr="00515A1F">
              <w:rPr>
                <w:b/>
                <w:sz w:val="24"/>
                <w:szCs w:val="24"/>
              </w:rPr>
              <w:t>Recomendación UIT-R revisada</w:t>
            </w: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515A1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1526" w:type="dxa"/>
            <w:gridSpan w:val="2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515A1F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515A1F" w:rsidTr="00471EDA">
        <w:tc>
          <w:tcPr>
            <w:tcW w:w="9889" w:type="dxa"/>
            <w:gridSpan w:val="5"/>
            <w:shd w:val="clear" w:color="auto" w:fill="auto"/>
          </w:tcPr>
          <w:p w:rsidR="00CD0E47" w:rsidRPr="00515A1F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C7017" w:rsidRPr="00515A1F" w:rsidRDefault="009C7017" w:rsidP="00FA5758">
      <w:pPr>
        <w:spacing w:before="600"/>
        <w:rPr>
          <w:sz w:val="24"/>
          <w:szCs w:val="24"/>
        </w:rPr>
      </w:pPr>
      <w:r w:rsidRPr="00515A1F">
        <w:rPr>
          <w:sz w:val="24"/>
          <w:szCs w:val="24"/>
        </w:rPr>
        <w:t xml:space="preserve">En la reunión de la Comisión de Estudio </w:t>
      </w:r>
      <w:r w:rsidR="00FA5758">
        <w:rPr>
          <w:sz w:val="24"/>
          <w:szCs w:val="24"/>
        </w:rPr>
        <w:t>5</w:t>
      </w:r>
      <w:r w:rsidRPr="00515A1F">
        <w:rPr>
          <w:sz w:val="24"/>
          <w:szCs w:val="24"/>
        </w:rPr>
        <w:t xml:space="preserve"> de Radiocomunicaciones celebrada del </w:t>
      </w:r>
      <w:r w:rsidR="00FA5758">
        <w:rPr>
          <w:sz w:val="24"/>
          <w:szCs w:val="24"/>
        </w:rPr>
        <w:t>10</w:t>
      </w:r>
      <w:r w:rsidRPr="00515A1F">
        <w:rPr>
          <w:sz w:val="24"/>
          <w:szCs w:val="24"/>
        </w:rPr>
        <w:t xml:space="preserve"> al </w:t>
      </w:r>
      <w:r w:rsidR="00FA5758">
        <w:rPr>
          <w:sz w:val="24"/>
          <w:szCs w:val="24"/>
        </w:rPr>
        <w:t>11</w:t>
      </w:r>
      <w:r w:rsidRPr="00515A1F">
        <w:rPr>
          <w:sz w:val="24"/>
          <w:szCs w:val="24"/>
        </w:rPr>
        <w:t xml:space="preserve"> de </w:t>
      </w:r>
      <w:r w:rsidR="00FA5758">
        <w:rPr>
          <w:sz w:val="24"/>
          <w:szCs w:val="24"/>
        </w:rPr>
        <w:t>noviembre</w:t>
      </w:r>
      <w:r w:rsidRPr="00515A1F">
        <w:rPr>
          <w:sz w:val="24"/>
          <w:szCs w:val="24"/>
        </w:rPr>
        <w:t xml:space="preserve"> de 201</w:t>
      </w:r>
      <w:r w:rsidR="00FA5758">
        <w:rPr>
          <w:sz w:val="24"/>
          <w:szCs w:val="24"/>
        </w:rPr>
        <w:t>4</w:t>
      </w:r>
      <w:r w:rsidRPr="00515A1F">
        <w:rPr>
          <w:sz w:val="24"/>
          <w:szCs w:val="24"/>
        </w:rPr>
        <w:t xml:space="preserve">, la Comisión de Estudio decidió solicitar la adopción de </w:t>
      </w:r>
      <w:r w:rsidR="00FA5758">
        <w:rPr>
          <w:sz w:val="24"/>
          <w:szCs w:val="24"/>
        </w:rPr>
        <w:t>3</w:t>
      </w:r>
      <w:r w:rsidRPr="00515A1F">
        <w:rPr>
          <w:sz w:val="24"/>
          <w:szCs w:val="24"/>
        </w:rPr>
        <w:t xml:space="preserve"> proyectos de Recomendación UIT-R revisada de conformidad con el § 10.2.3 de la Resolución UIT</w:t>
      </w:r>
      <w:r w:rsidR="00460CEC" w:rsidRPr="00515A1F">
        <w:rPr>
          <w:sz w:val="24"/>
          <w:szCs w:val="24"/>
        </w:rPr>
        <w:t>-</w:t>
      </w:r>
      <w:r w:rsidRPr="00515A1F">
        <w:rPr>
          <w:sz w:val="24"/>
          <w:szCs w:val="24"/>
        </w:rPr>
        <w:t>R 1</w:t>
      </w:r>
      <w:r w:rsidR="00460CEC" w:rsidRPr="00515A1F">
        <w:rPr>
          <w:sz w:val="24"/>
          <w:szCs w:val="24"/>
        </w:rPr>
        <w:t>-</w:t>
      </w:r>
      <w:r w:rsidR="007D3A0E">
        <w:rPr>
          <w:sz w:val="24"/>
          <w:szCs w:val="24"/>
        </w:rPr>
        <w:t>6 (Adopción </w:t>
      </w:r>
      <w:r w:rsidRPr="00515A1F">
        <w:rPr>
          <w:sz w:val="24"/>
          <w:szCs w:val="24"/>
        </w:rPr>
        <w:t>por una Comisión de Estudio por correspondencia). Los títulos y los</w:t>
      </w:r>
      <w:r w:rsidR="00FA5758">
        <w:rPr>
          <w:sz w:val="24"/>
          <w:szCs w:val="24"/>
        </w:rPr>
        <w:t xml:space="preserve"> resú</w:t>
      </w:r>
      <w:r w:rsidRPr="00515A1F">
        <w:rPr>
          <w:sz w:val="24"/>
          <w:szCs w:val="24"/>
        </w:rPr>
        <w:t>menes de los</w:t>
      </w:r>
      <w:r w:rsidR="00FA5758">
        <w:rPr>
          <w:sz w:val="24"/>
          <w:szCs w:val="24"/>
        </w:rPr>
        <w:t xml:space="preserve"> proyecto</w:t>
      </w:r>
      <w:r w:rsidRPr="00515A1F">
        <w:rPr>
          <w:sz w:val="24"/>
          <w:szCs w:val="24"/>
        </w:rPr>
        <w:t>s de Recomen</w:t>
      </w:r>
      <w:r w:rsidR="00FA5758">
        <w:rPr>
          <w:sz w:val="24"/>
          <w:szCs w:val="24"/>
        </w:rPr>
        <w:t>dación se facilitan en el Anexo a la presente carta</w:t>
      </w:r>
      <w:r w:rsidRPr="00515A1F">
        <w:rPr>
          <w:sz w:val="24"/>
          <w:szCs w:val="24"/>
        </w:rPr>
        <w:t xml:space="preserve">. </w:t>
      </w:r>
    </w:p>
    <w:p w:rsidR="009C7017" w:rsidRPr="00515A1F" w:rsidRDefault="009C7017" w:rsidP="00BF471C">
      <w:pPr>
        <w:rPr>
          <w:sz w:val="24"/>
          <w:szCs w:val="24"/>
        </w:rPr>
      </w:pPr>
      <w:r w:rsidRPr="00515A1F">
        <w:rPr>
          <w:sz w:val="24"/>
          <w:szCs w:val="24"/>
        </w:rPr>
        <w:t xml:space="preserve">El periodo de consideración será de 2 meses hasta el </w:t>
      </w:r>
      <w:r w:rsidR="00FA5758">
        <w:rPr>
          <w:sz w:val="24"/>
          <w:szCs w:val="24"/>
          <w:u w:val="single"/>
        </w:rPr>
        <w:t>2</w:t>
      </w:r>
      <w:r w:rsidR="00BF471C">
        <w:rPr>
          <w:sz w:val="24"/>
          <w:szCs w:val="24"/>
          <w:u w:val="single"/>
        </w:rPr>
        <w:t>4</w:t>
      </w:r>
      <w:bookmarkStart w:id="6" w:name="_GoBack"/>
      <w:bookmarkEnd w:id="6"/>
      <w:r w:rsidR="00FA5758">
        <w:rPr>
          <w:sz w:val="24"/>
          <w:szCs w:val="24"/>
          <w:u w:val="single"/>
        </w:rPr>
        <w:t xml:space="preserve"> de enero de 2015</w:t>
      </w:r>
      <w:r w:rsidRPr="00515A1F">
        <w:rPr>
          <w:sz w:val="24"/>
          <w:szCs w:val="24"/>
        </w:rPr>
        <w:t>. Si durante este periodo no se reciben objeciones de los Estados Miembros, se iniciará el procedimiento de aprobación por consulta indicado en el § 10.4.5 de la Resolución UIT</w:t>
      </w:r>
      <w:r w:rsidRPr="00515A1F">
        <w:rPr>
          <w:sz w:val="24"/>
          <w:szCs w:val="24"/>
        </w:rPr>
        <w:noBreakHyphen/>
        <w:t>R 1-6.</w:t>
      </w:r>
    </w:p>
    <w:p w:rsidR="00CD0E47" w:rsidRPr="00515A1F" w:rsidRDefault="009C7017" w:rsidP="00FA5758">
      <w:pPr>
        <w:rPr>
          <w:sz w:val="24"/>
          <w:szCs w:val="24"/>
        </w:rPr>
      </w:pPr>
      <w:r w:rsidRPr="00515A1F">
        <w:rPr>
          <w:sz w:val="24"/>
          <w:szCs w:val="24"/>
        </w:rPr>
        <w:t>Todo Estado Miembro que objete la adopción de los proyectos de Recomendación debe informar al Director y al Presidente de la Comisión de Estudio de los motivos de dicha objeción.</w:t>
      </w:r>
    </w:p>
    <w:p w:rsidR="00A369C5" w:rsidRP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 w:rsidRPr="00A369C5">
        <w:rPr>
          <w:sz w:val="24"/>
          <w:szCs w:val="24"/>
        </w:rPr>
        <w:br w:type="page"/>
      </w:r>
    </w:p>
    <w:p w:rsidR="009C7017" w:rsidRPr="00515A1F" w:rsidRDefault="009C7017" w:rsidP="00515A1F">
      <w:pPr>
        <w:rPr>
          <w:sz w:val="24"/>
          <w:szCs w:val="24"/>
        </w:rPr>
      </w:pPr>
      <w:r w:rsidRPr="00515A1F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F1226E" w:rsidRPr="00515A1F">
        <w:rPr>
          <w:sz w:val="24"/>
          <w:szCs w:val="24"/>
        </w:rPr>
        <w:noBreakHyphen/>
      </w:r>
      <w:r w:rsidRPr="00515A1F">
        <w:rPr>
          <w:sz w:val="24"/>
          <w:szCs w:val="24"/>
        </w:rPr>
        <w:t>T/UIT</w:t>
      </w:r>
      <w:r w:rsidR="00F1226E" w:rsidRPr="00515A1F">
        <w:rPr>
          <w:sz w:val="24"/>
          <w:szCs w:val="24"/>
        </w:rPr>
        <w:noBreakHyphen/>
      </w:r>
      <w:r w:rsidRPr="00515A1F">
        <w:rPr>
          <w:sz w:val="24"/>
          <w:szCs w:val="24"/>
        </w:rPr>
        <w:t>R/ISO/CEI puede consultarse en</w:t>
      </w:r>
      <w:r w:rsidR="00865A1D" w:rsidRPr="00515A1F">
        <w:rPr>
          <w:sz w:val="24"/>
          <w:szCs w:val="24"/>
        </w:rPr>
        <w:t xml:space="preserve">: </w:t>
      </w:r>
      <w:hyperlink r:id="rId7" w:history="1">
        <w:r w:rsidR="00A369C5" w:rsidRPr="00515A1F">
          <w:rPr>
            <w:rStyle w:val="Hyperlink"/>
            <w:sz w:val="24"/>
            <w:szCs w:val="24"/>
          </w:rPr>
          <w:t>http://www.itu.int/en/ITU-T/ipr/Pages/policy.aspx</w:t>
        </w:r>
      </w:hyperlink>
      <w:r w:rsidRPr="00515A1F">
        <w:rPr>
          <w:sz w:val="24"/>
          <w:szCs w:val="24"/>
        </w:rPr>
        <w:t>.</w:t>
      </w:r>
    </w:p>
    <w:p w:rsidR="00A369C5" w:rsidRPr="00515A1F" w:rsidRDefault="00CD0E47" w:rsidP="00FA5758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515A1F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515A1F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515A1F">
        <w:rPr>
          <w:rFonts w:asciiTheme="minorHAnsi" w:hAnsiTheme="minorHAnsi"/>
          <w:szCs w:val="24"/>
          <w:lang w:val="es-ES_tradnl"/>
        </w:rPr>
        <w:br/>
        <w:t>Director</w:t>
      </w:r>
    </w:p>
    <w:p w:rsidR="00A369C5" w:rsidRPr="00515A1F" w:rsidRDefault="00A369C5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A369C5" w:rsidRPr="00515A1F" w:rsidRDefault="00A369C5" w:rsidP="00FA575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rPr>
          <w:sz w:val="24"/>
          <w:szCs w:val="24"/>
          <w:lang w:val="es-ES"/>
        </w:rPr>
      </w:pPr>
      <w:r w:rsidRPr="00515A1F">
        <w:rPr>
          <w:b/>
          <w:bCs/>
          <w:sz w:val="24"/>
          <w:szCs w:val="24"/>
          <w:lang w:val="es-ES"/>
        </w:rPr>
        <w:t>Anexo</w:t>
      </w:r>
      <w:r w:rsidRPr="00515A1F">
        <w:rPr>
          <w:sz w:val="24"/>
          <w:szCs w:val="24"/>
          <w:lang w:val="es-ES"/>
        </w:rPr>
        <w:t>:</w:t>
      </w:r>
      <w:r w:rsidRPr="00515A1F">
        <w:rPr>
          <w:b/>
          <w:bCs/>
          <w:sz w:val="24"/>
          <w:szCs w:val="24"/>
          <w:lang w:val="es-ES"/>
        </w:rPr>
        <w:tab/>
      </w:r>
      <w:r w:rsidRPr="00515A1F">
        <w:rPr>
          <w:sz w:val="24"/>
          <w:szCs w:val="24"/>
          <w:lang w:val="es-ES"/>
        </w:rPr>
        <w:t>Títulos</w:t>
      </w:r>
      <w:r w:rsidR="00FA5758">
        <w:rPr>
          <w:sz w:val="24"/>
          <w:szCs w:val="24"/>
          <w:lang w:val="es-ES"/>
        </w:rPr>
        <w:t xml:space="preserve"> y resú</w:t>
      </w:r>
      <w:r w:rsidRPr="00515A1F">
        <w:rPr>
          <w:sz w:val="24"/>
          <w:szCs w:val="24"/>
          <w:lang w:val="es-ES"/>
        </w:rPr>
        <w:t>menes de los proyectos de Recomendación</w:t>
      </w:r>
    </w:p>
    <w:p w:rsidR="00A369C5" w:rsidRPr="00515A1F" w:rsidRDefault="00A369C5" w:rsidP="00FA575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jc w:val="left"/>
        <w:rPr>
          <w:sz w:val="24"/>
          <w:szCs w:val="24"/>
        </w:rPr>
      </w:pPr>
      <w:r w:rsidRPr="00515A1F">
        <w:rPr>
          <w:b/>
          <w:bCs/>
          <w:sz w:val="24"/>
          <w:szCs w:val="24"/>
        </w:rPr>
        <w:t>Documentos</w:t>
      </w:r>
      <w:r w:rsidRPr="00515A1F">
        <w:rPr>
          <w:sz w:val="24"/>
          <w:szCs w:val="24"/>
        </w:rPr>
        <w:t xml:space="preserve">: </w:t>
      </w:r>
      <w:r w:rsidRPr="00515A1F">
        <w:rPr>
          <w:b/>
          <w:bCs/>
          <w:sz w:val="24"/>
          <w:szCs w:val="24"/>
        </w:rPr>
        <w:tab/>
      </w:r>
      <w:r w:rsidRPr="00515A1F">
        <w:rPr>
          <w:sz w:val="24"/>
          <w:szCs w:val="24"/>
        </w:rPr>
        <w:t>Documento</w:t>
      </w:r>
      <w:r w:rsidR="00FA5758">
        <w:rPr>
          <w:sz w:val="24"/>
          <w:szCs w:val="24"/>
        </w:rPr>
        <w:t>s</w:t>
      </w:r>
      <w:r w:rsidRPr="00515A1F">
        <w:rPr>
          <w:sz w:val="24"/>
          <w:szCs w:val="24"/>
        </w:rPr>
        <w:t xml:space="preserve"> </w:t>
      </w:r>
      <w:r w:rsidR="00FA5758">
        <w:rPr>
          <w:sz w:val="24"/>
          <w:szCs w:val="24"/>
        </w:rPr>
        <w:t>5/170</w:t>
      </w:r>
      <w:r w:rsidRPr="00515A1F">
        <w:rPr>
          <w:sz w:val="24"/>
          <w:szCs w:val="24"/>
        </w:rPr>
        <w:t>(Rev.1)</w:t>
      </w:r>
      <w:r w:rsidR="00FA5758">
        <w:rPr>
          <w:sz w:val="24"/>
          <w:szCs w:val="24"/>
        </w:rPr>
        <w:t>, 5/175</w:t>
      </w:r>
      <w:r w:rsidR="00FA5758" w:rsidRPr="00515A1F">
        <w:rPr>
          <w:sz w:val="24"/>
          <w:szCs w:val="24"/>
        </w:rPr>
        <w:t>(Rev.1)</w:t>
      </w:r>
      <w:r w:rsidR="00FA5758">
        <w:rPr>
          <w:sz w:val="24"/>
          <w:szCs w:val="24"/>
        </w:rPr>
        <w:t>, 5/176</w:t>
      </w:r>
      <w:r w:rsidR="00FA5758" w:rsidRPr="00515A1F">
        <w:rPr>
          <w:sz w:val="24"/>
          <w:szCs w:val="24"/>
        </w:rPr>
        <w:t>(Rev.1)</w:t>
      </w:r>
    </w:p>
    <w:p w:rsidR="00A369C5" w:rsidRPr="00515A1F" w:rsidRDefault="00A369C5" w:rsidP="00A369C5">
      <w:pPr>
        <w:tabs>
          <w:tab w:val="left" w:pos="284"/>
          <w:tab w:val="left" w:pos="568"/>
        </w:tabs>
        <w:spacing w:before="60" w:after="60"/>
        <w:rPr>
          <w:sz w:val="24"/>
          <w:szCs w:val="24"/>
          <w:u w:val="single"/>
        </w:rPr>
      </w:pPr>
    </w:p>
    <w:p w:rsidR="00A369C5" w:rsidRPr="00515A1F" w:rsidRDefault="00A369C5" w:rsidP="00FA5758">
      <w:pPr>
        <w:tabs>
          <w:tab w:val="clear" w:pos="1588"/>
          <w:tab w:val="left" w:pos="2552"/>
        </w:tabs>
        <w:jc w:val="left"/>
        <w:rPr>
          <w:sz w:val="24"/>
          <w:szCs w:val="24"/>
        </w:rPr>
      </w:pPr>
      <w:r w:rsidRPr="00515A1F">
        <w:rPr>
          <w:sz w:val="24"/>
          <w:szCs w:val="24"/>
        </w:rPr>
        <w:t xml:space="preserve">Estos documentos están disponibles en formato electrónico en la dirección: </w:t>
      </w:r>
      <w:hyperlink r:id="rId8" w:history="1">
        <w:r w:rsidR="00FA5758" w:rsidRPr="006857DC">
          <w:rPr>
            <w:rStyle w:val="Hyperlink"/>
            <w:rFonts w:cs="Calibri"/>
            <w:sz w:val="24"/>
            <w:szCs w:val="24"/>
          </w:rPr>
          <w:t>http://www.itu.int/md/R12-SG05-C/es</w:t>
        </w:r>
      </w:hyperlink>
      <w:r w:rsidR="00FA5758">
        <w:rPr>
          <w:sz w:val="24"/>
          <w:szCs w:val="24"/>
        </w:rPr>
        <w:t xml:space="preserve"> </w:t>
      </w:r>
    </w:p>
    <w:p w:rsidR="00A369C5" w:rsidRDefault="00A369C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Pr="00A369C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FA5758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FA5758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FA5758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FA5758">
        <w:rPr>
          <w:sz w:val="18"/>
          <w:szCs w:val="18"/>
          <w:lang w:val="es-ES"/>
        </w:rPr>
        <w:t>5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7763AF" w:rsidP="007763AF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</w:t>
      </w:r>
      <w:r w:rsidR="00CD0E47" w:rsidRPr="00D43B9C">
        <w:rPr>
          <w:sz w:val="18"/>
          <w:szCs w:val="18"/>
          <w:lang w:val="es-ES"/>
        </w:rPr>
        <w:t xml:space="preserve"> y Vicepresidentes de la</w:t>
      </w:r>
      <w:r>
        <w:rPr>
          <w:sz w:val="18"/>
          <w:szCs w:val="18"/>
          <w:lang w:val="es-ES"/>
        </w:rPr>
        <w:t xml:space="preserve"> Comisión</w:t>
      </w:r>
      <w:r w:rsidR="00CD0E47" w:rsidRPr="00D43B9C">
        <w:rPr>
          <w:sz w:val="18"/>
          <w:szCs w:val="18"/>
          <w:lang w:val="es-ES"/>
        </w:rPr>
        <w:t xml:space="preserve"> de Estudio</w:t>
      </w:r>
      <w:r>
        <w:rPr>
          <w:sz w:val="18"/>
          <w:szCs w:val="18"/>
          <w:lang w:val="es-ES"/>
        </w:rPr>
        <w:t xml:space="preserve"> 5</w:t>
      </w:r>
      <w:r w:rsidR="00CD0E47" w:rsidRPr="00D43B9C">
        <w:rPr>
          <w:sz w:val="18"/>
          <w:szCs w:val="18"/>
          <w:lang w:val="es-ES"/>
        </w:rPr>
        <w:t xml:space="preserve"> de Radiocomunicaciones 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F739E1" w:rsidRPr="00F46336" w:rsidRDefault="00F739E1" w:rsidP="00F739E1">
      <w:pPr>
        <w:pStyle w:val="AnnexNotitle0"/>
        <w:rPr>
          <w:rFonts w:ascii="Calibri" w:hAnsi="Calibri" w:cs="Calibri"/>
          <w:szCs w:val="28"/>
          <w:lang w:val="es-ES_tradnl"/>
        </w:rPr>
      </w:pPr>
      <w:r w:rsidRPr="00F46336">
        <w:rPr>
          <w:rFonts w:ascii="Calibri" w:hAnsi="Calibri" w:cs="Calibri"/>
          <w:szCs w:val="28"/>
          <w:lang w:val="es-ES_tradnl"/>
        </w:rPr>
        <w:lastRenderedPageBreak/>
        <w:t xml:space="preserve">Anexo </w:t>
      </w:r>
      <w:r>
        <w:rPr>
          <w:rFonts w:ascii="Calibri" w:hAnsi="Calibri" w:cs="Calibri"/>
          <w:szCs w:val="28"/>
          <w:lang w:val="es-ES_tradnl"/>
        </w:rPr>
        <w:br/>
      </w:r>
      <w:r>
        <w:rPr>
          <w:rFonts w:ascii="Calibri" w:hAnsi="Calibri" w:cs="Calibri"/>
          <w:szCs w:val="28"/>
          <w:lang w:val="es-ES_tradnl"/>
        </w:rPr>
        <w:br/>
      </w:r>
      <w:r w:rsidRPr="00F46336">
        <w:rPr>
          <w:rFonts w:ascii="Calibri" w:hAnsi="Calibri" w:cs="Calibri"/>
          <w:szCs w:val="28"/>
          <w:lang w:val="es-ES_tradnl"/>
        </w:rPr>
        <w:t>Títulos y resúmenes de los proyectos de Recomendaciones</w:t>
      </w:r>
    </w:p>
    <w:p w:rsidR="00F739E1" w:rsidRPr="00F739E1" w:rsidRDefault="00F739E1" w:rsidP="00F739E1">
      <w:pPr>
        <w:tabs>
          <w:tab w:val="right" w:pos="9639"/>
        </w:tabs>
        <w:spacing w:before="600" w:line="240" w:lineRule="auto"/>
        <w:rPr>
          <w:sz w:val="24"/>
          <w:szCs w:val="24"/>
        </w:rPr>
      </w:pPr>
      <w:r w:rsidRPr="00F739E1">
        <w:rPr>
          <w:sz w:val="24"/>
          <w:szCs w:val="24"/>
          <w:u w:val="single"/>
        </w:rPr>
        <w:t>Proyecto de revisión de la Recomendación UIT-R M.1174-2</w:t>
      </w:r>
      <w:r w:rsidRPr="00F739E1">
        <w:rPr>
          <w:sz w:val="24"/>
          <w:szCs w:val="24"/>
        </w:rPr>
        <w:tab/>
        <w:t>Doc. 5/170(Rev.1)</w:t>
      </w:r>
    </w:p>
    <w:p w:rsidR="00F739E1" w:rsidRPr="00F46336" w:rsidRDefault="00F739E1" w:rsidP="00F739E1">
      <w:pPr>
        <w:keepNext/>
        <w:keepLines/>
        <w:spacing w:before="360" w:line="240" w:lineRule="auto"/>
        <w:jc w:val="center"/>
        <w:rPr>
          <w:b/>
          <w:sz w:val="28"/>
          <w:lang w:eastAsia="zh-CN"/>
        </w:rPr>
      </w:pPr>
      <w:bookmarkStart w:id="7" w:name="dtitle1" w:colFirst="0" w:colLast="0"/>
      <w:r w:rsidRPr="00F46336">
        <w:rPr>
          <w:b/>
          <w:sz w:val="28"/>
        </w:rPr>
        <w:t>Características técnicas de los equipos utilizados para las comunicaciones a bordo de barcos en las bandas comprendidas entre 450 y 470 MHz</w:t>
      </w:r>
    </w:p>
    <w:p w:rsidR="00F739E1" w:rsidRPr="00F739E1" w:rsidRDefault="00F739E1" w:rsidP="00F739E1">
      <w:pPr>
        <w:spacing w:before="360" w:line="240" w:lineRule="auto"/>
        <w:rPr>
          <w:sz w:val="24"/>
          <w:szCs w:val="24"/>
        </w:rPr>
      </w:pPr>
      <w:bookmarkStart w:id="8" w:name="dbreak"/>
      <w:bookmarkEnd w:id="7"/>
      <w:bookmarkEnd w:id="8"/>
      <w:r w:rsidRPr="00F739E1">
        <w:rPr>
          <w:sz w:val="24"/>
          <w:szCs w:val="24"/>
        </w:rPr>
        <w:t>Esta revisión propone lo siguiente para las comunicaciones a bordo de barcos en las bandas de frecuencia comprendidas entre 450 MHz y 470 MHz: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características técnicas adicionales de los equipos que hacen uso de tecnologías digitales;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nueva disposición de las bandas de frecuencia y nueva numeración de canales asociada;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técnicas de reducción de la interferencia para evitar la congestión;</w:t>
      </w:r>
    </w:p>
    <w:p w:rsid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provisiones para el mantenimiento de la tecnología analógica</w:t>
      </w:r>
    </w:p>
    <w:p w:rsidR="00F739E1" w:rsidRPr="00F739E1" w:rsidRDefault="00F739E1" w:rsidP="00F739E1"/>
    <w:p w:rsidR="00F739E1" w:rsidRPr="00F739E1" w:rsidRDefault="00F739E1" w:rsidP="00F739E1">
      <w:pPr>
        <w:tabs>
          <w:tab w:val="right" w:pos="9639"/>
        </w:tabs>
        <w:spacing w:before="480" w:line="240" w:lineRule="auto"/>
        <w:rPr>
          <w:sz w:val="24"/>
          <w:szCs w:val="24"/>
        </w:rPr>
      </w:pPr>
      <w:r w:rsidRPr="00F739E1">
        <w:rPr>
          <w:sz w:val="24"/>
          <w:szCs w:val="24"/>
          <w:u w:val="single"/>
        </w:rPr>
        <w:t>Proyecto de revisión de la Recomendación</w:t>
      </w:r>
      <w:r>
        <w:rPr>
          <w:sz w:val="24"/>
          <w:szCs w:val="24"/>
          <w:u w:val="single"/>
        </w:rPr>
        <w:t xml:space="preserve"> </w:t>
      </w:r>
      <w:r w:rsidRPr="00F739E1">
        <w:rPr>
          <w:sz w:val="24"/>
          <w:szCs w:val="24"/>
          <w:u w:val="single"/>
        </w:rPr>
        <w:t>UIT-R M.690-2</w:t>
      </w:r>
      <w:r w:rsidRPr="00F739E1">
        <w:rPr>
          <w:sz w:val="24"/>
          <w:szCs w:val="24"/>
        </w:rPr>
        <w:tab/>
        <w:t>Doc. 5/175(Rev.1)</w:t>
      </w:r>
    </w:p>
    <w:p w:rsidR="00F739E1" w:rsidRPr="00525E08" w:rsidRDefault="00F739E1" w:rsidP="00F739E1">
      <w:pPr>
        <w:keepNext/>
        <w:keepLines/>
        <w:spacing w:before="360" w:line="240" w:lineRule="auto"/>
        <w:ind w:left="108"/>
        <w:jc w:val="center"/>
        <w:rPr>
          <w:b/>
          <w:bCs/>
          <w:sz w:val="28"/>
          <w:szCs w:val="28"/>
        </w:rPr>
      </w:pPr>
      <w:r w:rsidRPr="00525E08">
        <w:rPr>
          <w:b/>
          <w:bCs/>
          <w:sz w:val="28"/>
          <w:szCs w:val="28"/>
        </w:rPr>
        <w:t xml:space="preserve">Características técnicas de las </w:t>
      </w:r>
      <w:r>
        <w:rPr>
          <w:b/>
          <w:bCs/>
          <w:sz w:val="28"/>
          <w:szCs w:val="28"/>
        </w:rPr>
        <w:t>radiobalizas de</w:t>
      </w:r>
      <w:r w:rsidRPr="00525E08">
        <w:rPr>
          <w:b/>
          <w:bCs/>
          <w:sz w:val="28"/>
          <w:szCs w:val="28"/>
        </w:rPr>
        <w:t xml:space="preserve"> localización de siniestros (RLS) </w:t>
      </w:r>
      <w:r>
        <w:rPr>
          <w:b/>
          <w:bCs/>
          <w:sz w:val="28"/>
          <w:szCs w:val="28"/>
        </w:rPr>
        <w:br/>
      </w:r>
      <w:r w:rsidRPr="00525E08">
        <w:rPr>
          <w:b/>
          <w:bCs/>
          <w:sz w:val="28"/>
          <w:szCs w:val="28"/>
        </w:rPr>
        <w:t>que funcionan con frecuencias portadoras de 121,5 MHz y 243 MHz</w:t>
      </w:r>
    </w:p>
    <w:p w:rsidR="00F739E1" w:rsidRPr="00F739E1" w:rsidRDefault="00F739E1" w:rsidP="00F739E1">
      <w:pPr>
        <w:spacing w:before="360" w:line="240" w:lineRule="auto"/>
        <w:rPr>
          <w:sz w:val="24"/>
          <w:szCs w:val="24"/>
        </w:rPr>
      </w:pPr>
      <w:r w:rsidRPr="00F739E1">
        <w:rPr>
          <w:sz w:val="24"/>
          <w:szCs w:val="24"/>
        </w:rPr>
        <w:t xml:space="preserve">Esta revisión propone para las RLS que funcionan en 121,5 MHz </w:t>
      </w:r>
      <w:proofErr w:type="spellStart"/>
      <w:r w:rsidRPr="00F739E1">
        <w:rPr>
          <w:sz w:val="24"/>
          <w:szCs w:val="24"/>
        </w:rPr>
        <w:t>ó</w:t>
      </w:r>
      <w:proofErr w:type="spellEnd"/>
      <w:r w:rsidRPr="00F739E1">
        <w:rPr>
          <w:sz w:val="24"/>
          <w:szCs w:val="24"/>
        </w:rPr>
        <w:t xml:space="preserve"> 243 MHz la supresión de cualquier ambigüedad que pueda aparecer en la interpretación de los cambios introducidos en la Recomendación UIT-R M.690-2 relativos a la característica de la señal de audiofrecuencia que indica cuándo están activas dichas RLS.</w:t>
      </w:r>
    </w:p>
    <w:p w:rsidR="00F739E1" w:rsidRPr="00F739E1" w:rsidRDefault="00F739E1" w:rsidP="00F739E1">
      <w:pPr>
        <w:spacing w:before="120" w:line="240" w:lineRule="auto"/>
        <w:rPr>
          <w:sz w:val="24"/>
          <w:szCs w:val="24"/>
        </w:rPr>
      </w:pPr>
      <w:r w:rsidRPr="00F739E1">
        <w:rPr>
          <w:sz w:val="24"/>
          <w:szCs w:val="24"/>
        </w:rPr>
        <w:t>En coherencia con las normas de la industria de la época, la Recomendación UIT-R M.690-1 sólo permitía una repetición del barrido de audio descendente con un retorno abrupto a la frecuencia de inicio. Con arreglo a la opinión de la industria y de las organizaciones de elaboración de normas ajenas a la UIT en el sentido de que también podría acomodarse una repetición del barrido de audio ascendente, se revisó la Recomendación UIT-R M.690-1 de manera que admitiese el barrido tanto ascendente como descendente. Sin embargo, no quedó claro si las radiobalizas individuales deben emitir sólo un barrido descendente o ascendente y no enviar una cierta combinación de ambos barridos (por ejemplo, barridos ascendentes y descendentes continuos sin interrupciones abruptas o distintos barridos ascendente y descendente en una secuencia/configuración).</w:t>
      </w:r>
    </w:p>
    <w:p w:rsidR="00F739E1" w:rsidRPr="00F739E1" w:rsidRDefault="00F739E1" w:rsidP="00F739E1">
      <w:pPr>
        <w:spacing w:before="120" w:line="240" w:lineRule="auto"/>
      </w:pPr>
    </w:p>
    <w:p w:rsidR="00F739E1" w:rsidRDefault="00F739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F739E1" w:rsidRPr="00F739E1" w:rsidRDefault="00F739E1" w:rsidP="00F739E1">
      <w:pPr>
        <w:tabs>
          <w:tab w:val="right" w:pos="9639"/>
        </w:tabs>
        <w:spacing w:line="240" w:lineRule="auto"/>
        <w:rPr>
          <w:sz w:val="24"/>
          <w:szCs w:val="24"/>
        </w:rPr>
      </w:pPr>
      <w:r w:rsidRPr="00F739E1">
        <w:rPr>
          <w:sz w:val="24"/>
          <w:szCs w:val="24"/>
          <w:u w:val="single"/>
        </w:rPr>
        <w:lastRenderedPageBreak/>
        <w:t>Proyecto de revisión de la Recomendación UIT-R M.585-6</w:t>
      </w:r>
      <w:r w:rsidRPr="00F739E1">
        <w:rPr>
          <w:sz w:val="24"/>
          <w:szCs w:val="24"/>
        </w:rPr>
        <w:tab/>
        <w:t>Doc. 5/176(Rev.1)</w:t>
      </w:r>
    </w:p>
    <w:p w:rsidR="00F739E1" w:rsidRPr="00BC0246" w:rsidRDefault="00F739E1" w:rsidP="00F739E1">
      <w:pPr>
        <w:tabs>
          <w:tab w:val="right" w:pos="9639"/>
        </w:tabs>
        <w:spacing w:before="360" w:line="240" w:lineRule="auto"/>
        <w:jc w:val="center"/>
        <w:rPr>
          <w:b/>
          <w:bCs/>
          <w:sz w:val="28"/>
          <w:szCs w:val="28"/>
        </w:rPr>
      </w:pPr>
      <w:r w:rsidRPr="00BC0246">
        <w:rPr>
          <w:b/>
          <w:bCs/>
          <w:sz w:val="28"/>
          <w:szCs w:val="28"/>
        </w:rPr>
        <w:t>Asignación y uso de identidades del servicio móvil marítimo</w:t>
      </w:r>
    </w:p>
    <w:p w:rsidR="00F739E1" w:rsidRPr="00F739E1" w:rsidRDefault="00F739E1" w:rsidP="00F739E1">
      <w:pPr>
        <w:spacing w:before="360" w:line="240" w:lineRule="auto"/>
        <w:rPr>
          <w:sz w:val="24"/>
          <w:szCs w:val="24"/>
        </w:rPr>
      </w:pPr>
      <w:r w:rsidRPr="00F739E1">
        <w:rPr>
          <w:sz w:val="24"/>
          <w:szCs w:val="24"/>
        </w:rPr>
        <w:t>Esta revisión propone lo siguiente: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Nueva categoría opcional d) en el Anexo 1, Sección 2, párrafo 3 para estaciones repetidoras  del SIA utilizando el formato 00MID4XXX;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>Aclarar el texto relativo a los ceros finales de las MMSI en el Anexo 1, Sección 1, párrafo 4;</w:t>
      </w:r>
    </w:p>
    <w:p w:rsidR="00F739E1" w:rsidRPr="00F739E1" w:rsidRDefault="00F739E1" w:rsidP="00F739E1">
      <w:pPr>
        <w:pStyle w:val="enumlev1"/>
        <w:rPr>
          <w:sz w:val="24"/>
          <w:szCs w:val="24"/>
        </w:rPr>
      </w:pPr>
      <w:r w:rsidRPr="00F739E1">
        <w:rPr>
          <w:sz w:val="24"/>
          <w:szCs w:val="24"/>
        </w:rPr>
        <w:t>–</w:t>
      </w:r>
      <w:r w:rsidRPr="00F739E1">
        <w:rPr>
          <w:sz w:val="24"/>
          <w:szCs w:val="24"/>
        </w:rPr>
        <w:tab/>
        <w:t xml:space="preserve">Cambio </w:t>
      </w:r>
      <w:proofErr w:type="spellStart"/>
      <w:r w:rsidRPr="00F739E1">
        <w:rPr>
          <w:sz w:val="24"/>
          <w:szCs w:val="24"/>
        </w:rPr>
        <w:t>redaccional</w:t>
      </w:r>
      <w:proofErr w:type="spellEnd"/>
      <w:r w:rsidRPr="00F739E1">
        <w:rPr>
          <w:sz w:val="24"/>
          <w:szCs w:val="24"/>
        </w:rPr>
        <w:t>: «transpondedor» debe cambiarse por «transmisor» en el SIA-SART (Anexo 2, Sección 2.1).</w:t>
      </w:r>
    </w:p>
    <w:p w:rsidR="00712C78" w:rsidRPr="00C96EA6" w:rsidRDefault="00712C78" w:rsidP="00972264"/>
    <w:p w:rsidR="00972264" w:rsidRPr="00972264" w:rsidRDefault="00972264" w:rsidP="00972264">
      <w:pPr>
        <w:pStyle w:val="Normalaftertitle"/>
      </w:pPr>
    </w:p>
    <w:p w:rsidR="00972264" w:rsidRPr="00FA5D91" w:rsidRDefault="00972264" w:rsidP="00972264">
      <w:pPr>
        <w:pStyle w:val="Reasons"/>
        <w:spacing w:line="480" w:lineRule="auto"/>
        <w:rPr>
          <w:lang w:val="es-ES_tradnl"/>
        </w:rPr>
      </w:pPr>
    </w:p>
    <w:p w:rsidR="00972264" w:rsidRPr="00F1226E" w:rsidRDefault="00972264" w:rsidP="00972264">
      <w:pPr>
        <w:jc w:val="center"/>
        <w:rPr>
          <w:lang w:val="en-US"/>
        </w:rPr>
      </w:pPr>
      <w:r>
        <w:t>______________</w:t>
      </w:r>
    </w:p>
    <w:sectPr w:rsidR="00972264" w:rsidRPr="00F1226E" w:rsidSect="00FA5758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026CF8" w:rsidP="0041334A">
    <w:pPr>
      <w:pStyle w:val="Header"/>
      <w:rPr>
        <w:sz w:val="18"/>
        <w:szCs w:val="18"/>
      </w:rPr>
    </w:pPr>
    <w:r>
      <w:tab/>
    </w:r>
    <w:r>
      <w:tab/>
    </w:r>
    <w:r w:rsidR="00515A1F">
      <w:t xml:space="preserve">- </w:t>
    </w:r>
    <w:r w:rsidRPr="00ED7997">
      <w:rPr>
        <w:rStyle w:val="PageNumber"/>
        <w:rFonts w:cs="Calibri"/>
        <w:sz w:val="18"/>
        <w:szCs w:val="18"/>
      </w:rPr>
      <w:fldChar w:fldCharType="begin"/>
    </w:r>
    <w:r w:rsidRPr="00ED7997">
      <w:rPr>
        <w:rStyle w:val="PageNumber"/>
        <w:rFonts w:cs="Calibri"/>
        <w:sz w:val="18"/>
        <w:szCs w:val="18"/>
      </w:rPr>
      <w:instrText xml:space="preserve"> PAGE </w:instrText>
    </w:r>
    <w:r w:rsidRPr="00ED7997">
      <w:rPr>
        <w:rStyle w:val="PageNumber"/>
        <w:rFonts w:cs="Calibri"/>
        <w:sz w:val="18"/>
        <w:szCs w:val="18"/>
      </w:rPr>
      <w:fldChar w:fldCharType="separate"/>
    </w:r>
    <w:r w:rsidR="00BF471C">
      <w:rPr>
        <w:rStyle w:val="PageNumber"/>
        <w:rFonts w:cs="Calibri"/>
        <w:noProof/>
        <w:sz w:val="18"/>
        <w:szCs w:val="18"/>
      </w:rPr>
      <w:t>4</w:t>
    </w:r>
    <w:r w:rsidRPr="00ED7997">
      <w:rPr>
        <w:rStyle w:val="PageNumber"/>
        <w:rFonts w:cs="Calibri"/>
        <w:sz w:val="18"/>
        <w:szCs w:val="18"/>
      </w:rPr>
      <w:fldChar w:fldCharType="end"/>
    </w:r>
    <w:r w:rsidR="00515A1F"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AD1140">
    <w:pPr>
      <w:pStyle w:val="Header"/>
    </w:pPr>
    <w:r>
      <w:ptab w:relativeTo="margin" w:alignment="center" w:leader="none"/>
    </w:r>
    <w:r w:rsidR="00515A1F">
      <w:t xml:space="preserve">- </w:t>
    </w:r>
    <w:r w:rsidRPr="00AD1140">
      <w:rPr>
        <w:sz w:val="18"/>
        <w:szCs w:val="18"/>
      </w:rPr>
      <w:fldChar w:fldCharType="begin"/>
    </w:r>
    <w:r w:rsidRPr="00AD1140">
      <w:rPr>
        <w:sz w:val="18"/>
        <w:szCs w:val="18"/>
      </w:rPr>
      <w:instrText xml:space="preserve"> PAGE   \* MERGEFORMAT </w:instrText>
    </w:r>
    <w:r w:rsidRPr="00AD1140">
      <w:rPr>
        <w:sz w:val="18"/>
        <w:szCs w:val="18"/>
      </w:rPr>
      <w:fldChar w:fldCharType="separate"/>
    </w:r>
    <w:r w:rsidR="00BF471C">
      <w:rPr>
        <w:noProof/>
        <w:sz w:val="18"/>
        <w:szCs w:val="18"/>
      </w:rPr>
      <w:t>3</w:t>
    </w:r>
    <w:r w:rsidRPr="00AD1140">
      <w:rPr>
        <w:noProof/>
        <w:sz w:val="18"/>
        <w:szCs w:val="18"/>
      </w:rPr>
      <w:fldChar w:fldCharType="end"/>
    </w:r>
    <w:r w:rsidR="00515A1F">
      <w:rPr>
        <w:noProof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51766"/>
    <w:rsid w:val="002861E6"/>
    <w:rsid w:val="002A2700"/>
    <w:rsid w:val="002C54C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15A1F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74F4F"/>
    <w:rsid w:val="006B0590"/>
    <w:rsid w:val="006B49DA"/>
    <w:rsid w:val="006C04E0"/>
    <w:rsid w:val="00700636"/>
    <w:rsid w:val="00707216"/>
    <w:rsid w:val="00712C78"/>
    <w:rsid w:val="007234B1"/>
    <w:rsid w:val="00730B9A"/>
    <w:rsid w:val="00766688"/>
    <w:rsid w:val="007763AF"/>
    <w:rsid w:val="00783681"/>
    <w:rsid w:val="007921A7"/>
    <w:rsid w:val="007A5C27"/>
    <w:rsid w:val="007B3DB1"/>
    <w:rsid w:val="007D183E"/>
    <w:rsid w:val="007D3A0E"/>
    <w:rsid w:val="007E304D"/>
    <w:rsid w:val="007E3F13"/>
    <w:rsid w:val="00800012"/>
    <w:rsid w:val="0081513E"/>
    <w:rsid w:val="00823210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5010C"/>
    <w:rsid w:val="00963D9D"/>
    <w:rsid w:val="00972264"/>
    <w:rsid w:val="00976AAD"/>
    <w:rsid w:val="00981B54"/>
    <w:rsid w:val="009842C3"/>
    <w:rsid w:val="009A6BB6"/>
    <w:rsid w:val="009B3F43"/>
    <w:rsid w:val="009C161F"/>
    <w:rsid w:val="009C7017"/>
    <w:rsid w:val="009E4AEC"/>
    <w:rsid w:val="009E5BD8"/>
    <w:rsid w:val="009E681E"/>
    <w:rsid w:val="00A05186"/>
    <w:rsid w:val="00A34D6F"/>
    <w:rsid w:val="00A369C5"/>
    <w:rsid w:val="00A41F9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6574"/>
    <w:rsid w:val="00BF471C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ED7997"/>
    <w:rsid w:val="00F1226E"/>
    <w:rsid w:val="00F42C8C"/>
    <w:rsid w:val="00F468C5"/>
    <w:rsid w:val="00F52F39"/>
    <w:rsid w:val="00F55EAB"/>
    <w:rsid w:val="00F739E1"/>
    <w:rsid w:val="00F914DD"/>
    <w:rsid w:val="00F938C0"/>
    <w:rsid w:val="00FA2358"/>
    <w:rsid w:val="00FA57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63EA650E-A0B6-43CA-880A-462C39B0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F739E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5-C/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T/ipr/Pages/policy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13</TotalTime>
  <Pages>4</Pages>
  <Words>800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Fernandez Jimenez, Virginia</cp:lastModifiedBy>
  <cp:revision>6</cp:revision>
  <cp:lastPrinted>2014-11-24T09:39:00Z</cp:lastPrinted>
  <dcterms:created xsi:type="dcterms:W3CDTF">2014-11-17T13:28:00Z</dcterms:created>
  <dcterms:modified xsi:type="dcterms:W3CDTF">2014-11-24T09:39:00Z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