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542FDE" w:rsidTr="00EA15B3">
        <w:tc>
          <w:tcPr>
            <w:tcW w:w="9889" w:type="dxa"/>
            <w:gridSpan w:val="3"/>
            <w:shd w:val="clear" w:color="auto" w:fill="auto"/>
          </w:tcPr>
          <w:p w:rsidR="00EA15B3" w:rsidRPr="00542FDE" w:rsidRDefault="006B1B42" w:rsidP="005C22C1">
            <w:pPr>
              <w:spacing w:before="0" w:line="240" w:lineRule="auto"/>
              <w:jc w:val="left"/>
              <w:rPr>
                <w:rFonts w:cstheme="minorHAnsi"/>
                <w:b/>
                <w:bCs/>
                <w:color w:val="808080"/>
                <w:sz w:val="28"/>
                <w:szCs w:val="28"/>
                <w:lang w:val="en-GB"/>
              </w:rPr>
            </w:pPr>
            <w:r w:rsidRPr="006B1B42">
              <w:rPr>
                <w:rFonts w:ascii="SimSun" w:eastAsia="SimSun" w:hAnsi="SimSun" w:cs="SimSun" w:hint="eastAsia"/>
                <w:b/>
                <w:bCs/>
                <w:color w:val="808080"/>
                <w:sz w:val="28"/>
                <w:szCs w:val="28"/>
                <w:lang w:val="en-GB"/>
              </w:rPr>
              <w:t>无线电通信局</w:t>
            </w:r>
            <w:r w:rsidR="00AF70DA" w:rsidRPr="00542FDE">
              <w:rPr>
                <w:rFonts w:cstheme="minorHAnsi"/>
                <w:b/>
                <w:bCs/>
                <w:color w:val="808080"/>
                <w:sz w:val="28"/>
                <w:szCs w:val="28"/>
                <w:lang w:val="en-GB"/>
              </w:rPr>
              <w:t>(BR)</w:t>
            </w:r>
          </w:p>
          <w:p w:rsidR="008E38B4" w:rsidRPr="00542FDE" w:rsidRDefault="008E38B4" w:rsidP="005C22C1">
            <w:pPr>
              <w:spacing w:before="0" w:line="240" w:lineRule="auto"/>
              <w:jc w:val="left"/>
              <w:rPr>
                <w:rFonts w:cstheme="minorHAnsi"/>
                <w:b/>
                <w:bCs/>
                <w:color w:val="808080"/>
                <w:sz w:val="28"/>
                <w:szCs w:val="28"/>
                <w:lang w:val="en-GB"/>
              </w:rPr>
            </w:pPr>
          </w:p>
          <w:p w:rsidR="008E38B4" w:rsidRPr="00542FDE" w:rsidRDefault="008E38B4" w:rsidP="005C22C1">
            <w:pPr>
              <w:spacing w:before="0" w:line="240" w:lineRule="auto"/>
              <w:jc w:val="left"/>
              <w:rPr>
                <w:rFonts w:cs="Times New Roman Bold"/>
                <w:b/>
                <w:bCs/>
                <w:color w:val="808080"/>
                <w:sz w:val="28"/>
                <w:szCs w:val="28"/>
                <w:lang w:val="en-GB"/>
              </w:rPr>
            </w:pPr>
          </w:p>
        </w:tc>
      </w:tr>
      <w:tr w:rsidR="00651777" w:rsidRPr="00542FDE" w:rsidTr="00DF170E">
        <w:tc>
          <w:tcPr>
            <w:tcW w:w="7054" w:type="dxa"/>
            <w:gridSpan w:val="2"/>
            <w:shd w:val="clear" w:color="auto" w:fill="auto"/>
          </w:tcPr>
          <w:p w:rsidR="00C76D7F" w:rsidRPr="00542FDE" w:rsidRDefault="006B1B42" w:rsidP="005C22C1">
            <w:pPr>
              <w:spacing w:before="0" w:line="240" w:lineRule="auto"/>
              <w:jc w:val="left"/>
              <w:rPr>
                <w:szCs w:val="24"/>
                <w:lang w:val="fr-CH"/>
              </w:rPr>
            </w:pPr>
            <w:r>
              <w:rPr>
                <w:rFonts w:hint="eastAsia"/>
                <w:szCs w:val="24"/>
                <w:lang w:val="fr-CH" w:eastAsia="zh-CN"/>
              </w:rPr>
              <w:t>行政通函</w:t>
            </w:r>
          </w:p>
          <w:p w:rsidR="00651777" w:rsidRPr="00542FDE" w:rsidRDefault="00E17344" w:rsidP="005C22C1">
            <w:pPr>
              <w:spacing w:before="0" w:line="240" w:lineRule="auto"/>
              <w:jc w:val="left"/>
              <w:rPr>
                <w:b/>
                <w:bCs/>
                <w:szCs w:val="24"/>
                <w:lang w:val="fr-CH"/>
              </w:rPr>
            </w:pPr>
            <w:r w:rsidRPr="00542FDE">
              <w:rPr>
                <w:b/>
                <w:bCs/>
                <w:szCs w:val="24"/>
                <w:lang w:val="fr-CH"/>
              </w:rPr>
              <w:t>CA</w:t>
            </w:r>
            <w:r w:rsidR="003151D0" w:rsidRPr="00542FDE">
              <w:rPr>
                <w:b/>
                <w:bCs/>
                <w:szCs w:val="24"/>
                <w:lang w:val="fr-CH"/>
              </w:rPr>
              <w:t>CE</w:t>
            </w:r>
            <w:r w:rsidR="003836D4" w:rsidRPr="00542FDE">
              <w:rPr>
                <w:b/>
                <w:bCs/>
                <w:szCs w:val="24"/>
                <w:lang w:val="fr-CH"/>
              </w:rPr>
              <w:t>/</w:t>
            </w:r>
            <w:r w:rsidR="00BB3382" w:rsidRPr="00542FDE">
              <w:rPr>
                <w:b/>
                <w:bCs/>
                <w:szCs w:val="24"/>
                <w:lang w:val="fr-CH"/>
              </w:rPr>
              <w:t>69</w:t>
            </w:r>
            <w:r w:rsidR="006E5B2C">
              <w:rPr>
                <w:b/>
                <w:bCs/>
                <w:szCs w:val="24"/>
                <w:lang w:val="fr-CH"/>
              </w:rPr>
              <w:t>4</w:t>
            </w:r>
          </w:p>
        </w:tc>
        <w:tc>
          <w:tcPr>
            <w:tcW w:w="2835" w:type="dxa"/>
            <w:shd w:val="clear" w:color="auto" w:fill="auto"/>
          </w:tcPr>
          <w:p w:rsidR="00651777" w:rsidRPr="00542FDE" w:rsidRDefault="006B1B42" w:rsidP="005C22C1">
            <w:pPr>
              <w:spacing w:before="0" w:line="240" w:lineRule="auto"/>
              <w:jc w:val="right"/>
              <w:rPr>
                <w:szCs w:val="24"/>
                <w:lang w:val="en-GB"/>
              </w:rPr>
            </w:pPr>
            <w:r>
              <w:rPr>
                <w:rFonts w:hint="eastAsia"/>
                <w:szCs w:val="24"/>
                <w:lang w:val="en-GB" w:eastAsia="zh-CN"/>
              </w:rPr>
              <w:t>2014</w:t>
            </w:r>
            <w:r>
              <w:rPr>
                <w:rFonts w:hint="eastAsia"/>
                <w:szCs w:val="24"/>
                <w:lang w:val="en-GB" w:eastAsia="zh-CN"/>
              </w:rPr>
              <w:t>年</w:t>
            </w:r>
            <w:r>
              <w:rPr>
                <w:rFonts w:hint="eastAsia"/>
                <w:szCs w:val="24"/>
                <w:lang w:val="en-GB" w:eastAsia="zh-CN"/>
              </w:rPr>
              <w:t>10</w:t>
            </w:r>
            <w:r>
              <w:rPr>
                <w:rFonts w:hint="eastAsia"/>
                <w:szCs w:val="24"/>
                <w:lang w:val="en-GB" w:eastAsia="zh-CN"/>
              </w:rPr>
              <w:t>月</w:t>
            </w:r>
            <w:r w:rsidR="006E5B2C">
              <w:rPr>
                <w:szCs w:val="24"/>
                <w:lang w:val="en-GB"/>
              </w:rPr>
              <w:t>22</w:t>
            </w:r>
            <w:r>
              <w:rPr>
                <w:rFonts w:hint="eastAsia"/>
                <w:szCs w:val="24"/>
                <w:lang w:val="en-GB" w:eastAsia="zh-CN"/>
              </w:rPr>
              <w:t>日</w:t>
            </w:r>
          </w:p>
        </w:tc>
      </w:tr>
      <w:tr w:rsidR="0037309C" w:rsidRPr="00542FDE" w:rsidTr="004D02EC">
        <w:tc>
          <w:tcPr>
            <w:tcW w:w="9889" w:type="dxa"/>
            <w:gridSpan w:val="3"/>
            <w:shd w:val="clear" w:color="auto" w:fill="auto"/>
          </w:tcPr>
          <w:p w:rsidR="0037309C" w:rsidRPr="00542FDE" w:rsidRDefault="0037309C" w:rsidP="005C22C1">
            <w:pPr>
              <w:spacing w:before="0" w:line="240" w:lineRule="auto"/>
              <w:jc w:val="left"/>
              <w:rPr>
                <w:rFonts w:cs="Arial"/>
                <w:szCs w:val="24"/>
                <w:lang w:val="en-GB"/>
              </w:rPr>
            </w:pPr>
          </w:p>
        </w:tc>
      </w:tr>
      <w:tr w:rsidR="0037309C" w:rsidRPr="00542FDE" w:rsidTr="00D374CD">
        <w:tc>
          <w:tcPr>
            <w:tcW w:w="9889" w:type="dxa"/>
            <w:gridSpan w:val="3"/>
            <w:shd w:val="clear" w:color="auto" w:fill="auto"/>
          </w:tcPr>
          <w:p w:rsidR="0037309C" w:rsidRPr="00542FDE" w:rsidRDefault="0037309C" w:rsidP="005C22C1">
            <w:pPr>
              <w:spacing w:before="0" w:line="240" w:lineRule="auto"/>
              <w:jc w:val="left"/>
              <w:rPr>
                <w:szCs w:val="24"/>
              </w:rPr>
            </w:pPr>
          </w:p>
        </w:tc>
      </w:tr>
      <w:tr w:rsidR="0037309C" w:rsidRPr="00542FDE" w:rsidTr="004D02EC">
        <w:tc>
          <w:tcPr>
            <w:tcW w:w="9889" w:type="dxa"/>
            <w:gridSpan w:val="3"/>
            <w:shd w:val="clear" w:color="auto" w:fill="auto"/>
          </w:tcPr>
          <w:p w:rsidR="000461C0" w:rsidRPr="000461C0" w:rsidRDefault="000461C0" w:rsidP="005C22C1">
            <w:pPr>
              <w:spacing w:before="0" w:line="240" w:lineRule="auto"/>
              <w:rPr>
                <w:b/>
                <w:bCs/>
                <w:lang w:eastAsia="zh-CN"/>
              </w:rPr>
            </w:pPr>
            <w:r w:rsidRPr="000461C0">
              <w:rPr>
                <w:rFonts w:hint="eastAsia"/>
                <w:b/>
                <w:bCs/>
                <w:lang w:eastAsia="zh-CN"/>
              </w:rPr>
              <w:t>致国际电联各成员国主管部门、无线电通信部门成员和</w:t>
            </w:r>
          </w:p>
          <w:p w:rsidR="00D21694" w:rsidRDefault="000461C0" w:rsidP="005C22C1">
            <w:pPr>
              <w:spacing w:before="0" w:line="240" w:lineRule="auto"/>
              <w:jc w:val="left"/>
              <w:rPr>
                <w:b/>
                <w:bCs/>
                <w:lang w:eastAsia="zh-CN"/>
              </w:rPr>
            </w:pPr>
            <w:r w:rsidRPr="000461C0">
              <w:rPr>
                <w:rFonts w:hint="eastAsia"/>
                <w:b/>
                <w:bCs/>
                <w:lang w:eastAsia="zh-CN"/>
              </w:rPr>
              <w:t>参加无线电通信第</w:t>
            </w:r>
            <w:r>
              <w:rPr>
                <w:b/>
                <w:bCs/>
                <w:lang w:eastAsia="zh-CN"/>
              </w:rPr>
              <w:t>7</w:t>
            </w:r>
            <w:r w:rsidRPr="000461C0">
              <w:rPr>
                <w:rFonts w:hint="eastAsia"/>
                <w:b/>
                <w:bCs/>
                <w:lang w:eastAsia="zh-CN"/>
              </w:rPr>
              <w:t>研究组工作的</w:t>
            </w:r>
            <w:r w:rsidRPr="000461C0">
              <w:rPr>
                <w:rFonts w:hint="eastAsia"/>
                <w:b/>
                <w:bCs/>
                <w:lang w:eastAsia="zh-CN"/>
              </w:rPr>
              <w:t>ITU-R</w:t>
            </w:r>
            <w:r w:rsidRPr="000461C0">
              <w:rPr>
                <w:rFonts w:hint="eastAsia"/>
                <w:b/>
                <w:bCs/>
                <w:lang w:eastAsia="zh-CN"/>
              </w:rPr>
              <w:t>部门准成员</w:t>
            </w:r>
          </w:p>
          <w:p w:rsidR="00B612C8" w:rsidRPr="00542FDE" w:rsidRDefault="00B612C8" w:rsidP="005C22C1">
            <w:pPr>
              <w:spacing w:before="0" w:line="240" w:lineRule="auto"/>
              <w:jc w:val="left"/>
              <w:rPr>
                <w:b/>
                <w:bCs/>
                <w:szCs w:val="24"/>
                <w:lang w:eastAsia="zh-CN"/>
              </w:rPr>
            </w:pPr>
          </w:p>
        </w:tc>
      </w:tr>
      <w:tr w:rsidR="0037309C" w:rsidRPr="00542FDE" w:rsidTr="004D02EC">
        <w:tc>
          <w:tcPr>
            <w:tcW w:w="9889" w:type="dxa"/>
            <w:gridSpan w:val="3"/>
            <w:shd w:val="clear" w:color="auto" w:fill="auto"/>
          </w:tcPr>
          <w:p w:rsidR="0037309C" w:rsidRPr="00542FDE" w:rsidRDefault="0037309C" w:rsidP="005C22C1">
            <w:pPr>
              <w:spacing w:before="0" w:line="240" w:lineRule="auto"/>
              <w:jc w:val="left"/>
              <w:rPr>
                <w:szCs w:val="24"/>
                <w:lang w:eastAsia="zh-CN"/>
              </w:rPr>
            </w:pPr>
          </w:p>
        </w:tc>
      </w:tr>
      <w:tr w:rsidR="0037309C" w:rsidRPr="00542FDE" w:rsidTr="004D02EC">
        <w:tc>
          <w:tcPr>
            <w:tcW w:w="9889" w:type="dxa"/>
            <w:gridSpan w:val="3"/>
            <w:shd w:val="clear" w:color="auto" w:fill="auto"/>
          </w:tcPr>
          <w:p w:rsidR="0037309C" w:rsidRPr="00542FDE" w:rsidRDefault="0037309C" w:rsidP="005C22C1">
            <w:pPr>
              <w:spacing w:before="0" w:line="240" w:lineRule="auto"/>
              <w:jc w:val="left"/>
              <w:rPr>
                <w:szCs w:val="24"/>
                <w:lang w:eastAsia="zh-CN"/>
              </w:rPr>
            </w:pPr>
          </w:p>
        </w:tc>
      </w:tr>
      <w:tr w:rsidR="00B4054B" w:rsidRPr="00542FDE" w:rsidTr="0037309C">
        <w:tc>
          <w:tcPr>
            <w:tcW w:w="1526" w:type="dxa"/>
            <w:shd w:val="clear" w:color="auto" w:fill="auto"/>
          </w:tcPr>
          <w:p w:rsidR="00B4054B" w:rsidRPr="00542FDE" w:rsidRDefault="002018B7" w:rsidP="005C22C1">
            <w:pPr>
              <w:spacing w:before="0" w:line="240" w:lineRule="auto"/>
              <w:jc w:val="left"/>
              <w:rPr>
                <w:szCs w:val="24"/>
                <w:lang w:val="en-GB"/>
              </w:rPr>
            </w:pPr>
            <w:r>
              <w:rPr>
                <w:rFonts w:hint="eastAsia"/>
                <w:szCs w:val="24"/>
                <w:lang w:eastAsia="zh-CN"/>
              </w:rPr>
              <w:t>事由：</w:t>
            </w:r>
          </w:p>
        </w:tc>
        <w:tc>
          <w:tcPr>
            <w:tcW w:w="8363" w:type="dxa"/>
            <w:gridSpan w:val="2"/>
            <w:vMerge w:val="restart"/>
            <w:shd w:val="clear" w:color="auto" w:fill="auto"/>
          </w:tcPr>
          <w:p w:rsidR="00DF170E" w:rsidRPr="00542FDE" w:rsidRDefault="002018B7" w:rsidP="005C22C1">
            <w:pPr>
              <w:tabs>
                <w:tab w:val="clear" w:pos="794"/>
                <w:tab w:val="clear" w:pos="1588"/>
                <w:tab w:val="clear" w:pos="1985"/>
                <w:tab w:val="left" w:pos="454"/>
                <w:tab w:val="left" w:pos="1418"/>
              </w:tabs>
              <w:spacing w:before="0" w:line="240" w:lineRule="auto"/>
              <w:ind w:left="459" w:hanging="459"/>
              <w:rPr>
                <w:b/>
                <w:bCs/>
                <w:lang w:eastAsia="zh-CN"/>
              </w:rPr>
            </w:pPr>
            <w:r>
              <w:rPr>
                <w:rFonts w:hint="eastAsia"/>
                <w:b/>
                <w:bCs/>
                <w:lang w:eastAsia="zh-CN"/>
              </w:rPr>
              <w:t>无线电通信第</w:t>
            </w:r>
            <w:r>
              <w:rPr>
                <w:rFonts w:hint="eastAsia"/>
                <w:b/>
                <w:bCs/>
                <w:lang w:eastAsia="zh-CN"/>
              </w:rPr>
              <w:t>7</w:t>
            </w:r>
            <w:r>
              <w:rPr>
                <w:rFonts w:hint="eastAsia"/>
                <w:b/>
                <w:bCs/>
                <w:lang w:eastAsia="zh-CN"/>
              </w:rPr>
              <w:t>研究组</w:t>
            </w:r>
            <w:bookmarkStart w:id="0" w:name="OLE_LINK1"/>
            <w:bookmarkStart w:id="1" w:name="OLE_LINK2"/>
            <w:r>
              <w:rPr>
                <w:rFonts w:hint="eastAsia"/>
                <w:b/>
                <w:bCs/>
                <w:lang w:eastAsia="zh-CN"/>
              </w:rPr>
              <w:t>（科学</w:t>
            </w:r>
            <w:r w:rsidR="00C10444">
              <w:rPr>
                <w:rFonts w:hint="eastAsia"/>
                <w:b/>
                <w:bCs/>
                <w:lang w:eastAsia="zh-CN"/>
              </w:rPr>
              <w:t>业务</w:t>
            </w:r>
            <w:r>
              <w:rPr>
                <w:rFonts w:hint="eastAsia"/>
                <w:b/>
                <w:bCs/>
                <w:lang w:eastAsia="zh-CN"/>
              </w:rPr>
              <w:t>）</w:t>
            </w:r>
          </w:p>
          <w:p w:rsidR="000461C0" w:rsidRDefault="003151D0" w:rsidP="005C22C1">
            <w:pPr>
              <w:tabs>
                <w:tab w:val="clear" w:pos="794"/>
                <w:tab w:val="clear" w:pos="1588"/>
                <w:tab w:val="clear" w:pos="1985"/>
                <w:tab w:val="left" w:pos="454"/>
                <w:tab w:val="left" w:pos="1418"/>
              </w:tabs>
              <w:spacing w:before="120" w:line="240" w:lineRule="auto"/>
              <w:ind w:left="459" w:hanging="459"/>
              <w:jc w:val="left"/>
              <w:rPr>
                <w:b/>
                <w:lang w:eastAsia="zh-CN"/>
              </w:rPr>
            </w:pPr>
            <w:r w:rsidRPr="00542FDE">
              <w:rPr>
                <w:b/>
                <w:lang w:eastAsia="zh-CN"/>
              </w:rPr>
              <w:t>–</w:t>
            </w:r>
            <w:r w:rsidRPr="00542FDE">
              <w:rPr>
                <w:bCs/>
                <w:lang w:eastAsia="zh-CN"/>
              </w:rPr>
              <w:tab/>
            </w:r>
            <w:r w:rsidR="000461C0" w:rsidRPr="000461C0">
              <w:rPr>
                <w:rFonts w:hint="eastAsia"/>
                <w:b/>
                <w:lang w:eastAsia="zh-CN"/>
              </w:rPr>
              <w:t>建议按照</w:t>
            </w:r>
            <w:r w:rsidR="000461C0" w:rsidRPr="000461C0">
              <w:rPr>
                <w:rFonts w:hint="eastAsia"/>
                <w:b/>
                <w:lang w:eastAsia="zh-CN"/>
              </w:rPr>
              <w:t>ITU-R</w:t>
            </w:r>
            <w:r w:rsidR="000461C0" w:rsidRPr="000461C0">
              <w:rPr>
                <w:rFonts w:hint="eastAsia"/>
                <w:b/>
                <w:lang w:eastAsia="zh-CN"/>
              </w:rPr>
              <w:t>第</w:t>
            </w:r>
            <w:r w:rsidR="000461C0" w:rsidRPr="000461C0">
              <w:rPr>
                <w:rFonts w:hint="eastAsia"/>
                <w:b/>
                <w:lang w:eastAsia="zh-CN"/>
              </w:rPr>
              <w:t>1-6</w:t>
            </w:r>
            <w:r w:rsidR="000461C0" w:rsidRPr="000461C0">
              <w:rPr>
                <w:rFonts w:hint="eastAsia"/>
                <w:b/>
                <w:lang w:eastAsia="zh-CN"/>
              </w:rPr>
              <w:t>号决议第</w:t>
            </w:r>
            <w:r w:rsidR="000461C0" w:rsidRPr="000461C0">
              <w:rPr>
                <w:rFonts w:hint="eastAsia"/>
                <w:b/>
                <w:lang w:eastAsia="zh-CN"/>
              </w:rPr>
              <w:t>10.3</w:t>
            </w:r>
            <w:r w:rsidR="000461C0" w:rsidRPr="000461C0">
              <w:rPr>
                <w:rFonts w:hint="eastAsia"/>
                <w:b/>
                <w:lang w:eastAsia="zh-CN"/>
              </w:rPr>
              <w:t>段的规定（以信函方式同时通过和批准的程序），以信函方式通过并同时批准</w:t>
            </w:r>
            <w:r w:rsidR="00ED6C1C">
              <w:rPr>
                <w:b/>
                <w:lang w:eastAsia="zh-CN"/>
              </w:rPr>
              <w:t>3</w:t>
            </w:r>
            <w:r w:rsidR="000461C0" w:rsidRPr="000461C0">
              <w:rPr>
                <w:rFonts w:hint="eastAsia"/>
                <w:b/>
                <w:lang w:eastAsia="zh-CN"/>
              </w:rPr>
              <w:t>份</w:t>
            </w:r>
            <w:r w:rsidR="000461C0" w:rsidRPr="000461C0">
              <w:rPr>
                <w:rFonts w:hint="eastAsia"/>
                <w:b/>
                <w:lang w:eastAsia="zh-CN"/>
              </w:rPr>
              <w:t>ITU-R</w:t>
            </w:r>
            <w:r w:rsidR="000461C0" w:rsidRPr="000461C0">
              <w:rPr>
                <w:rFonts w:hint="eastAsia"/>
                <w:b/>
                <w:lang w:eastAsia="zh-CN"/>
              </w:rPr>
              <w:t>新建议书草案</w:t>
            </w:r>
            <w:bookmarkEnd w:id="0"/>
            <w:bookmarkEnd w:id="1"/>
          </w:p>
          <w:p w:rsidR="000461C0" w:rsidRPr="000461C0" w:rsidRDefault="000461C0" w:rsidP="005C22C1">
            <w:pPr>
              <w:tabs>
                <w:tab w:val="clear" w:pos="794"/>
                <w:tab w:val="clear" w:pos="1588"/>
                <w:tab w:val="clear" w:pos="1985"/>
                <w:tab w:val="left" w:pos="454"/>
                <w:tab w:val="left" w:pos="1418"/>
              </w:tabs>
              <w:spacing w:before="120" w:line="240" w:lineRule="auto"/>
              <w:ind w:left="459" w:hanging="459"/>
              <w:jc w:val="left"/>
              <w:rPr>
                <w:b/>
                <w:lang w:eastAsia="zh-CN"/>
              </w:rPr>
            </w:pPr>
          </w:p>
        </w:tc>
      </w:tr>
      <w:tr w:rsidR="00B4054B" w:rsidRPr="00542FDE" w:rsidTr="006A0053">
        <w:tc>
          <w:tcPr>
            <w:tcW w:w="1526" w:type="dxa"/>
            <w:shd w:val="clear" w:color="auto" w:fill="auto"/>
          </w:tcPr>
          <w:p w:rsidR="00B4054B" w:rsidRPr="00542FDE" w:rsidRDefault="00B4054B" w:rsidP="005C22C1">
            <w:pPr>
              <w:spacing w:before="0" w:line="240" w:lineRule="auto"/>
              <w:jc w:val="left"/>
              <w:rPr>
                <w:b/>
                <w:bCs/>
                <w:szCs w:val="24"/>
                <w:lang w:val="en-GB" w:eastAsia="zh-CN"/>
              </w:rPr>
            </w:pPr>
          </w:p>
        </w:tc>
        <w:tc>
          <w:tcPr>
            <w:tcW w:w="8363" w:type="dxa"/>
            <w:gridSpan w:val="2"/>
            <w:vMerge/>
            <w:shd w:val="clear" w:color="auto" w:fill="auto"/>
          </w:tcPr>
          <w:p w:rsidR="00B4054B" w:rsidRPr="00542FDE" w:rsidRDefault="00B4054B" w:rsidP="005C22C1">
            <w:pPr>
              <w:spacing w:before="0" w:line="240" w:lineRule="auto"/>
              <w:rPr>
                <w:b/>
                <w:bCs/>
                <w:szCs w:val="24"/>
                <w:lang w:val="en-GB" w:eastAsia="zh-CN"/>
              </w:rPr>
            </w:pPr>
          </w:p>
        </w:tc>
      </w:tr>
      <w:tr w:rsidR="00B4054B" w:rsidRPr="00542FDE" w:rsidTr="006A0053">
        <w:tc>
          <w:tcPr>
            <w:tcW w:w="1526" w:type="dxa"/>
            <w:shd w:val="clear" w:color="auto" w:fill="auto"/>
          </w:tcPr>
          <w:p w:rsidR="00B4054B" w:rsidRPr="00542FDE" w:rsidRDefault="00B4054B" w:rsidP="005C22C1">
            <w:pPr>
              <w:spacing w:before="0" w:line="240" w:lineRule="auto"/>
              <w:jc w:val="left"/>
              <w:rPr>
                <w:b/>
                <w:bCs/>
                <w:szCs w:val="24"/>
                <w:lang w:val="en-GB" w:eastAsia="zh-CN"/>
              </w:rPr>
            </w:pPr>
          </w:p>
        </w:tc>
        <w:tc>
          <w:tcPr>
            <w:tcW w:w="8363" w:type="dxa"/>
            <w:gridSpan w:val="2"/>
            <w:vMerge/>
            <w:shd w:val="clear" w:color="auto" w:fill="auto"/>
          </w:tcPr>
          <w:p w:rsidR="00B4054B" w:rsidRPr="00542FDE" w:rsidRDefault="00B4054B" w:rsidP="005C22C1">
            <w:pPr>
              <w:spacing w:before="0" w:line="240" w:lineRule="auto"/>
              <w:rPr>
                <w:b/>
                <w:bCs/>
                <w:szCs w:val="24"/>
                <w:lang w:val="en-GB" w:eastAsia="zh-CN"/>
              </w:rPr>
            </w:pPr>
          </w:p>
        </w:tc>
      </w:tr>
      <w:tr w:rsidR="00C51E92" w:rsidRPr="00542FDE" w:rsidTr="00F72DBF">
        <w:tc>
          <w:tcPr>
            <w:tcW w:w="9889" w:type="dxa"/>
            <w:gridSpan w:val="3"/>
            <w:shd w:val="clear" w:color="auto" w:fill="auto"/>
          </w:tcPr>
          <w:p w:rsidR="00C51E92" w:rsidRPr="00542FDE" w:rsidRDefault="00C51E92" w:rsidP="005C22C1">
            <w:pPr>
              <w:spacing w:before="0" w:line="240" w:lineRule="auto"/>
              <w:jc w:val="left"/>
              <w:rPr>
                <w:b/>
                <w:bCs/>
                <w:szCs w:val="24"/>
                <w:lang w:eastAsia="zh-CN"/>
              </w:rPr>
            </w:pPr>
          </w:p>
        </w:tc>
      </w:tr>
      <w:tr w:rsidR="00C51E92" w:rsidRPr="00542FDE" w:rsidTr="00F72DBF">
        <w:tc>
          <w:tcPr>
            <w:tcW w:w="9889" w:type="dxa"/>
            <w:gridSpan w:val="3"/>
            <w:shd w:val="clear" w:color="auto" w:fill="auto"/>
          </w:tcPr>
          <w:p w:rsidR="00C51E92" w:rsidRPr="00542FDE" w:rsidRDefault="00C51E92" w:rsidP="005C22C1">
            <w:pPr>
              <w:spacing w:before="0" w:line="240" w:lineRule="auto"/>
              <w:jc w:val="left"/>
              <w:rPr>
                <w:b/>
                <w:bCs/>
                <w:szCs w:val="24"/>
                <w:lang w:eastAsia="zh-CN"/>
              </w:rPr>
            </w:pPr>
          </w:p>
        </w:tc>
      </w:tr>
    </w:tbl>
    <w:p w:rsidR="000461C0" w:rsidRPr="005F2A10" w:rsidRDefault="000461C0" w:rsidP="005C22C1">
      <w:pPr>
        <w:spacing w:before="360" w:line="240" w:lineRule="auto"/>
        <w:ind w:firstLineChars="200" w:firstLine="480"/>
        <w:rPr>
          <w:lang w:eastAsia="zh-CN"/>
        </w:rPr>
      </w:pPr>
      <w:r w:rsidRPr="005F2A10">
        <w:rPr>
          <w:rFonts w:hint="eastAsia"/>
          <w:lang w:eastAsia="zh-CN"/>
        </w:rPr>
        <w:t>在</w:t>
      </w:r>
      <w:r w:rsidRPr="005F2A10">
        <w:rPr>
          <w:lang w:eastAsia="zh-CN"/>
        </w:rPr>
        <w:t>201</w:t>
      </w:r>
      <w:r>
        <w:rPr>
          <w:lang w:eastAsia="zh-CN"/>
        </w:rPr>
        <w:t>4</w:t>
      </w:r>
      <w:r w:rsidRPr="005F2A10">
        <w:rPr>
          <w:rFonts w:hint="eastAsia"/>
          <w:lang w:eastAsia="zh-CN"/>
        </w:rPr>
        <w:t>年</w:t>
      </w:r>
      <w:r>
        <w:rPr>
          <w:lang w:eastAsia="zh-CN"/>
        </w:rPr>
        <w:t>10</w:t>
      </w:r>
      <w:r w:rsidRPr="005F2A10">
        <w:rPr>
          <w:rFonts w:hint="eastAsia"/>
          <w:lang w:eastAsia="zh-CN"/>
        </w:rPr>
        <w:t>月</w:t>
      </w:r>
      <w:r>
        <w:rPr>
          <w:lang w:eastAsia="zh-CN"/>
        </w:rPr>
        <w:t>8</w:t>
      </w:r>
      <w:r>
        <w:rPr>
          <w:rFonts w:hint="eastAsia"/>
          <w:lang w:eastAsia="zh-CN"/>
        </w:rPr>
        <w:t>日</w:t>
      </w:r>
      <w:r w:rsidRPr="005F2A10">
        <w:rPr>
          <w:rFonts w:hint="eastAsia"/>
          <w:lang w:eastAsia="zh-CN"/>
        </w:rPr>
        <w:t>召开的无线电通信第</w:t>
      </w:r>
      <w:r>
        <w:rPr>
          <w:lang w:eastAsia="zh-CN"/>
        </w:rPr>
        <w:t>7</w:t>
      </w:r>
      <w:r w:rsidRPr="005F2A10">
        <w:rPr>
          <w:rFonts w:hint="eastAsia"/>
          <w:lang w:eastAsia="zh-CN"/>
        </w:rPr>
        <w:t>研究组会议上，</w:t>
      </w:r>
      <w:r>
        <w:rPr>
          <w:rFonts w:hint="eastAsia"/>
          <w:lang w:eastAsia="zh-CN"/>
        </w:rPr>
        <w:t>该</w:t>
      </w:r>
      <w:r w:rsidRPr="005F2A10">
        <w:rPr>
          <w:rFonts w:hint="eastAsia"/>
          <w:lang w:eastAsia="zh-CN"/>
        </w:rPr>
        <w:t>研究组做出决定，寻求</w:t>
      </w:r>
      <w:r w:rsidRPr="005F2A10">
        <w:rPr>
          <w:lang w:eastAsia="zh-CN"/>
        </w:rPr>
        <w:t>以信函方式通过</w:t>
      </w:r>
      <w:r>
        <w:rPr>
          <w:lang w:eastAsia="zh-CN"/>
        </w:rPr>
        <w:t>3</w:t>
      </w:r>
      <w:r w:rsidRPr="005F2A10">
        <w:rPr>
          <w:rFonts w:hint="eastAsia"/>
          <w:lang w:eastAsia="zh-CN"/>
        </w:rPr>
        <w:t>份</w:t>
      </w:r>
      <w:r w:rsidRPr="005F2A10">
        <w:rPr>
          <w:lang w:eastAsia="zh-CN"/>
        </w:rPr>
        <w:t>ITU-R</w:t>
      </w:r>
      <w:r w:rsidRPr="005F2A10">
        <w:rPr>
          <w:rFonts w:hint="eastAsia"/>
          <w:lang w:eastAsia="zh-CN"/>
        </w:rPr>
        <w:t>新建议书草案</w:t>
      </w:r>
      <w:r w:rsidRPr="005F2A10">
        <w:rPr>
          <w:lang w:eastAsia="zh-CN"/>
        </w:rPr>
        <w:t>（</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w:t>
      </w:r>
      <w:r w:rsidRPr="005F2A10">
        <w:rPr>
          <w:rFonts w:hint="eastAsia"/>
          <w:lang w:eastAsia="zh-CN"/>
        </w:rPr>
        <w:t>2.</w:t>
      </w:r>
      <w:r w:rsidRPr="005F2A10">
        <w:rPr>
          <w:lang w:eastAsia="zh-CN"/>
        </w:rPr>
        <w:t>3</w:t>
      </w:r>
      <w:r w:rsidRPr="005F2A10">
        <w:rPr>
          <w:lang w:eastAsia="zh-CN"/>
        </w:rPr>
        <w:t>段）</w:t>
      </w:r>
      <w:r w:rsidRPr="005F2A10">
        <w:rPr>
          <w:rFonts w:hint="eastAsia"/>
          <w:lang w:eastAsia="zh-CN"/>
        </w:rPr>
        <w:t>，并进一步做出决定，</w:t>
      </w:r>
      <w:r w:rsidRPr="005F2A10">
        <w:rPr>
          <w:lang w:eastAsia="zh-CN"/>
        </w:rPr>
        <w:t>采用</w:t>
      </w:r>
      <w:r w:rsidRPr="005F2A10">
        <w:rPr>
          <w:rFonts w:hint="eastAsia"/>
          <w:lang w:eastAsia="zh-CN"/>
        </w:rPr>
        <w:t>同时通过和批准的（</w:t>
      </w:r>
      <w:r w:rsidRPr="005F2A10">
        <w:rPr>
          <w:lang w:eastAsia="zh-CN"/>
        </w:rPr>
        <w:t>PSAA</w:t>
      </w:r>
      <w:r w:rsidRPr="005F2A10">
        <w:rPr>
          <w:rFonts w:hint="eastAsia"/>
          <w:lang w:eastAsia="zh-CN"/>
        </w:rPr>
        <w:t>）</w:t>
      </w:r>
      <w:r w:rsidRPr="005F2A10">
        <w:rPr>
          <w:lang w:eastAsia="zh-CN"/>
        </w:rPr>
        <w:t>程序（</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10.3</w:t>
      </w:r>
      <w:r w:rsidRPr="005F2A10">
        <w:rPr>
          <w:lang w:eastAsia="zh-CN"/>
        </w:rPr>
        <w:t>段）。建议书</w:t>
      </w:r>
      <w:r w:rsidRPr="005F2A10">
        <w:rPr>
          <w:rFonts w:hint="eastAsia"/>
          <w:lang w:eastAsia="zh-CN"/>
        </w:rPr>
        <w:t>草案的标题和摘要见</w:t>
      </w:r>
      <w:r>
        <w:rPr>
          <w:rFonts w:hint="eastAsia"/>
          <w:lang w:eastAsia="zh-CN"/>
        </w:rPr>
        <w:t>本函附件</w:t>
      </w:r>
      <w:r w:rsidRPr="005F2A10">
        <w:rPr>
          <w:rFonts w:hint="eastAsia"/>
          <w:lang w:eastAsia="zh-CN"/>
        </w:rPr>
        <w:t>。</w:t>
      </w:r>
    </w:p>
    <w:p w:rsidR="000461C0" w:rsidRPr="005F2A10" w:rsidRDefault="000461C0" w:rsidP="005C22C1">
      <w:pPr>
        <w:spacing w:line="240" w:lineRule="auto"/>
        <w:ind w:firstLineChars="200" w:firstLine="480"/>
        <w:rPr>
          <w:lang w:eastAsia="zh-CN"/>
        </w:rPr>
      </w:pPr>
      <w:r>
        <w:rPr>
          <w:rFonts w:hint="eastAsia"/>
          <w:lang w:eastAsia="zh-CN"/>
        </w:rPr>
        <w:t>考虑</w:t>
      </w:r>
      <w:r w:rsidRPr="005F2A10">
        <w:rPr>
          <w:lang w:eastAsia="zh-CN"/>
        </w:rPr>
        <w:t>期将持续</w:t>
      </w:r>
      <w:r w:rsidRPr="005F2A10">
        <w:rPr>
          <w:rFonts w:hint="eastAsia"/>
          <w:lang w:eastAsia="zh-CN"/>
        </w:rPr>
        <w:t>2</w:t>
      </w:r>
      <w:r w:rsidRPr="005F2A10">
        <w:rPr>
          <w:lang w:eastAsia="zh-CN"/>
        </w:rPr>
        <w:t>个月，于</w:t>
      </w:r>
      <w:r w:rsidRPr="006E5B2C">
        <w:rPr>
          <w:u w:val="single"/>
          <w:lang w:eastAsia="zh-CN"/>
        </w:rPr>
        <w:t>20</w:t>
      </w:r>
      <w:r w:rsidRPr="006E5B2C">
        <w:rPr>
          <w:rFonts w:hint="eastAsia"/>
          <w:u w:val="single"/>
          <w:lang w:eastAsia="zh-CN"/>
        </w:rPr>
        <w:t>1</w:t>
      </w:r>
      <w:r w:rsidRPr="006E5B2C">
        <w:rPr>
          <w:u w:val="single"/>
          <w:lang w:eastAsia="zh-CN"/>
        </w:rPr>
        <w:t>4</w:t>
      </w:r>
      <w:r w:rsidRPr="006E5B2C">
        <w:rPr>
          <w:u w:val="single"/>
          <w:lang w:eastAsia="zh-CN"/>
        </w:rPr>
        <w:t>年</w:t>
      </w:r>
      <w:r w:rsidRPr="006E5B2C">
        <w:rPr>
          <w:u w:val="single"/>
          <w:lang w:eastAsia="zh-CN"/>
        </w:rPr>
        <w:t>11</w:t>
      </w:r>
      <w:r w:rsidRPr="006E5B2C">
        <w:rPr>
          <w:u w:val="single"/>
          <w:lang w:eastAsia="zh-CN"/>
        </w:rPr>
        <w:t>月</w:t>
      </w:r>
      <w:r w:rsidRPr="006E5B2C">
        <w:rPr>
          <w:u w:val="single"/>
          <w:lang w:eastAsia="zh-CN"/>
        </w:rPr>
        <w:t>22</w:t>
      </w:r>
      <w:r w:rsidRPr="006E5B2C">
        <w:rPr>
          <w:u w:val="single"/>
          <w:lang w:eastAsia="zh-CN"/>
        </w:rPr>
        <w:t>日</w:t>
      </w:r>
      <w:r w:rsidRPr="005F2A10">
        <w:rPr>
          <w:lang w:eastAsia="zh-CN"/>
        </w:rPr>
        <w:t>结束。如在此期间未收到成员国的反对意见，则认为第</w:t>
      </w:r>
      <w:r>
        <w:rPr>
          <w:lang w:eastAsia="zh-CN"/>
        </w:rPr>
        <w:t>7</w:t>
      </w:r>
      <w:r w:rsidRPr="005F2A10">
        <w:rPr>
          <w:lang w:eastAsia="zh-CN"/>
        </w:rPr>
        <w:t>研究组已通过建议书草案。此外，由于采用了</w:t>
      </w:r>
      <w:r w:rsidRPr="005F2A10">
        <w:rPr>
          <w:lang w:eastAsia="zh-CN"/>
        </w:rPr>
        <w:t>PSAA</w:t>
      </w:r>
      <w:r w:rsidRPr="005F2A10">
        <w:rPr>
          <w:lang w:eastAsia="zh-CN"/>
        </w:rPr>
        <w:t>程序，亦将认为上述建议书草案已获批准。</w:t>
      </w:r>
    </w:p>
    <w:p w:rsidR="000461C0" w:rsidRPr="005F2A10" w:rsidRDefault="000461C0" w:rsidP="005C22C1">
      <w:pPr>
        <w:spacing w:line="240" w:lineRule="auto"/>
        <w:ind w:firstLineChars="200" w:firstLine="480"/>
        <w:rPr>
          <w:lang w:eastAsia="zh-CN"/>
        </w:rPr>
      </w:pPr>
      <w:r w:rsidRPr="005F2A10">
        <w:rPr>
          <w:rFonts w:hint="eastAsia"/>
          <w:lang w:eastAsia="zh-CN"/>
        </w:rPr>
        <w:t>请反对批准一建议书草案的成员国向主任和研究组主席阐明反对原因。</w:t>
      </w:r>
    </w:p>
    <w:p w:rsidR="003151D0" w:rsidRDefault="000461C0" w:rsidP="005C22C1">
      <w:pPr>
        <w:spacing w:line="240" w:lineRule="auto"/>
        <w:ind w:firstLineChars="200" w:firstLine="480"/>
      </w:pPr>
      <w:r w:rsidRPr="005F2A10">
        <w:rPr>
          <w:rFonts w:hint="eastAsia"/>
        </w:rPr>
        <w:t>在上述截止期限之后，将在一行政通函中宣布</w:t>
      </w:r>
      <w:r w:rsidRPr="005F2A10">
        <w:rPr>
          <w:rFonts w:hint="eastAsia"/>
        </w:rPr>
        <w:t>PSAA</w:t>
      </w:r>
      <w:r w:rsidRPr="005F2A10">
        <w:rPr>
          <w:rFonts w:hint="eastAsia"/>
        </w:rPr>
        <w:t>程序的结果，并尽可能快地出版已经批准的建议书（见</w:t>
      </w:r>
      <w:hyperlink r:id="rId8" w:history="1">
        <w:r w:rsidRPr="005F2A10">
          <w:rPr>
            <w:rStyle w:val="Hyperlink"/>
          </w:rPr>
          <w:t>http://www.itu.int/pub/R-REC</w:t>
        </w:r>
      </w:hyperlink>
      <w:r w:rsidRPr="005F2A10">
        <w:rPr>
          <w:rFonts w:hint="eastAsia"/>
        </w:rPr>
        <w:t>）。</w:t>
      </w:r>
    </w:p>
    <w:p w:rsidR="005C22C1" w:rsidRDefault="005C22C1">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0461C0" w:rsidRDefault="000461C0" w:rsidP="005C22C1">
      <w:pPr>
        <w:spacing w:line="240" w:lineRule="auto"/>
        <w:ind w:firstLineChars="200" w:firstLine="480"/>
        <w:rPr>
          <w:rFonts w:asciiTheme="minorHAnsi" w:hAnsiTheme="minorHAnsi" w:cstheme="minorHAnsi"/>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ITU-T/ITU-R/ISO/IEC</w:t>
      </w:r>
      <w:r w:rsidRPr="005F2A10">
        <w:rPr>
          <w:rFonts w:hint="eastAsia"/>
          <w:lang w:eastAsia="zh-CN"/>
        </w:rPr>
        <w:t>通用专利政策见：</w:t>
      </w:r>
      <w:hyperlink r:id="rId9" w:history="1">
        <w:r w:rsidRPr="00194297">
          <w:rPr>
            <w:rStyle w:val="Hyperlink"/>
            <w:szCs w:val="24"/>
            <w:lang w:eastAsia="zh-CN"/>
          </w:rPr>
          <w:t>http://www.itu.int/en/ITU-T/ipr/Pages/policy.aspx</w:t>
        </w:r>
      </w:hyperlink>
      <w:r w:rsidRPr="005F2A10">
        <w:rPr>
          <w:rFonts w:hint="eastAsia"/>
          <w:lang w:eastAsia="zh-CN"/>
        </w:rPr>
        <w:t>。</w:t>
      </w:r>
    </w:p>
    <w:p w:rsidR="000461C0" w:rsidRPr="00334544" w:rsidRDefault="000461C0" w:rsidP="005C22C1">
      <w:pPr>
        <w:spacing w:line="240" w:lineRule="auto"/>
        <w:rPr>
          <w:rFonts w:asciiTheme="minorHAnsi" w:hAnsiTheme="minorHAnsi" w:cstheme="minorHAnsi"/>
          <w:szCs w:val="24"/>
          <w:lang w:eastAsia="zh-CN"/>
        </w:rPr>
      </w:pPr>
    </w:p>
    <w:p w:rsidR="000461C0" w:rsidRDefault="000461C0" w:rsidP="005C22C1">
      <w:pPr>
        <w:spacing w:line="240" w:lineRule="auto"/>
        <w:rPr>
          <w:rFonts w:asciiTheme="minorHAnsi" w:hAnsiTheme="minorHAnsi" w:cstheme="minorHAnsi"/>
          <w:szCs w:val="24"/>
          <w:lang w:eastAsia="zh-CN"/>
        </w:rPr>
      </w:pPr>
    </w:p>
    <w:p w:rsidR="000461C0" w:rsidRDefault="000461C0" w:rsidP="005C22C1">
      <w:pPr>
        <w:spacing w:line="240" w:lineRule="auto"/>
        <w:rPr>
          <w:rFonts w:asciiTheme="minorHAnsi" w:hAnsiTheme="minorHAnsi" w:cstheme="minorHAnsi"/>
          <w:szCs w:val="24"/>
          <w:lang w:eastAsia="zh-CN"/>
        </w:rPr>
      </w:pPr>
    </w:p>
    <w:p w:rsidR="000461C0" w:rsidRDefault="000461C0" w:rsidP="005C22C1">
      <w:pPr>
        <w:spacing w:line="240" w:lineRule="auto"/>
        <w:rPr>
          <w:rFonts w:asciiTheme="minorHAnsi" w:hAnsiTheme="minorHAnsi" w:cstheme="minorHAnsi"/>
          <w:szCs w:val="24"/>
          <w:lang w:eastAsia="zh-CN"/>
        </w:rPr>
      </w:pPr>
    </w:p>
    <w:p w:rsidR="000461C0" w:rsidRPr="00334544" w:rsidRDefault="000461C0" w:rsidP="005C22C1">
      <w:pPr>
        <w:spacing w:line="240" w:lineRule="auto"/>
        <w:rPr>
          <w:rFonts w:asciiTheme="minorHAnsi" w:hAnsiTheme="minorHAnsi" w:cstheme="minorHAnsi"/>
          <w:szCs w:val="24"/>
          <w:lang w:eastAsia="zh-CN"/>
        </w:rPr>
      </w:pPr>
    </w:p>
    <w:p w:rsidR="000461C0" w:rsidRPr="00E91EDF" w:rsidRDefault="000461C0" w:rsidP="005C22C1">
      <w:pPr>
        <w:spacing w:before="0" w:line="240" w:lineRule="auto"/>
        <w:jc w:val="left"/>
        <w:rPr>
          <w:rFonts w:eastAsiaTheme="majorEastAsia"/>
          <w:szCs w:val="24"/>
          <w:lang w:eastAsia="zh-CN"/>
        </w:rPr>
      </w:pPr>
      <w:r w:rsidRPr="00E91EDF">
        <w:rPr>
          <w:rFonts w:eastAsiaTheme="majorEastAsia"/>
          <w:szCs w:val="24"/>
          <w:lang w:eastAsia="zh-CN"/>
        </w:rPr>
        <w:t>主任</w:t>
      </w:r>
      <w:r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0461C0" w:rsidRDefault="000461C0" w:rsidP="005C22C1">
      <w:pPr>
        <w:spacing w:line="240" w:lineRule="auto"/>
        <w:rPr>
          <w:lang w:eastAsia="zh-CN"/>
        </w:rPr>
      </w:pPr>
    </w:p>
    <w:p w:rsidR="000461C0" w:rsidRPr="00E91EDF" w:rsidRDefault="000461C0" w:rsidP="005C22C1">
      <w:pPr>
        <w:spacing w:line="240" w:lineRule="auto"/>
        <w:rPr>
          <w:lang w:eastAsia="zh-CN"/>
        </w:rPr>
      </w:pPr>
    </w:p>
    <w:p w:rsidR="000461C0" w:rsidRPr="00E91EDF" w:rsidRDefault="000461C0" w:rsidP="005C22C1">
      <w:pPr>
        <w:spacing w:line="240" w:lineRule="auto"/>
        <w:rPr>
          <w:lang w:eastAsia="zh-CN"/>
        </w:rPr>
      </w:pPr>
    </w:p>
    <w:p w:rsidR="000461C0" w:rsidRPr="005F2A10" w:rsidRDefault="000461C0" w:rsidP="005C22C1">
      <w:pPr>
        <w:spacing w:line="240" w:lineRule="auto"/>
        <w:rPr>
          <w:lang w:eastAsia="zh-CN"/>
        </w:rPr>
      </w:pPr>
      <w:r w:rsidRPr="00B11DA6">
        <w:rPr>
          <w:rFonts w:hint="eastAsia"/>
          <w:b/>
          <w:bCs/>
          <w:lang w:eastAsia="zh-CN"/>
        </w:rPr>
        <w:t>附件</w:t>
      </w:r>
      <w:r w:rsidRPr="005F2A10">
        <w:rPr>
          <w:rFonts w:hint="eastAsia"/>
          <w:lang w:eastAsia="zh-CN"/>
        </w:rPr>
        <w:t>：建议书草案的标题和摘要</w:t>
      </w:r>
    </w:p>
    <w:p w:rsidR="000461C0" w:rsidRPr="005F2A10" w:rsidRDefault="000461C0" w:rsidP="005C22C1">
      <w:pPr>
        <w:spacing w:line="240" w:lineRule="auto"/>
        <w:rPr>
          <w:lang w:eastAsia="zh-CN"/>
        </w:rPr>
      </w:pPr>
    </w:p>
    <w:p w:rsidR="000461C0" w:rsidRDefault="000461C0" w:rsidP="005C22C1">
      <w:pPr>
        <w:spacing w:line="240" w:lineRule="auto"/>
        <w:rPr>
          <w:lang w:eastAsia="zh-CN"/>
        </w:rPr>
      </w:pPr>
      <w:r w:rsidRPr="00B11DA6">
        <w:rPr>
          <w:rFonts w:hint="eastAsia"/>
          <w:b/>
          <w:bCs/>
          <w:lang w:eastAsia="zh-CN"/>
        </w:rPr>
        <w:t>文件</w:t>
      </w:r>
      <w:r w:rsidRPr="005F2A10">
        <w:rPr>
          <w:rFonts w:hint="eastAsia"/>
          <w:lang w:eastAsia="zh-CN"/>
        </w:rPr>
        <w:t>：</w:t>
      </w:r>
      <w:r w:rsidR="00F035B1">
        <w:rPr>
          <w:rFonts w:hint="eastAsia"/>
          <w:lang w:eastAsia="zh-CN"/>
        </w:rPr>
        <w:t>第</w:t>
      </w:r>
      <w:r w:rsidR="006E5B2C">
        <w:rPr>
          <w:lang w:eastAsia="zh-CN"/>
        </w:rPr>
        <w:t>7</w:t>
      </w:r>
      <w:r w:rsidRPr="005F2A10">
        <w:rPr>
          <w:lang w:eastAsia="zh-CN"/>
        </w:rPr>
        <w:t>/</w:t>
      </w:r>
      <w:r w:rsidR="006E5B2C">
        <w:rPr>
          <w:lang w:eastAsia="zh-CN"/>
        </w:rPr>
        <w:t>89</w:t>
      </w:r>
      <w:r w:rsidRPr="005F2A10">
        <w:rPr>
          <w:rFonts w:hint="eastAsia"/>
          <w:lang w:eastAsia="zh-CN"/>
        </w:rPr>
        <w:t>(Rev.1)</w:t>
      </w:r>
      <w:r w:rsidR="006E5B2C">
        <w:rPr>
          <w:rFonts w:hint="eastAsia"/>
          <w:lang w:eastAsia="zh-CN"/>
        </w:rPr>
        <w:t>、</w:t>
      </w:r>
      <w:r w:rsidR="006E5B2C" w:rsidRPr="006E5B2C">
        <w:rPr>
          <w:szCs w:val="24"/>
        </w:rPr>
        <w:t>7/90(Rev.1)</w:t>
      </w:r>
      <w:r w:rsidR="006E5B2C">
        <w:rPr>
          <w:rFonts w:hint="eastAsia"/>
          <w:szCs w:val="24"/>
          <w:lang w:val="fr-CH" w:eastAsia="zh-CN"/>
        </w:rPr>
        <w:t>、</w:t>
      </w:r>
      <w:r w:rsidR="006E5B2C" w:rsidRPr="006E5B2C">
        <w:rPr>
          <w:szCs w:val="24"/>
        </w:rPr>
        <w:t>7/101(Rev.1)</w:t>
      </w:r>
      <w:r w:rsidRPr="005F2A10">
        <w:rPr>
          <w:rFonts w:hint="eastAsia"/>
          <w:lang w:eastAsia="zh-CN"/>
        </w:rPr>
        <w:t>号文件</w:t>
      </w:r>
    </w:p>
    <w:p w:rsidR="000461C0" w:rsidRDefault="000461C0" w:rsidP="005C22C1">
      <w:pPr>
        <w:spacing w:line="240" w:lineRule="auto"/>
        <w:rPr>
          <w:lang w:eastAsia="zh-CN"/>
        </w:rPr>
      </w:pPr>
      <w:r>
        <w:rPr>
          <w:rFonts w:hint="eastAsia"/>
          <w:lang w:eastAsia="zh-CN"/>
        </w:rPr>
        <w:t>可在以下查到这些文件的电子版：</w:t>
      </w:r>
      <w:hyperlink r:id="rId10" w:history="1">
        <w:r w:rsidR="006E5B2C" w:rsidRPr="001D3D7A">
          <w:rPr>
            <w:rStyle w:val="Hyperlink"/>
            <w:szCs w:val="24"/>
          </w:rPr>
          <w:t>http://www.itu.int/md/R12-sg07-c</w:t>
        </w:r>
      </w:hyperlink>
    </w:p>
    <w:p w:rsidR="000461C0" w:rsidRDefault="000461C0" w:rsidP="005C22C1">
      <w:pPr>
        <w:spacing w:line="240" w:lineRule="auto"/>
        <w:rPr>
          <w:lang w:eastAsia="zh-CN"/>
        </w:rPr>
      </w:pPr>
    </w:p>
    <w:p w:rsidR="000461C0" w:rsidRDefault="000461C0" w:rsidP="005C22C1">
      <w:pPr>
        <w:spacing w:line="240" w:lineRule="auto"/>
        <w:rPr>
          <w:lang w:eastAsia="zh-CN"/>
        </w:rPr>
      </w:pPr>
    </w:p>
    <w:p w:rsidR="000461C0" w:rsidRDefault="000461C0" w:rsidP="005C22C1">
      <w:pPr>
        <w:spacing w:line="240" w:lineRule="auto"/>
        <w:rPr>
          <w:lang w:eastAsia="zh-CN"/>
        </w:rPr>
      </w:pPr>
    </w:p>
    <w:p w:rsidR="000461C0" w:rsidRPr="00E91EDF" w:rsidRDefault="000461C0" w:rsidP="005C22C1">
      <w:pPr>
        <w:spacing w:line="240" w:lineRule="auto"/>
        <w:rPr>
          <w:lang w:eastAsia="zh-CN"/>
        </w:rPr>
      </w:pPr>
    </w:p>
    <w:p w:rsidR="000461C0" w:rsidRPr="00E91EDF" w:rsidRDefault="000461C0" w:rsidP="005C22C1">
      <w:pPr>
        <w:spacing w:line="240" w:lineRule="auto"/>
        <w:rPr>
          <w:b/>
          <w:bCs/>
          <w:sz w:val="16"/>
          <w:szCs w:val="16"/>
          <w:lang w:eastAsia="zh-CN"/>
        </w:rPr>
      </w:pPr>
      <w:r w:rsidRPr="00E91EDF">
        <w:rPr>
          <w:rFonts w:hint="eastAsia"/>
          <w:b/>
          <w:bCs/>
          <w:sz w:val="16"/>
          <w:szCs w:val="16"/>
          <w:lang w:eastAsia="zh-CN"/>
        </w:rPr>
        <w:t>分发：</w:t>
      </w:r>
    </w:p>
    <w:p w:rsidR="000461C0" w:rsidRPr="00E91EDF"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104CC1">
        <w:rPr>
          <w:sz w:val="16"/>
          <w:szCs w:val="16"/>
          <w:lang w:eastAsia="zh-CN"/>
        </w:rPr>
        <w:t>7</w:t>
      </w:r>
      <w:r w:rsidRPr="00E91EDF">
        <w:rPr>
          <w:rFonts w:hint="eastAsia"/>
          <w:sz w:val="16"/>
          <w:szCs w:val="16"/>
          <w:lang w:eastAsia="zh-CN"/>
        </w:rPr>
        <w:t>研究组工作的无线电通信部门成员</w:t>
      </w:r>
    </w:p>
    <w:p w:rsidR="000461C0" w:rsidRPr="00E91EDF"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104CC1">
        <w:rPr>
          <w:sz w:val="16"/>
          <w:szCs w:val="16"/>
          <w:lang w:eastAsia="zh-CN"/>
        </w:rPr>
        <w:t>7</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0461C0" w:rsidRPr="00E91EDF"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0461C0" w:rsidRPr="00E91EDF"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0461C0"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0461C0" w:rsidRPr="000461C0" w:rsidRDefault="000461C0" w:rsidP="005C22C1">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p>
    <w:p w:rsidR="003151D0" w:rsidRPr="00542FDE" w:rsidRDefault="003151D0" w:rsidP="005C22C1">
      <w:pPr>
        <w:tabs>
          <w:tab w:val="clear" w:pos="794"/>
          <w:tab w:val="clear" w:pos="1191"/>
          <w:tab w:val="clear" w:pos="1588"/>
          <w:tab w:val="clear" w:pos="1985"/>
        </w:tabs>
        <w:overflowPunct/>
        <w:autoSpaceDE/>
        <w:autoSpaceDN/>
        <w:adjustRightInd/>
        <w:spacing w:before="0" w:line="240" w:lineRule="auto"/>
        <w:textAlignment w:val="auto"/>
        <w:rPr>
          <w:lang w:eastAsia="zh-CN"/>
        </w:rPr>
      </w:pPr>
      <w:r w:rsidRPr="00542FDE">
        <w:rPr>
          <w:lang w:eastAsia="zh-CN"/>
        </w:rPr>
        <w:br w:type="page"/>
      </w:r>
    </w:p>
    <w:p w:rsidR="000461C0" w:rsidRPr="00726FB7" w:rsidRDefault="000461C0" w:rsidP="005C22C1">
      <w:pPr>
        <w:pStyle w:val="AnnexNoTitle"/>
        <w:spacing w:line="240" w:lineRule="auto"/>
        <w:rPr>
          <w:sz w:val="28"/>
          <w:szCs w:val="28"/>
          <w:lang w:eastAsia="zh-CN"/>
        </w:rPr>
      </w:pPr>
      <w:r w:rsidRPr="00726FB7">
        <w:rPr>
          <w:rFonts w:hint="eastAsia"/>
          <w:sz w:val="28"/>
          <w:szCs w:val="28"/>
          <w:lang w:eastAsia="zh-CN"/>
        </w:rPr>
        <w:lastRenderedPageBreak/>
        <w:t>附件</w:t>
      </w:r>
      <w:r w:rsidRPr="00726FB7">
        <w:rPr>
          <w:sz w:val="28"/>
          <w:szCs w:val="28"/>
          <w:lang w:eastAsia="zh-CN"/>
        </w:rPr>
        <w:br/>
      </w:r>
      <w:r w:rsidRPr="00726FB7">
        <w:rPr>
          <w:rFonts w:hint="eastAsia"/>
          <w:sz w:val="28"/>
          <w:szCs w:val="28"/>
          <w:lang w:eastAsia="zh-CN"/>
        </w:rPr>
        <w:br/>
      </w:r>
      <w:r>
        <w:rPr>
          <w:rFonts w:hint="eastAsia"/>
          <w:sz w:val="28"/>
          <w:szCs w:val="28"/>
          <w:lang w:eastAsia="zh-CN"/>
        </w:rPr>
        <w:t>建议书草案的标题和摘要</w:t>
      </w:r>
    </w:p>
    <w:p w:rsidR="000461C0" w:rsidRPr="00726FB7" w:rsidRDefault="000461C0" w:rsidP="005C22C1">
      <w:pPr>
        <w:spacing w:line="240" w:lineRule="auto"/>
        <w:rPr>
          <w:sz w:val="28"/>
          <w:szCs w:val="28"/>
          <w:lang w:eastAsia="zh-CN"/>
        </w:rPr>
      </w:pPr>
    </w:p>
    <w:p w:rsidR="000461C0" w:rsidRDefault="005E6D6E" w:rsidP="005C22C1">
      <w:pPr>
        <w:tabs>
          <w:tab w:val="right" w:pos="9639"/>
        </w:tabs>
        <w:spacing w:line="240" w:lineRule="auto"/>
        <w:rPr>
          <w:lang w:eastAsia="zh-CN"/>
        </w:rPr>
      </w:pPr>
      <w:r>
        <w:rPr>
          <w:rFonts w:asciiTheme="minorHAnsi" w:hAnsiTheme="minorHAnsi" w:cstheme="minorHAnsi" w:hint="eastAsia"/>
          <w:szCs w:val="24"/>
          <w:u w:val="single"/>
          <w:lang w:eastAsia="zh-CN"/>
        </w:rPr>
        <w:t>新建议书草案</w:t>
      </w:r>
      <w:r w:rsidR="000461C0" w:rsidRPr="004A65FE">
        <w:rPr>
          <w:rFonts w:asciiTheme="minorHAnsi" w:hAnsiTheme="minorHAnsi" w:cstheme="minorHAnsi"/>
          <w:szCs w:val="24"/>
          <w:u w:val="single"/>
          <w:lang w:eastAsia="zh-CN"/>
        </w:rPr>
        <w:t xml:space="preserve">ITU-R </w:t>
      </w:r>
      <w:r w:rsidR="000461C0" w:rsidRPr="004A65FE">
        <w:rPr>
          <w:szCs w:val="24"/>
          <w:u w:val="single"/>
          <w:lang w:eastAsia="zh-CN"/>
        </w:rPr>
        <w:t>RS.[SRS PASSIVE]</w:t>
      </w:r>
      <w:r w:rsidR="000461C0" w:rsidRPr="000461C0">
        <w:rPr>
          <w:rFonts w:hint="eastAsia"/>
          <w:lang w:eastAsia="zh-CN"/>
        </w:rPr>
        <w:tab/>
      </w:r>
      <w:r>
        <w:rPr>
          <w:rFonts w:asciiTheme="minorHAnsi" w:hAnsiTheme="minorHAnsi" w:cstheme="minorHAnsi" w:hint="eastAsia"/>
          <w:szCs w:val="24"/>
          <w:lang w:eastAsia="zh-CN"/>
        </w:rPr>
        <w:t>第</w:t>
      </w:r>
      <w:r>
        <w:rPr>
          <w:rFonts w:asciiTheme="minorHAnsi" w:hAnsiTheme="minorHAnsi" w:cstheme="minorHAnsi"/>
          <w:szCs w:val="24"/>
          <w:lang w:eastAsia="zh-CN"/>
        </w:rPr>
        <w:t>7/89</w:t>
      </w:r>
      <w:r>
        <w:rPr>
          <w:rFonts w:asciiTheme="minorHAnsi" w:hAnsiTheme="minorHAnsi" w:cstheme="minorHAnsi" w:hint="eastAsia"/>
          <w:szCs w:val="24"/>
          <w:lang w:eastAsia="zh-CN"/>
        </w:rPr>
        <w:t>（</w:t>
      </w:r>
      <w:r>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0461C0" w:rsidRPr="002305DB" w:rsidRDefault="006E5B2C" w:rsidP="005C22C1">
      <w:pPr>
        <w:spacing w:line="240" w:lineRule="auto"/>
        <w:jc w:val="center"/>
        <w:rPr>
          <w:rStyle w:val="RectitleChar"/>
          <w:rFonts w:asciiTheme="minorHAnsi" w:hAnsiTheme="minorHAnsi" w:cstheme="minorHAnsi"/>
          <w:b w:val="0"/>
          <w:bCs/>
          <w:szCs w:val="28"/>
          <w:lang w:eastAsia="zh-CN"/>
        </w:rPr>
      </w:pPr>
      <w:r w:rsidRPr="006E5B2C">
        <w:rPr>
          <w:rFonts w:hint="eastAsia"/>
          <w:b/>
          <w:sz w:val="28"/>
          <w:szCs w:val="28"/>
          <w:lang w:eastAsia="x-none"/>
        </w:rPr>
        <w:t>空间研究业务（无源）观测系统使用的典型技术和操作特性以及频段</w:t>
      </w:r>
    </w:p>
    <w:p w:rsidR="000461C0" w:rsidRPr="004A65FE" w:rsidRDefault="005E6D6E" w:rsidP="005C22C1">
      <w:pPr>
        <w:spacing w:line="240" w:lineRule="auto"/>
        <w:rPr>
          <w:rFonts w:asciiTheme="minorHAnsi" w:hAnsiTheme="minorHAnsi" w:cstheme="minorHAnsi"/>
          <w:szCs w:val="24"/>
          <w:lang w:eastAsia="zh-CN"/>
        </w:rPr>
      </w:pPr>
      <w:r>
        <w:rPr>
          <w:rFonts w:hint="eastAsia"/>
          <w:szCs w:val="24"/>
          <w:lang w:eastAsia="zh-CN"/>
        </w:rPr>
        <w:t>本建议书提供了空间研究业务（无源）观测系统使用的典型技术和操作特性。</w:t>
      </w:r>
    </w:p>
    <w:p w:rsidR="000461C0" w:rsidRPr="004A65FE" w:rsidRDefault="005E6D6E" w:rsidP="005C22C1">
      <w:pPr>
        <w:tabs>
          <w:tab w:val="right" w:pos="9639"/>
        </w:tabs>
        <w:spacing w:before="360" w:line="240" w:lineRule="auto"/>
        <w:rPr>
          <w:rFonts w:asciiTheme="minorHAnsi" w:hAnsiTheme="minorHAnsi" w:cstheme="minorHAnsi"/>
          <w:szCs w:val="24"/>
          <w:lang w:eastAsia="zh-CN"/>
        </w:rPr>
      </w:pPr>
      <w:r>
        <w:rPr>
          <w:rFonts w:asciiTheme="minorHAnsi" w:hAnsiTheme="minorHAnsi" w:cstheme="minorHAnsi" w:hint="eastAsia"/>
          <w:szCs w:val="24"/>
          <w:u w:val="single"/>
          <w:lang w:eastAsia="zh-CN"/>
        </w:rPr>
        <w:t>新建议书草案</w:t>
      </w:r>
      <w:r w:rsidR="000461C0" w:rsidRPr="004A65FE">
        <w:rPr>
          <w:rFonts w:asciiTheme="minorHAnsi" w:hAnsiTheme="minorHAnsi" w:cstheme="minorHAnsi"/>
          <w:szCs w:val="24"/>
          <w:u w:val="single"/>
          <w:lang w:eastAsia="zh-CN"/>
        </w:rPr>
        <w:t xml:space="preserve">ITU-R </w:t>
      </w:r>
      <w:r w:rsidR="000461C0" w:rsidRPr="004A65FE">
        <w:rPr>
          <w:szCs w:val="24"/>
          <w:u w:val="single"/>
          <w:lang w:eastAsia="zh-CN"/>
        </w:rPr>
        <w:t>RS.[EESS9GHz-SRS-Mitigation]</w:t>
      </w:r>
      <w:r w:rsidR="000461C0" w:rsidRPr="004A65FE">
        <w:rPr>
          <w:rFonts w:asciiTheme="minorHAnsi" w:hAnsiTheme="minorHAnsi" w:cstheme="minorHAnsi"/>
          <w:szCs w:val="24"/>
          <w:lang w:eastAsia="zh-CN"/>
        </w:rPr>
        <w:tab/>
      </w:r>
      <w:r>
        <w:rPr>
          <w:rFonts w:asciiTheme="minorHAnsi" w:hAnsiTheme="minorHAnsi" w:cstheme="minorHAnsi" w:hint="eastAsia"/>
          <w:szCs w:val="24"/>
          <w:lang w:eastAsia="zh-CN"/>
        </w:rPr>
        <w:t>第</w:t>
      </w:r>
      <w:r>
        <w:rPr>
          <w:rFonts w:asciiTheme="minorHAnsi" w:hAnsiTheme="minorHAnsi" w:cstheme="minorHAnsi"/>
          <w:szCs w:val="24"/>
          <w:lang w:eastAsia="zh-CN"/>
        </w:rPr>
        <w:t>7/90</w:t>
      </w:r>
      <w:r>
        <w:rPr>
          <w:rFonts w:asciiTheme="minorHAnsi" w:hAnsiTheme="minorHAnsi" w:cstheme="minorHAnsi" w:hint="eastAsia"/>
          <w:szCs w:val="24"/>
          <w:lang w:eastAsia="zh-CN"/>
        </w:rPr>
        <w:t>（</w:t>
      </w:r>
      <w:r>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0461C0" w:rsidRPr="002305DB" w:rsidRDefault="006E5B2C" w:rsidP="005C22C1">
      <w:pPr>
        <w:tabs>
          <w:tab w:val="right" w:pos="9639"/>
        </w:tabs>
        <w:spacing w:line="240" w:lineRule="auto"/>
        <w:jc w:val="center"/>
        <w:rPr>
          <w:b/>
          <w:bCs/>
          <w:sz w:val="28"/>
          <w:szCs w:val="28"/>
          <w:lang w:eastAsia="zh-CN"/>
        </w:rPr>
      </w:pPr>
      <w:r w:rsidRPr="006E5B2C">
        <w:rPr>
          <w:rFonts w:hint="eastAsia"/>
          <w:b/>
          <w:bCs/>
          <w:sz w:val="28"/>
          <w:szCs w:val="28"/>
          <w:lang w:eastAsia="zh-CN"/>
        </w:rPr>
        <w:t>保护</w:t>
      </w:r>
      <w:r w:rsidRPr="006E5B2C">
        <w:rPr>
          <w:rFonts w:hint="eastAsia"/>
          <w:b/>
          <w:bCs/>
          <w:sz w:val="28"/>
          <w:szCs w:val="28"/>
          <w:lang w:eastAsia="zh-CN"/>
        </w:rPr>
        <w:t>8 400-8 450 MHz</w:t>
      </w:r>
      <w:r w:rsidRPr="006E5B2C">
        <w:rPr>
          <w:rFonts w:hint="eastAsia"/>
          <w:b/>
          <w:bCs/>
          <w:sz w:val="28"/>
          <w:szCs w:val="28"/>
          <w:lang w:eastAsia="zh-CN"/>
        </w:rPr>
        <w:t>和</w:t>
      </w:r>
      <w:r w:rsidRPr="006E5B2C">
        <w:rPr>
          <w:rFonts w:hint="eastAsia"/>
          <w:b/>
          <w:bCs/>
          <w:sz w:val="28"/>
          <w:szCs w:val="28"/>
          <w:lang w:eastAsia="zh-CN"/>
        </w:rPr>
        <w:t>8 450-8 500 MHz</w:t>
      </w:r>
      <w:r w:rsidRPr="006E5B2C">
        <w:rPr>
          <w:rFonts w:hint="eastAsia"/>
          <w:b/>
          <w:bCs/>
          <w:sz w:val="28"/>
          <w:szCs w:val="28"/>
          <w:lang w:eastAsia="zh-CN"/>
        </w:rPr>
        <w:t>频段的</w:t>
      </w:r>
      <w:r>
        <w:rPr>
          <w:b/>
          <w:bCs/>
          <w:sz w:val="28"/>
          <w:szCs w:val="28"/>
          <w:lang w:eastAsia="zh-CN"/>
        </w:rPr>
        <w:br/>
      </w:r>
      <w:r w:rsidRPr="006E5B2C">
        <w:rPr>
          <w:rFonts w:hint="eastAsia"/>
          <w:b/>
          <w:bCs/>
          <w:sz w:val="28"/>
          <w:szCs w:val="28"/>
          <w:lang w:eastAsia="zh-CN"/>
        </w:rPr>
        <w:t>空间研究业务（</w:t>
      </w:r>
      <w:r w:rsidRPr="006E5B2C">
        <w:rPr>
          <w:rFonts w:hint="eastAsia"/>
          <w:b/>
          <w:bCs/>
          <w:sz w:val="28"/>
          <w:szCs w:val="28"/>
          <w:lang w:eastAsia="zh-CN"/>
        </w:rPr>
        <w:t>SRS</w:t>
      </w:r>
      <w:r w:rsidRPr="006E5B2C">
        <w:rPr>
          <w:rFonts w:hint="eastAsia"/>
          <w:b/>
          <w:bCs/>
          <w:sz w:val="28"/>
          <w:szCs w:val="28"/>
          <w:lang w:eastAsia="zh-CN"/>
        </w:rPr>
        <w:t>）空对地链路免受</w:t>
      </w:r>
      <w:r w:rsidRPr="006E5B2C">
        <w:rPr>
          <w:rFonts w:hint="eastAsia"/>
          <w:b/>
          <w:bCs/>
          <w:sz w:val="28"/>
          <w:szCs w:val="28"/>
          <w:lang w:eastAsia="zh-CN"/>
        </w:rPr>
        <w:t>9 600 MHz</w:t>
      </w:r>
      <w:r w:rsidRPr="006E5B2C">
        <w:rPr>
          <w:rFonts w:hint="eastAsia"/>
          <w:b/>
          <w:bCs/>
          <w:sz w:val="28"/>
          <w:szCs w:val="28"/>
          <w:lang w:eastAsia="zh-CN"/>
        </w:rPr>
        <w:t>附近</w:t>
      </w:r>
      <w:r>
        <w:rPr>
          <w:b/>
          <w:bCs/>
          <w:sz w:val="28"/>
          <w:szCs w:val="28"/>
          <w:lang w:eastAsia="zh-CN"/>
        </w:rPr>
        <w:br/>
      </w:r>
      <w:r w:rsidRPr="006E5B2C">
        <w:rPr>
          <w:rFonts w:hint="eastAsia"/>
          <w:b/>
          <w:bCs/>
          <w:sz w:val="28"/>
          <w:szCs w:val="28"/>
          <w:lang w:eastAsia="zh-CN"/>
        </w:rPr>
        <w:t>卫星地球探测业务（有源）使用的合成孔径雷达无用发射的影响</w:t>
      </w:r>
    </w:p>
    <w:p w:rsidR="000461C0" w:rsidRPr="004A65FE" w:rsidRDefault="00232529" w:rsidP="005C22C1">
      <w:pPr>
        <w:spacing w:line="240" w:lineRule="auto"/>
        <w:rPr>
          <w:szCs w:val="24"/>
          <w:lang w:eastAsia="zh-CN"/>
        </w:rPr>
      </w:pPr>
      <w:r>
        <w:rPr>
          <w:rFonts w:hint="eastAsia"/>
          <w:szCs w:val="24"/>
          <w:lang w:eastAsia="zh-CN"/>
        </w:rPr>
        <w:t>本建议书提供了在</w:t>
      </w:r>
      <w:r w:rsidRPr="00232529">
        <w:rPr>
          <w:rFonts w:hint="eastAsia"/>
          <w:szCs w:val="24"/>
          <w:lang w:eastAsia="zh-CN"/>
        </w:rPr>
        <w:t>空间研究业务（</w:t>
      </w:r>
      <w:r w:rsidRPr="00232529">
        <w:rPr>
          <w:rFonts w:hint="eastAsia"/>
          <w:szCs w:val="24"/>
          <w:lang w:eastAsia="zh-CN"/>
        </w:rPr>
        <w:t>SRS</w:t>
      </w:r>
      <w:r w:rsidRPr="00232529">
        <w:rPr>
          <w:rFonts w:hint="eastAsia"/>
          <w:szCs w:val="24"/>
          <w:lang w:eastAsia="zh-CN"/>
        </w:rPr>
        <w:t>）</w:t>
      </w:r>
      <w:r>
        <w:rPr>
          <w:rFonts w:hint="eastAsia"/>
          <w:szCs w:val="24"/>
          <w:lang w:eastAsia="zh-CN"/>
        </w:rPr>
        <w:t>频段</w:t>
      </w:r>
      <w:r w:rsidRPr="00232529">
        <w:rPr>
          <w:rFonts w:hint="eastAsia"/>
          <w:szCs w:val="24"/>
          <w:lang w:eastAsia="zh-CN"/>
        </w:rPr>
        <w:t>降低卫星地球探测业务（</w:t>
      </w:r>
      <w:r w:rsidRPr="00232529">
        <w:rPr>
          <w:rFonts w:hint="eastAsia"/>
          <w:szCs w:val="24"/>
          <w:lang w:eastAsia="zh-CN"/>
        </w:rPr>
        <w:t>EESS</w:t>
      </w:r>
      <w:r>
        <w:rPr>
          <w:rFonts w:hint="eastAsia"/>
          <w:szCs w:val="24"/>
          <w:lang w:eastAsia="zh-CN"/>
        </w:rPr>
        <w:t>）（</w:t>
      </w:r>
      <w:r w:rsidRPr="00232529">
        <w:rPr>
          <w:rFonts w:hint="eastAsia"/>
          <w:szCs w:val="24"/>
          <w:lang w:eastAsia="zh-CN"/>
        </w:rPr>
        <w:t>有源）系统无用发射</w:t>
      </w:r>
      <w:r>
        <w:rPr>
          <w:rFonts w:hint="eastAsia"/>
          <w:szCs w:val="24"/>
          <w:lang w:eastAsia="zh-CN"/>
        </w:rPr>
        <w:t>的抑制方法，并建议</w:t>
      </w:r>
      <w:r w:rsidRPr="00232529">
        <w:rPr>
          <w:rFonts w:hint="eastAsia"/>
          <w:szCs w:val="24"/>
          <w:lang w:eastAsia="zh-CN"/>
        </w:rPr>
        <w:t>EESS</w:t>
      </w:r>
      <w:r w:rsidRPr="00232529">
        <w:rPr>
          <w:rFonts w:hint="eastAsia"/>
          <w:szCs w:val="24"/>
          <w:lang w:eastAsia="zh-CN"/>
        </w:rPr>
        <w:t>（有源）</w:t>
      </w:r>
      <w:r>
        <w:rPr>
          <w:rFonts w:hint="eastAsia"/>
          <w:szCs w:val="24"/>
          <w:lang w:eastAsia="zh-CN"/>
        </w:rPr>
        <w:t>系统</w:t>
      </w:r>
      <w:r w:rsidR="00DC70B9">
        <w:rPr>
          <w:rFonts w:hint="eastAsia"/>
          <w:szCs w:val="24"/>
          <w:lang w:eastAsia="zh-CN"/>
        </w:rPr>
        <w:t>在</w:t>
      </w:r>
      <w:r>
        <w:rPr>
          <w:szCs w:val="24"/>
          <w:lang w:eastAsia="zh-CN"/>
        </w:rPr>
        <w:t>SRS</w:t>
      </w:r>
      <w:r>
        <w:rPr>
          <w:rFonts w:hint="eastAsia"/>
          <w:szCs w:val="24"/>
          <w:lang w:eastAsia="zh-CN"/>
        </w:rPr>
        <w:t>（深空）</w:t>
      </w:r>
      <w:r w:rsidR="00F035B1">
        <w:rPr>
          <w:rFonts w:hint="eastAsia"/>
          <w:szCs w:val="24"/>
          <w:lang w:eastAsia="zh-CN"/>
        </w:rPr>
        <w:t>任务操作的关键事件中为其提供充分保护，</w:t>
      </w:r>
      <w:r w:rsidR="00DC70B9">
        <w:rPr>
          <w:rFonts w:hint="eastAsia"/>
          <w:szCs w:val="24"/>
          <w:lang w:eastAsia="zh-CN"/>
        </w:rPr>
        <w:t>时刻防止</w:t>
      </w:r>
      <w:r w:rsidR="00DC70B9">
        <w:rPr>
          <w:rFonts w:hint="eastAsia"/>
          <w:szCs w:val="24"/>
          <w:lang w:eastAsia="zh-CN"/>
        </w:rPr>
        <w:t>SRS</w:t>
      </w:r>
      <w:r w:rsidR="00DC70B9">
        <w:rPr>
          <w:rFonts w:hint="eastAsia"/>
          <w:szCs w:val="24"/>
          <w:lang w:eastAsia="zh-CN"/>
        </w:rPr>
        <w:t>地面站接收器受到损坏。</w:t>
      </w:r>
    </w:p>
    <w:p w:rsidR="000461C0" w:rsidRPr="004A65FE" w:rsidRDefault="00DC70B9" w:rsidP="000C18BB">
      <w:pPr>
        <w:tabs>
          <w:tab w:val="right" w:pos="9639"/>
        </w:tabs>
        <w:spacing w:before="360" w:line="240" w:lineRule="auto"/>
        <w:rPr>
          <w:rFonts w:asciiTheme="minorHAnsi" w:hAnsiTheme="minorHAnsi" w:cstheme="minorHAnsi"/>
          <w:szCs w:val="24"/>
          <w:lang w:eastAsia="zh-CN"/>
        </w:rPr>
      </w:pPr>
      <w:r>
        <w:rPr>
          <w:rFonts w:asciiTheme="minorHAnsi" w:hAnsiTheme="minorHAnsi" w:cstheme="minorHAnsi" w:hint="eastAsia"/>
          <w:szCs w:val="24"/>
          <w:u w:val="single"/>
          <w:lang w:eastAsia="zh-CN"/>
        </w:rPr>
        <w:t>新建议书草案</w:t>
      </w:r>
      <w:r w:rsidR="000461C0" w:rsidRPr="004A65FE">
        <w:rPr>
          <w:rFonts w:asciiTheme="minorHAnsi" w:hAnsiTheme="minorHAnsi" w:cstheme="minorHAnsi"/>
          <w:szCs w:val="24"/>
          <w:u w:val="single"/>
          <w:lang w:eastAsia="zh-CN"/>
        </w:rPr>
        <w:t xml:space="preserve">ITU-R </w:t>
      </w:r>
      <w:r w:rsidR="000461C0" w:rsidRPr="004A65FE">
        <w:rPr>
          <w:szCs w:val="24"/>
          <w:u w:val="single"/>
          <w:lang w:eastAsia="zh-CN"/>
        </w:rPr>
        <w:t>RS.[EESS9GHz-RAS-Mitigation]</w:t>
      </w:r>
      <w:r w:rsidR="000461C0" w:rsidRPr="004A65FE">
        <w:rPr>
          <w:rFonts w:asciiTheme="minorHAnsi" w:hAnsiTheme="minorHAnsi" w:cstheme="minorHAnsi"/>
          <w:szCs w:val="24"/>
          <w:lang w:eastAsia="zh-CN"/>
        </w:rPr>
        <w:tab/>
      </w:r>
      <w:r>
        <w:rPr>
          <w:rFonts w:asciiTheme="minorHAnsi" w:hAnsiTheme="minorHAnsi" w:cstheme="minorHAnsi" w:hint="eastAsia"/>
          <w:szCs w:val="24"/>
          <w:lang w:eastAsia="zh-CN"/>
        </w:rPr>
        <w:t>第</w:t>
      </w:r>
      <w:r>
        <w:rPr>
          <w:rFonts w:asciiTheme="minorHAnsi" w:hAnsiTheme="minorHAnsi" w:cstheme="minorHAnsi"/>
          <w:szCs w:val="24"/>
          <w:lang w:eastAsia="zh-CN"/>
        </w:rPr>
        <w:t>7/101</w:t>
      </w:r>
      <w:r>
        <w:rPr>
          <w:rFonts w:asciiTheme="minorHAnsi" w:hAnsiTheme="minorHAnsi" w:cstheme="minorHAnsi" w:hint="eastAsia"/>
          <w:szCs w:val="24"/>
          <w:lang w:eastAsia="zh-CN"/>
        </w:rPr>
        <w:t>（</w:t>
      </w:r>
      <w:r>
        <w:rPr>
          <w:rFonts w:asciiTheme="minorHAnsi" w:hAnsiTheme="minorHAnsi" w:cstheme="minorHAnsi"/>
          <w:szCs w:val="24"/>
          <w:lang w:eastAsia="zh-CN"/>
        </w:rPr>
        <w:t>Rev.1</w:t>
      </w:r>
      <w:r>
        <w:rPr>
          <w:rFonts w:asciiTheme="minorHAnsi" w:hAnsiTheme="minorHAnsi" w:cstheme="minorHAnsi" w:hint="eastAsia"/>
          <w:szCs w:val="24"/>
          <w:lang w:eastAsia="zh-CN"/>
        </w:rPr>
        <w:t>）号文件</w:t>
      </w:r>
    </w:p>
    <w:p w:rsidR="000461C0" w:rsidRPr="008A7BA5" w:rsidRDefault="006E5B2C" w:rsidP="005C22C1">
      <w:pPr>
        <w:spacing w:line="240" w:lineRule="auto"/>
        <w:jc w:val="center"/>
        <w:rPr>
          <w:b/>
          <w:bCs/>
          <w:sz w:val="28"/>
          <w:szCs w:val="28"/>
          <w:lang w:eastAsia="zh-CN"/>
        </w:rPr>
      </w:pPr>
      <w:r w:rsidRPr="006E5B2C">
        <w:rPr>
          <w:rFonts w:hint="eastAsia"/>
          <w:b/>
          <w:bCs/>
          <w:sz w:val="28"/>
          <w:szCs w:val="28"/>
          <w:lang w:eastAsia="zh-CN"/>
        </w:rPr>
        <w:t>保护</w:t>
      </w:r>
      <w:r w:rsidRPr="006E5B2C">
        <w:rPr>
          <w:rFonts w:hint="eastAsia"/>
          <w:b/>
          <w:bCs/>
          <w:sz w:val="28"/>
          <w:szCs w:val="28"/>
          <w:lang w:eastAsia="zh-CN"/>
        </w:rPr>
        <w:t>10.6-10.7GHz</w:t>
      </w:r>
      <w:r w:rsidRPr="006E5B2C">
        <w:rPr>
          <w:rFonts w:hint="eastAsia"/>
          <w:b/>
          <w:bCs/>
          <w:sz w:val="28"/>
          <w:szCs w:val="28"/>
          <w:lang w:eastAsia="zh-CN"/>
        </w:rPr>
        <w:t>频段的射电天文业务免受</w:t>
      </w:r>
      <w:r w:rsidRPr="006E5B2C">
        <w:rPr>
          <w:rFonts w:hint="eastAsia"/>
          <w:b/>
          <w:bCs/>
          <w:sz w:val="28"/>
          <w:szCs w:val="28"/>
          <w:lang w:eastAsia="zh-CN"/>
        </w:rPr>
        <w:t>9 600 MHz</w:t>
      </w:r>
      <w:r w:rsidRPr="006E5B2C">
        <w:rPr>
          <w:rFonts w:hint="eastAsia"/>
          <w:b/>
          <w:bCs/>
          <w:sz w:val="28"/>
          <w:szCs w:val="28"/>
          <w:lang w:eastAsia="zh-CN"/>
        </w:rPr>
        <w:t>附近</w:t>
      </w:r>
      <w:r>
        <w:rPr>
          <w:b/>
          <w:bCs/>
          <w:sz w:val="28"/>
          <w:szCs w:val="28"/>
          <w:lang w:eastAsia="zh-CN"/>
        </w:rPr>
        <w:br/>
      </w:r>
      <w:r w:rsidRPr="006E5B2C">
        <w:rPr>
          <w:rFonts w:hint="eastAsia"/>
          <w:b/>
          <w:bCs/>
          <w:sz w:val="28"/>
          <w:szCs w:val="28"/>
          <w:lang w:eastAsia="zh-CN"/>
        </w:rPr>
        <w:t>卫星地球探测业务（有源）使用的合成孔径雷达无用发射的影响</w:t>
      </w:r>
    </w:p>
    <w:p w:rsidR="000461C0" w:rsidRPr="004A65FE" w:rsidRDefault="00F62E08" w:rsidP="005C22C1">
      <w:pPr>
        <w:spacing w:line="240" w:lineRule="auto"/>
        <w:rPr>
          <w:szCs w:val="24"/>
          <w:lang w:eastAsia="zh-CN"/>
        </w:rPr>
      </w:pPr>
      <w:r>
        <w:rPr>
          <w:rFonts w:hint="eastAsia"/>
          <w:szCs w:val="24"/>
          <w:lang w:eastAsia="zh-CN"/>
        </w:rPr>
        <w:t>本建议书提供了在</w:t>
      </w:r>
      <w:r w:rsidRPr="00F62E08">
        <w:rPr>
          <w:szCs w:val="24"/>
          <w:lang w:eastAsia="zh-CN"/>
        </w:rPr>
        <w:t>9 600 MHz</w:t>
      </w:r>
      <w:r>
        <w:rPr>
          <w:rFonts w:hint="eastAsia"/>
          <w:szCs w:val="24"/>
          <w:lang w:eastAsia="zh-CN"/>
        </w:rPr>
        <w:t>和在</w:t>
      </w:r>
      <w:r w:rsidR="00711EE1" w:rsidRPr="00711EE1">
        <w:rPr>
          <w:szCs w:val="24"/>
          <w:lang w:eastAsia="zh-CN"/>
        </w:rPr>
        <w:t>10.6-10.7GHz</w:t>
      </w:r>
      <w:r w:rsidR="00711EE1">
        <w:rPr>
          <w:rFonts w:hint="eastAsia"/>
          <w:szCs w:val="24"/>
          <w:lang w:eastAsia="zh-CN"/>
        </w:rPr>
        <w:t>频段执行观测的</w:t>
      </w:r>
      <w:r w:rsidRPr="00F62E08">
        <w:rPr>
          <w:szCs w:val="24"/>
          <w:lang w:eastAsia="zh-CN"/>
        </w:rPr>
        <w:t>RAS</w:t>
      </w:r>
      <w:r>
        <w:rPr>
          <w:rFonts w:hint="eastAsia"/>
          <w:szCs w:val="24"/>
          <w:lang w:eastAsia="zh-CN"/>
        </w:rPr>
        <w:t>站点附近传输时</w:t>
      </w:r>
      <w:r w:rsidR="00711EE1">
        <w:rPr>
          <w:rFonts w:hint="eastAsia"/>
          <w:szCs w:val="24"/>
          <w:lang w:eastAsia="zh-CN"/>
        </w:rPr>
        <w:t>，避免</w:t>
      </w:r>
      <w:r w:rsidRPr="00F62E08">
        <w:rPr>
          <w:szCs w:val="24"/>
          <w:lang w:eastAsia="zh-CN"/>
        </w:rPr>
        <w:t xml:space="preserve">EESS </w:t>
      </w:r>
      <w:r>
        <w:rPr>
          <w:rFonts w:hint="eastAsia"/>
          <w:szCs w:val="24"/>
          <w:lang w:eastAsia="zh-CN"/>
        </w:rPr>
        <w:t>（有源）</w:t>
      </w:r>
      <w:r w:rsidR="00711EE1">
        <w:rPr>
          <w:szCs w:val="24"/>
          <w:lang w:eastAsia="zh-CN"/>
        </w:rPr>
        <w:t>SAR-4</w:t>
      </w:r>
      <w:r>
        <w:rPr>
          <w:rFonts w:hint="eastAsia"/>
          <w:szCs w:val="24"/>
          <w:lang w:eastAsia="zh-CN"/>
        </w:rPr>
        <w:t>系统</w:t>
      </w:r>
      <w:r w:rsidR="00711EE1">
        <w:rPr>
          <w:rFonts w:hint="eastAsia"/>
          <w:szCs w:val="24"/>
          <w:lang w:eastAsia="zh-CN"/>
        </w:rPr>
        <w:t>之间</w:t>
      </w:r>
      <w:r w:rsidR="00717B46">
        <w:rPr>
          <w:rFonts w:hint="eastAsia"/>
          <w:szCs w:val="24"/>
          <w:lang w:eastAsia="zh-CN"/>
        </w:rPr>
        <w:t>的主波束耦合的操作程序，从而避免对敏感的</w:t>
      </w:r>
      <w:r w:rsidR="00717B46">
        <w:rPr>
          <w:rFonts w:hint="eastAsia"/>
          <w:szCs w:val="24"/>
          <w:lang w:eastAsia="zh-CN"/>
        </w:rPr>
        <w:t>RAS</w:t>
      </w:r>
      <w:r w:rsidR="00717B46" w:rsidRPr="00717B46">
        <w:rPr>
          <w:rFonts w:hint="eastAsia"/>
          <w:szCs w:val="24"/>
          <w:lang w:eastAsia="zh-CN"/>
        </w:rPr>
        <w:t>低噪音放大器</w:t>
      </w:r>
      <w:r w:rsidR="00717B46">
        <w:rPr>
          <w:rFonts w:hint="eastAsia"/>
          <w:szCs w:val="24"/>
          <w:lang w:eastAsia="zh-CN"/>
        </w:rPr>
        <w:t>造成损害。</w:t>
      </w:r>
    </w:p>
    <w:p w:rsidR="000461C0" w:rsidRDefault="00ED70EE" w:rsidP="005C22C1">
      <w:pPr>
        <w:spacing w:line="240" w:lineRule="auto"/>
        <w:ind w:firstLineChars="200" w:firstLine="480"/>
        <w:rPr>
          <w:lang w:eastAsia="zh-CN"/>
        </w:rPr>
      </w:pPr>
      <w:r>
        <w:rPr>
          <w:rFonts w:hint="eastAsia"/>
          <w:szCs w:val="24"/>
          <w:lang w:eastAsia="zh-CN"/>
        </w:rPr>
        <w:t>诚邀主管部门核实本建议书附件</w:t>
      </w:r>
      <w:r>
        <w:rPr>
          <w:rFonts w:hint="eastAsia"/>
          <w:szCs w:val="24"/>
          <w:lang w:eastAsia="zh-CN"/>
        </w:rPr>
        <w:t>2</w:t>
      </w:r>
      <w:r>
        <w:rPr>
          <w:rFonts w:hint="eastAsia"/>
          <w:szCs w:val="24"/>
          <w:lang w:eastAsia="zh-CN"/>
        </w:rPr>
        <w:t>中列出的</w:t>
      </w:r>
      <w:r w:rsidRPr="00ED70EE">
        <w:rPr>
          <w:rFonts w:hint="eastAsia"/>
          <w:szCs w:val="24"/>
          <w:lang w:eastAsia="zh-CN"/>
        </w:rPr>
        <w:t>射电天文台</w:t>
      </w:r>
      <w:r>
        <w:rPr>
          <w:rFonts w:hint="eastAsia"/>
          <w:szCs w:val="24"/>
          <w:lang w:eastAsia="zh-CN"/>
        </w:rPr>
        <w:t>的坐标（第</w:t>
      </w:r>
      <w:r>
        <w:rPr>
          <w:szCs w:val="24"/>
          <w:lang w:eastAsia="zh-CN"/>
        </w:rPr>
        <w:t>7/101</w:t>
      </w:r>
      <w:r>
        <w:rPr>
          <w:rFonts w:hint="eastAsia"/>
          <w:szCs w:val="24"/>
          <w:lang w:eastAsia="zh-CN"/>
        </w:rPr>
        <w:t>（</w:t>
      </w:r>
      <w:r w:rsidRPr="00ED70EE">
        <w:rPr>
          <w:szCs w:val="24"/>
          <w:lang w:eastAsia="zh-CN"/>
        </w:rPr>
        <w:t>Rev.1</w:t>
      </w:r>
      <w:r>
        <w:rPr>
          <w:rFonts w:hint="eastAsia"/>
          <w:szCs w:val="24"/>
          <w:lang w:eastAsia="zh-CN"/>
        </w:rPr>
        <w:t>）号文件）。</w:t>
      </w:r>
      <w:bookmarkStart w:id="2" w:name="_GoBack"/>
      <w:bookmarkEnd w:id="2"/>
    </w:p>
    <w:p w:rsidR="003D65D8" w:rsidRDefault="003D65D8" w:rsidP="005C22C1">
      <w:pPr>
        <w:pStyle w:val="Reasons"/>
        <w:rPr>
          <w:lang w:eastAsia="zh-CN"/>
        </w:rPr>
      </w:pPr>
    </w:p>
    <w:p w:rsidR="000C18BB" w:rsidRDefault="000C18BB" w:rsidP="005C22C1">
      <w:pPr>
        <w:pStyle w:val="Reasons"/>
        <w:rPr>
          <w:lang w:eastAsia="zh-CN"/>
        </w:rPr>
      </w:pPr>
    </w:p>
    <w:p w:rsidR="00FA26AE" w:rsidRDefault="00FA26AE" w:rsidP="005C22C1">
      <w:pPr>
        <w:spacing w:line="240" w:lineRule="auto"/>
        <w:jc w:val="center"/>
      </w:pPr>
      <w:r>
        <w:t>______________</w:t>
      </w:r>
    </w:p>
    <w:sectPr w:rsidR="00FA26AE"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8C5FA6">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8C5FA6">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38B7A236" wp14:editId="77D6C33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6CF8"/>
    <w:rsid w:val="0003043E"/>
    <w:rsid w:val="00030BD7"/>
    <w:rsid w:val="00031E64"/>
    <w:rsid w:val="00034340"/>
    <w:rsid w:val="00045A8D"/>
    <w:rsid w:val="000461C0"/>
    <w:rsid w:val="0005167A"/>
    <w:rsid w:val="00054E5D"/>
    <w:rsid w:val="00070258"/>
    <w:rsid w:val="0007323C"/>
    <w:rsid w:val="00086D03"/>
    <w:rsid w:val="000A096A"/>
    <w:rsid w:val="000A375E"/>
    <w:rsid w:val="000A7051"/>
    <w:rsid w:val="000B0AF6"/>
    <w:rsid w:val="000B0E9B"/>
    <w:rsid w:val="000B2CAE"/>
    <w:rsid w:val="000C03C7"/>
    <w:rsid w:val="000C18BB"/>
    <w:rsid w:val="000C2AD0"/>
    <w:rsid w:val="000E3DEE"/>
    <w:rsid w:val="000F52D6"/>
    <w:rsid w:val="00100058"/>
    <w:rsid w:val="00100B72"/>
    <w:rsid w:val="00101F7D"/>
    <w:rsid w:val="00103C76"/>
    <w:rsid w:val="00104C35"/>
    <w:rsid w:val="00104CC1"/>
    <w:rsid w:val="00106511"/>
    <w:rsid w:val="0011265F"/>
    <w:rsid w:val="00117282"/>
    <w:rsid w:val="00117389"/>
    <w:rsid w:val="00121C2D"/>
    <w:rsid w:val="00134404"/>
    <w:rsid w:val="00144DFB"/>
    <w:rsid w:val="00146845"/>
    <w:rsid w:val="001743D1"/>
    <w:rsid w:val="00187CA3"/>
    <w:rsid w:val="00194297"/>
    <w:rsid w:val="00196710"/>
    <w:rsid w:val="00197324"/>
    <w:rsid w:val="001B351B"/>
    <w:rsid w:val="001C06DB"/>
    <w:rsid w:val="001C6971"/>
    <w:rsid w:val="001D2785"/>
    <w:rsid w:val="001D7070"/>
    <w:rsid w:val="001D769E"/>
    <w:rsid w:val="001F2170"/>
    <w:rsid w:val="001F3948"/>
    <w:rsid w:val="001F5A49"/>
    <w:rsid w:val="00201097"/>
    <w:rsid w:val="002018B7"/>
    <w:rsid w:val="00201B6E"/>
    <w:rsid w:val="002302B3"/>
    <w:rsid w:val="00230C66"/>
    <w:rsid w:val="00232529"/>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70B8"/>
    <w:rsid w:val="00345D38"/>
    <w:rsid w:val="00352097"/>
    <w:rsid w:val="003564B6"/>
    <w:rsid w:val="0035783F"/>
    <w:rsid w:val="003666FF"/>
    <w:rsid w:val="0037309C"/>
    <w:rsid w:val="00380A6E"/>
    <w:rsid w:val="003836D4"/>
    <w:rsid w:val="003A1F49"/>
    <w:rsid w:val="003A5D52"/>
    <w:rsid w:val="003B2BDA"/>
    <w:rsid w:val="003B55EC"/>
    <w:rsid w:val="003C2EA7"/>
    <w:rsid w:val="003C4471"/>
    <w:rsid w:val="003C7D41"/>
    <w:rsid w:val="003D4A69"/>
    <w:rsid w:val="003D65D8"/>
    <w:rsid w:val="003E504F"/>
    <w:rsid w:val="003E78D6"/>
    <w:rsid w:val="00400573"/>
    <w:rsid w:val="004007A3"/>
    <w:rsid w:val="00406D71"/>
    <w:rsid w:val="004125DC"/>
    <w:rsid w:val="004326DB"/>
    <w:rsid w:val="0043682E"/>
    <w:rsid w:val="004414D2"/>
    <w:rsid w:val="00447ECB"/>
    <w:rsid w:val="004623F7"/>
    <w:rsid w:val="00480F51"/>
    <w:rsid w:val="00481124"/>
    <w:rsid w:val="004815EB"/>
    <w:rsid w:val="00487569"/>
    <w:rsid w:val="00496864"/>
    <w:rsid w:val="00496920"/>
    <w:rsid w:val="004A4496"/>
    <w:rsid w:val="004A54C4"/>
    <w:rsid w:val="004B11AB"/>
    <w:rsid w:val="004B7C9A"/>
    <w:rsid w:val="004C0219"/>
    <w:rsid w:val="004C6779"/>
    <w:rsid w:val="004C6E10"/>
    <w:rsid w:val="004D733B"/>
    <w:rsid w:val="004E051F"/>
    <w:rsid w:val="004E0DC4"/>
    <w:rsid w:val="004E0FB5"/>
    <w:rsid w:val="004E43BB"/>
    <w:rsid w:val="004E460D"/>
    <w:rsid w:val="004F178E"/>
    <w:rsid w:val="004F4543"/>
    <w:rsid w:val="004F57BB"/>
    <w:rsid w:val="00505309"/>
    <w:rsid w:val="0050789B"/>
    <w:rsid w:val="005224A1"/>
    <w:rsid w:val="00534372"/>
    <w:rsid w:val="00542FDE"/>
    <w:rsid w:val="00543DF8"/>
    <w:rsid w:val="00546101"/>
    <w:rsid w:val="00546186"/>
    <w:rsid w:val="00553DD7"/>
    <w:rsid w:val="005638CF"/>
    <w:rsid w:val="0056741E"/>
    <w:rsid w:val="0057325A"/>
    <w:rsid w:val="0057469A"/>
    <w:rsid w:val="00580814"/>
    <w:rsid w:val="00583A0B"/>
    <w:rsid w:val="00595CEA"/>
    <w:rsid w:val="005A03A3"/>
    <w:rsid w:val="005A2B92"/>
    <w:rsid w:val="005A79E9"/>
    <w:rsid w:val="005B214C"/>
    <w:rsid w:val="005C22C1"/>
    <w:rsid w:val="005D3669"/>
    <w:rsid w:val="005E5EB3"/>
    <w:rsid w:val="005E6D6E"/>
    <w:rsid w:val="005F3CB6"/>
    <w:rsid w:val="005F657C"/>
    <w:rsid w:val="00602D53"/>
    <w:rsid w:val="006047E5"/>
    <w:rsid w:val="00635DDE"/>
    <w:rsid w:val="0064108D"/>
    <w:rsid w:val="0064371D"/>
    <w:rsid w:val="00650B2A"/>
    <w:rsid w:val="00651777"/>
    <w:rsid w:val="006550F8"/>
    <w:rsid w:val="00656226"/>
    <w:rsid w:val="006829F3"/>
    <w:rsid w:val="006A518B"/>
    <w:rsid w:val="006B0590"/>
    <w:rsid w:val="006B07BE"/>
    <w:rsid w:val="006B1B42"/>
    <w:rsid w:val="006B49DA"/>
    <w:rsid w:val="006C53F8"/>
    <w:rsid w:val="006C7CDE"/>
    <w:rsid w:val="006E1FC9"/>
    <w:rsid w:val="006E5B2C"/>
    <w:rsid w:val="00711EE1"/>
    <w:rsid w:val="00717B46"/>
    <w:rsid w:val="007234B1"/>
    <w:rsid w:val="00723D08"/>
    <w:rsid w:val="00725FDA"/>
    <w:rsid w:val="00727816"/>
    <w:rsid w:val="00730B9A"/>
    <w:rsid w:val="00750CFA"/>
    <w:rsid w:val="007553DA"/>
    <w:rsid w:val="00760428"/>
    <w:rsid w:val="00773138"/>
    <w:rsid w:val="00782354"/>
    <w:rsid w:val="007921A7"/>
    <w:rsid w:val="007B3DB1"/>
    <w:rsid w:val="007C4AB2"/>
    <w:rsid w:val="007C4D07"/>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C5FA6"/>
    <w:rsid w:val="008D5409"/>
    <w:rsid w:val="008E006D"/>
    <w:rsid w:val="008E38B4"/>
    <w:rsid w:val="008F4F21"/>
    <w:rsid w:val="00904D4A"/>
    <w:rsid w:val="009151BA"/>
    <w:rsid w:val="00925023"/>
    <w:rsid w:val="009277BC"/>
    <w:rsid w:val="00927D57"/>
    <w:rsid w:val="00931A51"/>
    <w:rsid w:val="00947185"/>
    <w:rsid w:val="009518B3"/>
    <w:rsid w:val="00963D9D"/>
    <w:rsid w:val="00976E3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9E5"/>
    <w:rsid w:val="00A20FBC"/>
    <w:rsid w:val="00A31370"/>
    <w:rsid w:val="00A34D6F"/>
    <w:rsid w:val="00A364FB"/>
    <w:rsid w:val="00A41F91"/>
    <w:rsid w:val="00A56187"/>
    <w:rsid w:val="00A63355"/>
    <w:rsid w:val="00A736DE"/>
    <w:rsid w:val="00A7596D"/>
    <w:rsid w:val="00A963DF"/>
    <w:rsid w:val="00AC0C22"/>
    <w:rsid w:val="00AC3896"/>
    <w:rsid w:val="00AD2CF2"/>
    <w:rsid w:val="00AE2D88"/>
    <w:rsid w:val="00AE6F6F"/>
    <w:rsid w:val="00AE750E"/>
    <w:rsid w:val="00AF3325"/>
    <w:rsid w:val="00AF34D9"/>
    <w:rsid w:val="00AF70DA"/>
    <w:rsid w:val="00B019D3"/>
    <w:rsid w:val="00B21B55"/>
    <w:rsid w:val="00B34CF9"/>
    <w:rsid w:val="00B37559"/>
    <w:rsid w:val="00B4054B"/>
    <w:rsid w:val="00B579B0"/>
    <w:rsid w:val="00B57D11"/>
    <w:rsid w:val="00B612C8"/>
    <w:rsid w:val="00B649D7"/>
    <w:rsid w:val="00B81C2F"/>
    <w:rsid w:val="00B90743"/>
    <w:rsid w:val="00B90C45"/>
    <w:rsid w:val="00B933BE"/>
    <w:rsid w:val="00BB3382"/>
    <w:rsid w:val="00BD6738"/>
    <w:rsid w:val="00BD7E5E"/>
    <w:rsid w:val="00BE63DB"/>
    <w:rsid w:val="00BE6574"/>
    <w:rsid w:val="00C07319"/>
    <w:rsid w:val="00C10444"/>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264C"/>
    <w:rsid w:val="00D47672"/>
    <w:rsid w:val="00D5123C"/>
    <w:rsid w:val="00D55560"/>
    <w:rsid w:val="00D61C5A"/>
    <w:rsid w:val="00D6790C"/>
    <w:rsid w:val="00D73277"/>
    <w:rsid w:val="00D76586"/>
    <w:rsid w:val="00D82657"/>
    <w:rsid w:val="00D87E20"/>
    <w:rsid w:val="00DA4037"/>
    <w:rsid w:val="00DC70B9"/>
    <w:rsid w:val="00DE66A5"/>
    <w:rsid w:val="00DF170E"/>
    <w:rsid w:val="00DF2B50"/>
    <w:rsid w:val="00E002EC"/>
    <w:rsid w:val="00E04C86"/>
    <w:rsid w:val="00E12D42"/>
    <w:rsid w:val="00E17344"/>
    <w:rsid w:val="00E20F30"/>
    <w:rsid w:val="00E2189C"/>
    <w:rsid w:val="00E25BB1"/>
    <w:rsid w:val="00E27BBA"/>
    <w:rsid w:val="00E30E3F"/>
    <w:rsid w:val="00E35E8F"/>
    <w:rsid w:val="00E428AB"/>
    <w:rsid w:val="00E438E8"/>
    <w:rsid w:val="00E453A3"/>
    <w:rsid w:val="00E51022"/>
    <w:rsid w:val="00E520E2"/>
    <w:rsid w:val="00E530C4"/>
    <w:rsid w:val="00E55996"/>
    <w:rsid w:val="00E64254"/>
    <w:rsid w:val="00E67928"/>
    <w:rsid w:val="00E70FB5"/>
    <w:rsid w:val="00E915AF"/>
    <w:rsid w:val="00E96415"/>
    <w:rsid w:val="00EA15B3"/>
    <w:rsid w:val="00EB2358"/>
    <w:rsid w:val="00EB3EB8"/>
    <w:rsid w:val="00EC02FE"/>
    <w:rsid w:val="00EC2CC4"/>
    <w:rsid w:val="00EC4A96"/>
    <w:rsid w:val="00ED6C1C"/>
    <w:rsid w:val="00ED70EE"/>
    <w:rsid w:val="00EE1DC4"/>
    <w:rsid w:val="00F035B1"/>
    <w:rsid w:val="00F03C8C"/>
    <w:rsid w:val="00F27415"/>
    <w:rsid w:val="00F424BF"/>
    <w:rsid w:val="00F44FC3"/>
    <w:rsid w:val="00F46107"/>
    <w:rsid w:val="00F468C5"/>
    <w:rsid w:val="00F52F39"/>
    <w:rsid w:val="00F6184F"/>
    <w:rsid w:val="00F62E08"/>
    <w:rsid w:val="00F8310E"/>
    <w:rsid w:val="00F914DD"/>
    <w:rsid w:val="00FA2358"/>
    <w:rsid w:val="00FA26AE"/>
    <w:rsid w:val="00FB1985"/>
    <w:rsid w:val="00FB2592"/>
    <w:rsid w:val="00FB2810"/>
    <w:rsid w:val="00FB7A2C"/>
    <w:rsid w:val="00FC2947"/>
    <w:rsid w:val="00FC74CF"/>
    <w:rsid w:val="00FD4CF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25D059CF-EB85-48E0-8FC4-12388EB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uiPriority w:val="99"/>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542FDE"/>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0"/>
    <w:locked/>
    <w:rsid w:val="00542FDE"/>
    <w:rPr>
      <w:rFonts w:ascii="Times New Roman" w:hAnsi="Times New Roman" w:cs="Times New Roman"/>
      <w:sz w:val="24"/>
      <w:lang w:val="en-GB" w:eastAsia="en-US"/>
    </w:rPr>
  </w:style>
  <w:style w:type="paragraph" w:styleId="ListParagraph">
    <w:name w:val="List Paragraph"/>
    <w:basedOn w:val="Normal"/>
    <w:uiPriority w:val="34"/>
    <w:qFormat/>
    <w:rsid w:val="00EE1DC4"/>
    <w:pPr>
      <w:ind w:left="720"/>
      <w:contextualSpacing/>
    </w:pPr>
  </w:style>
  <w:style w:type="paragraph" w:customStyle="1" w:styleId="Reasons">
    <w:name w:val="Reasons"/>
    <w:basedOn w:val="Normal"/>
    <w:qFormat/>
    <w:rsid w:val="00FA26A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7-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3D58-6DF4-412D-B2F4-1B23E351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0</TotalTime>
  <Pages>3</Pages>
  <Words>1117</Words>
  <Characters>714</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3</cp:revision>
  <cp:lastPrinted>2014-10-21T07:36:00Z</cp:lastPrinted>
  <dcterms:created xsi:type="dcterms:W3CDTF">2014-10-21T07:36:00Z</dcterms:created>
  <dcterms:modified xsi:type="dcterms:W3CDTF">2014-10-21T07:36:00Z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