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384"/>
        <w:gridCol w:w="142"/>
        <w:gridCol w:w="3543"/>
        <w:gridCol w:w="284"/>
        <w:gridCol w:w="4536"/>
      </w:tblGrid>
      <w:tr w:rsidR="00EA15B3" w:rsidRPr="00F42C8C" w:rsidTr="00EA15B3">
        <w:tc>
          <w:tcPr>
            <w:tcW w:w="9889" w:type="dxa"/>
            <w:gridSpan w:val="5"/>
          </w:tcPr>
          <w:p w:rsidR="00EA15B3" w:rsidRPr="00D2339B" w:rsidRDefault="00C764BA" w:rsidP="00F914DD">
            <w:pPr>
              <w:jc w:val="left"/>
              <w:rPr>
                <w:rFonts w:cs="Times New Roman Bold"/>
                <w:b/>
                <w:bCs/>
                <w:color w:val="808080"/>
                <w:sz w:val="28"/>
                <w:szCs w:val="28"/>
              </w:rPr>
            </w:pPr>
            <w:bookmarkStart w:id="0" w:name="Logo"/>
            <w:bookmarkStart w:id="1" w:name="Origine"/>
            <w:bookmarkEnd w:id="0"/>
            <w:bookmarkEnd w:id="1"/>
            <w:r w:rsidRPr="0054055F">
              <w:rPr>
                <w:rFonts w:cstheme="minorHAnsi"/>
                <w:b/>
                <w:bCs/>
                <w:color w:val="808080"/>
                <w:sz w:val="28"/>
                <w:szCs w:val="28"/>
              </w:rPr>
              <w:t>Oficina de Radiocomunicaciones (BR)</w:t>
            </w:r>
          </w:p>
        </w:tc>
      </w:tr>
      <w:tr w:rsidR="00EA15B3" w:rsidRPr="00F42C8C" w:rsidTr="00EA15B3">
        <w:tc>
          <w:tcPr>
            <w:tcW w:w="9889" w:type="dxa"/>
            <w:gridSpan w:val="5"/>
          </w:tcPr>
          <w:p w:rsidR="00EA15B3" w:rsidRPr="00F42C8C" w:rsidRDefault="00EA15B3" w:rsidP="00EA15B3">
            <w:pPr>
              <w:jc w:val="left"/>
            </w:pPr>
          </w:p>
        </w:tc>
      </w:tr>
      <w:tr w:rsidR="00651777" w:rsidRPr="00C25420" w:rsidTr="00651777">
        <w:tc>
          <w:tcPr>
            <w:tcW w:w="5353" w:type="dxa"/>
            <w:gridSpan w:val="4"/>
          </w:tcPr>
          <w:p w:rsidR="00651777" w:rsidRPr="00C25420" w:rsidRDefault="00CD0E47" w:rsidP="00F533DA">
            <w:pPr>
              <w:tabs>
                <w:tab w:val="left" w:pos="7513"/>
              </w:tabs>
              <w:jc w:val="left"/>
              <w:rPr>
                <w:sz w:val="24"/>
                <w:szCs w:val="24"/>
              </w:rPr>
            </w:pPr>
            <w:r w:rsidRPr="00C25420">
              <w:rPr>
                <w:sz w:val="24"/>
                <w:szCs w:val="24"/>
              </w:rPr>
              <w:t>Circular Administrativa</w:t>
            </w:r>
            <w:r w:rsidRPr="00C25420">
              <w:rPr>
                <w:sz w:val="24"/>
                <w:szCs w:val="24"/>
              </w:rPr>
              <w:br/>
            </w:r>
            <w:bookmarkStart w:id="2" w:name="dnum"/>
            <w:bookmarkEnd w:id="2"/>
            <w:r w:rsidRPr="00C25420">
              <w:rPr>
                <w:b/>
                <w:bCs/>
                <w:sz w:val="24"/>
                <w:szCs w:val="24"/>
              </w:rPr>
              <w:t>CACE/</w:t>
            </w:r>
            <w:r w:rsidR="00F533DA">
              <w:rPr>
                <w:b/>
                <w:bCs/>
                <w:sz w:val="24"/>
                <w:szCs w:val="24"/>
              </w:rPr>
              <w:t>690</w:t>
            </w:r>
          </w:p>
        </w:tc>
        <w:tc>
          <w:tcPr>
            <w:tcW w:w="4536" w:type="dxa"/>
          </w:tcPr>
          <w:p w:rsidR="00651777" w:rsidRPr="00C25420" w:rsidRDefault="00F533DA" w:rsidP="00981517">
            <w:pPr>
              <w:jc w:val="right"/>
              <w:rPr>
                <w:sz w:val="24"/>
                <w:szCs w:val="24"/>
              </w:rPr>
            </w:pPr>
            <w:r>
              <w:rPr>
                <w:sz w:val="24"/>
                <w:szCs w:val="24"/>
              </w:rPr>
              <w:t xml:space="preserve">3 de </w:t>
            </w:r>
            <w:r w:rsidR="00981517">
              <w:rPr>
                <w:sz w:val="24"/>
                <w:szCs w:val="24"/>
              </w:rPr>
              <w:t>octu</w:t>
            </w:r>
            <w:bookmarkStart w:id="3" w:name="_GoBack"/>
            <w:bookmarkEnd w:id="3"/>
            <w:r w:rsidR="00981517">
              <w:rPr>
                <w:sz w:val="24"/>
                <w:szCs w:val="24"/>
              </w:rPr>
              <w:t>bre</w:t>
            </w:r>
            <w:r>
              <w:rPr>
                <w:sz w:val="24"/>
                <w:szCs w:val="24"/>
              </w:rPr>
              <w:t xml:space="preserve"> de 2014</w:t>
            </w:r>
          </w:p>
        </w:tc>
      </w:tr>
      <w:tr w:rsidR="00D2339B" w:rsidRPr="00C25420" w:rsidTr="00D2339B">
        <w:tc>
          <w:tcPr>
            <w:tcW w:w="1384" w:type="dxa"/>
          </w:tcPr>
          <w:p w:rsidR="00D2339B" w:rsidRPr="00C25420" w:rsidRDefault="00D2339B" w:rsidP="00651777">
            <w:pPr>
              <w:spacing w:before="0"/>
              <w:jc w:val="left"/>
              <w:rPr>
                <w:sz w:val="24"/>
                <w:szCs w:val="24"/>
              </w:rPr>
            </w:pPr>
          </w:p>
        </w:tc>
        <w:tc>
          <w:tcPr>
            <w:tcW w:w="3685" w:type="dxa"/>
            <w:gridSpan w:val="2"/>
          </w:tcPr>
          <w:p w:rsidR="00D2339B" w:rsidRPr="00C25420" w:rsidRDefault="00D2339B" w:rsidP="00651777">
            <w:pPr>
              <w:spacing w:before="0"/>
              <w:jc w:val="left"/>
              <w:rPr>
                <w:sz w:val="24"/>
                <w:szCs w:val="24"/>
              </w:rPr>
            </w:pPr>
          </w:p>
        </w:tc>
        <w:tc>
          <w:tcPr>
            <w:tcW w:w="284" w:type="dxa"/>
          </w:tcPr>
          <w:p w:rsidR="00D2339B" w:rsidRPr="00C25420" w:rsidRDefault="00D2339B" w:rsidP="00651777">
            <w:pPr>
              <w:spacing w:before="0"/>
              <w:rPr>
                <w:sz w:val="24"/>
                <w:szCs w:val="24"/>
              </w:rPr>
            </w:pPr>
          </w:p>
        </w:tc>
        <w:tc>
          <w:tcPr>
            <w:tcW w:w="4536" w:type="dxa"/>
          </w:tcPr>
          <w:p w:rsidR="00D2339B" w:rsidRPr="00C25420" w:rsidRDefault="00D2339B" w:rsidP="00651777">
            <w:pPr>
              <w:spacing w:before="0"/>
              <w:rPr>
                <w:sz w:val="24"/>
                <w:szCs w:val="24"/>
              </w:rPr>
            </w:pPr>
          </w:p>
        </w:tc>
      </w:tr>
      <w:tr w:rsidR="00D2339B" w:rsidRPr="00C25420" w:rsidTr="00EA15B3">
        <w:tc>
          <w:tcPr>
            <w:tcW w:w="9889" w:type="dxa"/>
            <w:gridSpan w:val="5"/>
          </w:tcPr>
          <w:p w:rsidR="00D2339B" w:rsidRPr="00C25420" w:rsidRDefault="00CD0E47" w:rsidP="00F533DA">
            <w:pPr>
              <w:jc w:val="left"/>
              <w:rPr>
                <w:b/>
                <w:sz w:val="24"/>
                <w:szCs w:val="24"/>
              </w:rPr>
            </w:pPr>
            <w:r w:rsidRPr="00C25420">
              <w:rPr>
                <w:b/>
                <w:sz w:val="24"/>
                <w:szCs w:val="24"/>
              </w:rPr>
              <w:t>A las Administraciones de los Estados Miembros de la UIT, a los Miembros</w:t>
            </w:r>
            <w:r w:rsidR="00246864">
              <w:rPr>
                <w:b/>
                <w:sz w:val="24"/>
                <w:szCs w:val="24"/>
              </w:rPr>
              <w:t xml:space="preserve"> </w:t>
            </w:r>
            <w:r w:rsidRPr="00C25420">
              <w:rPr>
                <w:b/>
                <w:sz w:val="24"/>
                <w:szCs w:val="24"/>
              </w:rPr>
              <w:t>del Sector de Radiocomunicaciones y a los Asociados del UIT-R que participan</w:t>
            </w:r>
            <w:r w:rsidR="00246864">
              <w:rPr>
                <w:b/>
                <w:sz w:val="24"/>
                <w:szCs w:val="24"/>
              </w:rPr>
              <w:t xml:space="preserve"> </w:t>
            </w:r>
            <w:r w:rsidRPr="00C25420">
              <w:rPr>
                <w:b/>
                <w:sz w:val="24"/>
                <w:szCs w:val="24"/>
              </w:rPr>
              <w:t xml:space="preserve">en los trabajos de la </w:t>
            </w:r>
            <w:r w:rsidR="00246864">
              <w:rPr>
                <w:b/>
                <w:sz w:val="24"/>
                <w:szCs w:val="24"/>
              </w:rPr>
              <w:br/>
            </w:r>
            <w:r w:rsidRPr="00C25420">
              <w:rPr>
                <w:b/>
                <w:sz w:val="24"/>
                <w:szCs w:val="24"/>
              </w:rPr>
              <w:t xml:space="preserve">Comisión de Estudio </w:t>
            </w:r>
            <w:r w:rsidR="00F533DA">
              <w:rPr>
                <w:b/>
                <w:sz w:val="24"/>
                <w:szCs w:val="24"/>
              </w:rPr>
              <w:t>4</w:t>
            </w:r>
            <w:r w:rsidRPr="00C25420">
              <w:rPr>
                <w:b/>
                <w:sz w:val="24"/>
                <w:szCs w:val="24"/>
              </w:rPr>
              <w:t xml:space="preserve"> de </w:t>
            </w:r>
            <w:r w:rsidR="006C04E0" w:rsidRPr="00C25420">
              <w:rPr>
                <w:b/>
                <w:sz w:val="24"/>
                <w:szCs w:val="24"/>
              </w:rPr>
              <w:t>Radiocomunicaciones</w:t>
            </w:r>
          </w:p>
          <w:p w:rsidR="00CD0E47" w:rsidRPr="00C25420" w:rsidRDefault="00CD0E47" w:rsidP="00CD0E47">
            <w:pPr>
              <w:jc w:val="left"/>
              <w:rPr>
                <w:sz w:val="24"/>
                <w:szCs w:val="24"/>
              </w:rPr>
            </w:pPr>
          </w:p>
        </w:tc>
      </w:tr>
      <w:tr w:rsidR="00CD0E47" w:rsidRPr="00C25420" w:rsidTr="00471EDA">
        <w:tc>
          <w:tcPr>
            <w:tcW w:w="1526" w:type="dxa"/>
            <w:gridSpan w:val="2"/>
            <w:shd w:val="clear" w:color="auto" w:fill="auto"/>
          </w:tcPr>
          <w:p w:rsidR="00CD0E47" w:rsidRPr="00246864" w:rsidRDefault="00CD0E47" w:rsidP="006C04E0">
            <w:pPr>
              <w:spacing w:before="0"/>
              <w:jc w:val="left"/>
              <w:rPr>
                <w:sz w:val="24"/>
                <w:szCs w:val="24"/>
              </w:rPr>
            </w:pPr>
            <w:bookmarkStart w:id="4" w:name="Formula"/>
            <w:bookmarkStart w:id="5" w:name="MainStory"/>
            <w:bookmarkStart w:id="6" w:name="CurrentLocation"/>
            <w:bookmarkEnd w:id="4"/>
            <w:bookmarkEnd w:id="5"/>
            <w:bookmarkEnd w:id="6"/>
            <w:r w:rsidRPr="00246864">
              <w:rPr>
                <w:sz w:val="24"/>
                <w:szCs w:val="24"/>
              </w:rPr>
              <w:t>Objeto</w:t>
            </w:r>
            <w:r w:rsidR="006C04E0" w:rsidRPr="00246864">
              <w:rPr>
                <w:sz w:val="24"/>
                <w:szCs w:val="24"/>
              </w:rPr>
              <w:t>:</w:t>
            </w:r>
          </w:p>
        </w:tc>
        <w:tc>
          <w:tcPr>
            <w:tcW w:w="8363" w:type="dxa"/>
            <w:gridSpan w:val="3"/>
            <w:vMerge w:val="restart"/>
            <w:shd w:val="clear" w:color="auto" w:fill="auto"/>
          </w:tcPr>
          <w:p w:rsidR="00CD0E47" w:rsidRPr="00C25420" w:rsidRDefault="002650A3" w:rsidP="00CD0E47">
            <w:pPr>
              <w:tabs>
                <w:tab w:val="clear" w:pos="794"/>
                <w:tab w:val="clear" w:pos="1191"/>
                <w:tab w:val="clear" w:pos="1588"/>
                <w:tab w:val="clear" w:pos="1985"/>
                <w:tab w:val="left" w:pos="459"/>
                <w:tab w:val="left" w:pos="1276"/>
              </w:tabs>
              <w:spacing w:before="0" w:after="120"/>
              <w:ind w:left="459" w:hanging="459"/>
              <w:jc w:val="left"/>
              <w:rPr>
                <w:b/>
                <w:bCs/>
                <w:sz w:val="24"/>
                <w:szCs w:val="24"/>
              </w:rPr>
            </w:pPr>
            <w:r>
              <w:rPr>
                <w:b/>
                <w:bCs/>
                <w:sz w:val="24"/>
                <w:szCs w:val="24"/>
              </w:rPr>
              <w:t>Comisión de Estudio 4</w:t>
            </w:r>
            <w:r w:rsidR="00CD0E47" w:rsidRPr="00C25420">
              <w:rPr>
                <w:b/>
                <w:bCs/>
                <w:sz w:val="24"/>
                <w:szCs w:val="24"/>
              </w:rPr>
              <w:t xml:space="preserve"> de Radiocomunicaciones </w:t>
            </w:r>
            <w:r w:rsidR="00F533DA" w:rsidRPr="003E69AA">
              <w:rPr>
                <w:b/>
                <w:bCs/>
                <w:sz w:val="24"/>
                <w:szCs w:val="24"/>
              </w:rPr>
              <w:t>(</w:t>
            </w:r>
            <w:r w:rsidR="00F533DA" w:rsidRPr="003E69AA">
              <w:rPr>
                <w:rFonts w:cs="Segoe UI"/>
                <w:b/>
                <w:bCs/>
                <w:sz w:val="24"/>
                <w:szCs w:val="24"/>
                <w:lang w:val="es-ES"/>
              </w:rPr>
              <w:t>Servicios por satélite)</w:t>
            </w:r>
          </w:p>
          <w:p w:rsidR="00CD0E47" w:rsidRPr="00C25420" w:rsidRDefault="00CD0E47" w:rsidP="00F533DA">
            <w:pPr>
              <w:tabs>
                <w:tab w:val="clear" w:pos="794"/>
                <w:tab w:val="clear" w:pos="1191"/>
                <w:tab w:val="clear" w:pos="1588"/>
                <w:tab w:val="clear" w:pos="1985"/>
                <w:tab w:val="left" w:pos="459"/>
                <w:tab w:val="left" w:pos="1276"/>
              </w:tabs>
              <w:spacing w:before="0" w:after="120"/>
              <w:ind w:left="459" w:hanging="459"/>
              <w:jc w:val="left"/>
              <w:rPr>
                <w:b/>
                <w:bCs/>
                <w:sz w:val="24"/>
                <w:szCs w:val="24"/>
              </w:rPr>
            </w:pPr>
            <w:r w:rsidRPr="00C25420">
              <w:rPr>
                <w:sz w:val="24"/>
                <w:szCs w:val="24"/>
              </w:rPr>
              <w:t>–</w:t>
            </w:r>
            <w:r w:rsidR="00F533DA">
              <w:rPr>
                <w:b/>
                <w:bCs/>
                <w:sz w:val="24"/>
                <w:szCs w:val="24"/>
              </w:rPr>
              <w:tab/>
              <w:t>Adopción de 1</w:t>
            </w:r>
            <w:r w:rsidRPr="00C25420">
              <w:rPr>
                <w:b/>
                <w:bCs/>
                <w:sz w:val="24"/>
                <w:szCs w:val="24"/>
              </w:rPr>
              <w:t xml:space="preserve"> </w:t>
            </w:r>
            <w:r w:rsidR="00F533DA">
              <w:rPr>
                <w:b/>
                <w:sz w:val="24"/>
                <w:szCs w:val="24"/>
              </w:rPr>
              <w:t xml:space="preserve">nueva Cuestión </w:t>
            </w:r>
            <w:r w:rsidR="006F4BE3">
              <w:rPr>
                <w:b/>
                <w:sz w:val="24"/>
                <w:szCs w:val="24"/>
              </w:rPr>
              <w:t xml:space="preserve">UIT-R </w:t>
            </w:r>
            <w:r w:rsidR="00F533DA">
              <w:rPr>
                <w:b/>
                <w:sz w:val="24"/>
                <w:szCs w:val="24"/>
              </w:rPr>
              <w:t>y</w:t>
            </w:r>
            <w:r w:rsidRPr="00C25420">
              <w:rPr>
                <w:b/>
                <w:bCs/>
                <w:sz w:val="24"/>
                <w:szCs w:val="24"/>
              </w:rPr>
              <w:t xml:space="preserve"> su aprobación simultánea por correspondencia de conformidad con el § 10.3 de la Resolución UIT-R 1-6 (Procedimiento de adopción y aprobación simultáneas por correspondencia)</w:t>
            </w:r>
          </w:p>
        </w:tc>
      </w:tr>
      <w:tr w:rsidR="00CD0E47" w:rsidRPr="00C25420" w:rsidTr="00471EDA">
        <w:tc>
          <w:tcPr>
            <w:tcW w:w="1526" w:type="dxa"/>
            <w:gridSpan w:val="2"/>
            <w:shd w:val="clear" w:color="auto" w:fill="auto"/>
          </w:tcPr>
          <w:p w:rsidR="00CD0E47" w:rsidRPr="00C25420" w:rsidRDefault="00CD0E47" w:rsidP="00CD0E47">
            <w:pPr>
              <w:spacing w:before="0"/>
              <w:jc w:val="left"/>
              <w:rPr>
                <w:b/>
                <w:bCs/>
                <w:sz w:val="24"/>
                <w:szCs w:val="24"/>
              </w:rPr>
            </w:pPr>
          </w:p>
        </w:tc>
        <w:tc>
          <w:tcPr>
            <w:tcW w:w="8363" w:type="dxa"/>
            <w:gridSpan w:val="3"/>
            <w:vMerge/>
            <w:shd w:val="clear" w:color="auto" w:fill="auto"/>
          </w:tcPr>
          <w:p w:rsidR="00CD0E47" w:rsidRPr="00C25420" w:rsidRDefault="00CD0E47" w:rsidP="00CD0E47">
            <w:pPr>
              <w:spacing w:before="0"/>
              <w:rPr>
                <w:b/>
                <w:bCs/>
                <w:sz w:val="24"/>
                <w:szCs w:val="24"/>
              </w:rPr>
            </w:pPr>
          </w:p>
        </w:tc>
      </w:tr>
      <w:tr w:rsidR="00CD0E47" w:rsidRPr="00C25420" w:rsidTr="00471EDA">
        <w:tc>
          <w:tcPr>
            <w:tcW w:w="1526" w:type="dxa"/>
            <w:gridSpan w:val="2"/>
            <w:shd w:val="clear" w:color="auto" w:fill="auto"/>
          </w:tcPr>
          <w:p w:rsidR="00CD0E47" w:rsidRPr="00C25420" w:rsidRDefault="00CD0E47" w:rsidP="00CD0E47">
            <w:pPr>
              <w:spacing w:before="0"/>
              <w:jc w:val="left"/>
              <w:rPr>
                <w:b/>
                <w:bCs/>
                <w:sz w:val="24"/>
                <w:szCs w:val="24"/>
              </w:rPr>
            </w:pPr>
          </w:p>
        </w:tc>
        <w:tc>
          <w:tcPr>
            <w:tcW w:w="8363" w:type="dxa"/>
            <w:gridSpan w:val="3"/>
            <w:vMerge/>
            <w:shd w:val="clear" w:color="auto" w:fill="auto"/>
          </w:tcPr>
          <w:p w:rsidR="00CD0E47" w:rsidRPr="00C25420" w:rsidRDefault="00CD0E47" w:rsidP="00CD0E47">
            <w:pPr>
              <w:spacing w:before="0"/>
              <w:rPr>
                <w:b/>
                <w:bCs/>
                <w:sz w:val="24"/>
                <w:szCs w:val="24"/>
              </w:rPr>
            </w:pPr>
          </w:p>
        </w:tc>
      </w:tr>
    </w:tbl>
    <w:p w:rsidR="00CD0E47" w:rsidRPr="00C25420" w:rsidRDefault="00CD0E47" w:rsidP="00CA1D94">
      <w:pPr>
        <w:pStyle w:val="Normalaftertitle"/>
        <w:jc w:val="left"/>
        <w:rPr>
          <w:sz w:val="24"/>
          <w:szCs w:val="24"/>
        </w:rPr>
      </w:pPr>
      <w:r w:rsidRPr="00C25420">
        <w:rPr>
          <w:sz w:val="24"/>
          <w:szCs w:val="24"/>
        </w:rPr>
        <w:t xml:space="preserve">Mediante la Circular </w:t>
      </w:r>
      <w:r w:rsidR="00F533DA">
        <w:rPr>
          <w:sz w:val="24"/>
          <w:szCs w:val="24"/>
        </w:rPr>
        <w:t>Administrativa CACE/683</w:t>
      </w:r>
      <w:r w:rsidRPr="00C25420">
        <w:rPr>
          <w:sz w:val="24"/>
          <w:szCs w:val="24"/>
        </w:rPr>
        <w:t xml:space="preserve"> de </w:t>
      </w:r>
      <w:r w:rsidR="00CA1D94">
        <w:rPr>
          <w:sz w:val="24"/>
          <w:szCs w:val="24"/>
        </w:rPr>
        <w:t>25 de julio de 2014</w:t>
      </w:r>
      <w:r w:rsidRPr="00C25420">
        <w:rPr>
          <w:sz w:val="24"/>
          <w:szCs w:val="24"/>
        </w:rPr>
        <w:t>, se presentaron para adopción y aprobación simultáneas por correspondencia (PAAS), con arreglo al procedimiento de la Resolución</w:t>
      </w:r>
      <w:r w:rsidR="002E1472" w:rsidRPr="00C25420">
        <w:rPr>
          <w:sz w:val="24"/>
          <w:szCs w:val="24"/>
        </w:rPr>
        <w:t> </w:t>
      </w:r>
      <w:r w:rsidRPr="00C25420">
        <w:rPr>
          <w:sz w:val="24"/>
          <w:szCs w:val="24"/>
        </w:rPr>
        <w:t>UIT</w:t>
      </w:r>
      <w:r w:rsidR="00251766" w:rsidRPr="00C25420">
        <w:rPr>
          <w:sz w:val="24"/>
          <w:szCs w:val="24"/>
        </w:rPr>
        <w:noBreakHyphen/>
      </w:r>
      <w:r w:rsidRPr="00C25420">
        <w:rPr>
          <w:sz w:val="24"/>
          <w:szCs w:val="24"/>
        </w:rPr>
        <w:t>R 1</w:t>
      </w:r>
      <w:r w:rsidR="00251766" w:rsidRPr="00C25420">
        <w:rPr>
          <w:sz w:val="24"/>
          <w:szCs w:val="24"/>
        </w:rPr>
        <w:noBreakHyphen/>
      </w:r>
      <w:r w:rsidR="00CA1D94">
        <w:rPr>
          <w:sz w:val="24"/>
          <w:szCs w:val="24"/>
        </w:rPr>
        <w:t>6 (§ 10.3), 1 proyecto</w:t>
      </w:r>
      <w:r w:rsidRPr="00C25420">
        <w:rPr>
          <w:sz w:val="24"/>
          <w:szCs w:val="24"/>
        </w:rPr>
        <w:t xml:space="preserve"> de nueva</w:t>
      </w:r>
      <w:r w:rsidRPr="00CA1D94">
        <w:rPr>
          <w:bCs/>
          <w:sz w:val="24"/>
          <w:szCs w:val="24"/>
        </w:rPr>
        <w:t xml:space="preserve"> </w:t>
      </w:r>
      <w:r w:rsidR="00CA1D94" w:rsidRPr="00CA1D94">
        <w:rPr>
          <w:bCs/>
          <w:sz w:val="24"/>
          <w:szCs w:val="24"/>
        </w:rPr>
        <w:t>Cuestión</w:t>
      </w:r>
      <w:r w:rsidRPr="00C25420">
        <w:rPr>
          <w:sz w:val="24"/>
          <w:szCs w:val="24"/>
        </w:rPr>
        <w:t xml:space="preserve"> </w:t>
      </w:r>
      <w:r w:rsidR="00DF0A6C">
        <w:rPr>
          <w:sz w:val="24"/>
          <w:szCs w:val="24"/>
        </w:rPr>
        <w:t>UIT-R</w:t>
      </w:r>
      <w:r w:rsidRPr="00C25420">
        <w:rPr>
          <w:sz w:val="24"/>
          <w:szCs w:val="24"/>
        </w:rPr>
        <w:t>.</w:t>
      </w:r>
    </w:p>
    <w:p w:rsidR="00CD0E47" w:rsidRPr="00C25420" w:rsidRDefault="00CD0E47" w:rsidP="00CA1D94">
      <w:pPr>
        <w:jc w:val="left"/>
        <w:rPr>
          <w:sz w:val="24"/>
          <w:szCs w:val="24"/>
        </w:rPr>
      </w:pPr>
      <w:r w:rsidRPr="00C25420">
        <w:rPr>
          <w:sz w:val="24"/>
          <w:szCs w:val="24"/>
        </w:rPr>
        <w:t xml:space="preserve">Las condiciones que determinan este procedimiento se cumplieron el </w:t>
      </w:r>
      <w:r w:rsidR="00CA1D94">
        <w:rPr>
          <w:sz w:val="24"/>
          <w:szCs w:val="24"/>
        </w:rPr>
        <w:t>25 de septiembre de 2014</w:t>
      </w:r>
      <w:r w:rsidRPr="00C25420">
        <w:rPr>
          <w:sz w:val="24"/>
          <w:szCs w:val="24"/>
        </w:rPr>
        <w:t>.</w:t>
      </w:r>
    </w:p>
    <w:p w:rsidR="00CA1D94" w:rsidRPr="003B79D2" w:rsidRDefault="00CA1D94" w:rsidP="00CA1D94">
      <w:pPr>
        <w:jc w:val="left"/>
        <w:rPr>
          <w:sz w:val="24"/>
          <w:szCs w:val="24"/>
          <w:lang w:val="es-ES"/>
        </w:rPr>
      </w:pPr>
      <w:r w:rsidRPr="003B79D2">
        <w:rPr>
          <w:sz w:val="24"/>
          <w:szCs w:val="24"/>
        </w:rPr>
        <w:t xml:space="preserve">Como referencia, se adjunta como Anexo a la presente </w:t>
      </w:r>
      <w:r>
        <w:rPr>
          <w:sz w:val="24"/>
          <w:szCs w:val="24"/>
        </w:rPr>
        <w:t>el</w:t>
      </w:r>
      <w:r w:rsidRPr="003B79D2">
        <w:rPr>
          <w:sz w:val="24"/>
          <w:szCs w:val="24"/>
        </w:rPr>
        <w:t xml:space="preserve"> texto de la</w:t>
      </w:r>
      <w:r>
        <w:rPr>
          <w:sz w:val="24"/>
          <w:szCs w:val="24"/>
        </w:rPr>
        <w:t xml:space="preserve"> Cuestión</w:t>
      </w:r>
      <w:r w:rsidRPr="003B79D2">
        <w:rPr>
          <w:sz w:val="24"/>
          <w:szCs w:val="24"/>
        </w:rPr>
        <w:t xml:space="preserve"> aprobada que se publicará en la</w:t>
      </w:r>
      <w:r>
        <w:rPr>
          <w:sz w:val="24"/>
          <w:szCs w:val="24"/>
        </w:rPr>
        <w:t xml:space="preserve"> Revisión</w:t>
      </w:r>
      <w:r w:rsidRPr="003B79D2">
        <w:rPr>
          <w:sz w:val="24"/>
          <w:szCs w:val="24"/>
        </w:rPr>
        <w:t xml:space="preserve"> </w:t>
      </w:r>
      <w:r>
        <w:rPr>
          <w:sz w:val="24"/>
          <w:szCs w:val="24"/>
        </w:rPr>
        <w:t>2</w:t>
      </w:r>
      <w:r w:rsidRPr="003B79D2">
        <w:rPr>
          <w:sz w:val="24"/>
          <w:szCs w:val="24"/>
        </w:rPr>
        <w:t xml:space="preserve"> al</w:t>
      </w:r>
      <w:r>
        <w:rPr>
          <w:sz w:val="24"/>
          <w:szCs w:val="24"/>
        </w:rPr>
        <w:t xml:space="preserve"> </w:t>
      </w:r>
      <w:hyperlink r:id="rId7" w:history="1">
        <w:r w:rsidRPr="00CA1D94">
          <w:rPr>
            <w:rStyle w:val="Hyperlink"/>
            <w:sz w:val="24"/>
            <w:szCs w:val="24"/>
          </w:rPr>
          <w:t>Documento 4/1</w:t>
        </w:r>
      </w:hyperlink>
      <w:r w:rsidRPr="003B79D2">
        <w:rPr>
          <w:sz w:val="24"/>
          <w:szCs w:val="24"/>
        </w:rPr>
        <w:t xml:space="preserve"> que contiene las Cuestiones UIT</w:t>
      </w:r>
      <w:r w:rsidRPr="003B79D2">
        <w:rPr>
          <w:sz w:val="24"/>
          <w:szCs w:val="24"/>
        </w:rPr>
        <w:noBreakHyphen/>
        <w:t>R aprobadas por la Asamblea de Radiocomunicaciones de 2012 y asignadas a la Comisión de Estudio</w:t>
      </w:r>
      <w:r>
        <w:rPr>
          <w:sz w:val="24"/>
          <w:szCs w:val="24"/>
        </w:rPr>
        <w:t xml:space="preserve"> 4</w:t>
      </w:r>
      <w:r w:rsidRPr="003B79D2">
        <w:rPr>
          <w:sz w:val="24"/>
          <w:szCs w:val="24"/>
        </w:rPr>
        <w:t xml:space="preserve"> de Radiocomunicaciones.</w:t>
      </w:r>
    </w:p>
    <w:p w:rsidR="00CA1D94" w:rsidRDefault="00CD0E47" w:rsidP="00CA1D94">
      <w:pPr>
        <w:pStyle w:val="BodyTextIndent2"/>
        <w:tabs>
          <w:tab w:val="clear" w:pos="794"/>
          <w:tab w:val="clear" w:pos="1191"/>
          <w:tab w:val="clear" w:pos="1588"/>
          <w:tab w:val="clear" w:pos="1985"/>
          <w:tab w:val="clear" w:pos="4820"/>
        </w:tabs>
        <w:spacing w:before="1418"/>
        <w:ind w:left="0"/>
        <w:jc w:val="left"/>
        <w:rPr>
          <w:rFonts w:asciiTheme="minorHAnsi" w:hAnsiTheme="minorHAnsi"/>
          <w:szCs w:val="24"/>
          <w:lang w:val="es-ES_tradnl"/>
        </w:rPr>
      </w:pPr>
      <w:r w:rsidRPr="00C25420">
        <w:rPr>
          <w:rFonts w:asciiTheme="minorHAnsi" w:hAnsiTheme="minorHAnsi"/>
          <w:szCs w:val="24"/>
          <w:lang w:val="es-ES_tradnl"/>
        </w:rPr>
        <w:t>François Rancy</w:t>
      </w:r>
      <w:r w:rsidRPr="00C25420">
        <w:rPr>
          <w:rFonts w:asciiTheme="minorHAnsi" w:hAnsiTheme="minorHAnsi"/>
          <w:szCs w:val="24"/>
          <w:lang w:val="es-ES_tradnl"/>
        </w:rPr>
        <w:br/>
        <w:t>Director</w:t>
      </w:r>
    </w:p>
    <w:p w:rsidR="00CD0E47" w:rsidRPr="002650A3" w:rsidRDefault="00CD0E47" w:rsidP="00CA1D94">
      <w:pPr>
        <w:pStyle w:val="BodyTextIndent2"/>
        <w:tabs>
          <w:tab w:val="clear" w:pos="794"/>
          <w:tab w:val="clear" w:pos="1191"/>
          <w:tab w:val="clear" w:pos="1588"/>
          <w:tab w:val="clear" w:pos="1985"/>
          <w:tab w:val="clear" w:pos="4820"/>
        </w:tabs>
        <w:spacing w:before="720"/>
        <w:ind w:left="0"/>
        <w:jc w:val="left"/>
        <w:rPr>
          <w:rFonts w:asciiTheme="minorHAnsi" w:hAnsiTheme="minorHAnsi"/>
          <w:bCs/>
          <w:szCs w:val="24"/>
          <w:lang w:val="es-ES"/>
        </w:rPr>
      </w:pPr>
      <w:r w:rsidRPr="002650A3">
        <w:rPr>
          <w:rFonts w:asciiTheme="minorHAnsi" w:hAnsiTheme="minorHAnsi"/>
          <w:b/>
          <w:szCs w:val="24"/>
          <w:lang w:val="es-ES"/>
        </w:rPr>
        <w:t>Anexo</w:t>
      </w:r>
      <w:r w:rsidRPr="002650A3">
        <w:rPr>
          <w:rFonts w:asciiTheme="minorHAnsi" w:hAnsiTheme="minorHAnsi"/>
          <w:bCs/>
          <w:szCs w:val="24"/>
          <w:lang w:val="es-ES"/>
        </w:rPr>
        <w:t xml:space="preserve">: </w:t>
      </w:r>
      <w:r w:rsidR="00CA1D94" w:rsidRPr="002650A3">
        <w:rPr>
          <w:rFonts w:asciiTheme="minorHAnsi" w:hAnsiTheme="minorHAnsi"/>
          <w:bCs/>
          <w:szCs w:val="24"/>
          <w:lang w:val="es-ES"/>
        </w:rPr>
        <w:t>1</w:t>
      </w:r>
    </w:p>
    <w:p w:rsidR="00CD0E47" w:rsidRPr="00D43B9C" w:rsidRDefault="00CD0E47" w:rsidP="00CA1D94">
      <w:pPr>
        <w:tabs>
          <w:tab w:val="left" w:pos="6237"/>
        </w:tabs>
        <w:spacing w:before="480"/>
        <w:rPr>
          <w:b/>
          <w:bCs/>
          <w:sz w:val="18"/>
          <w:szCs w:val="18"/>
          <w:lang w:val="es-ES"/>
        </w:rPr>
      </w:pPr>
      <w:r w:rsidRPr="00D43B9C">
        <w:rPr>
          <w:b/>
          <w:bCs/>
          <w:sz w:val="18"/>
          <w:szCs w:val="18"/>
          <w:lang w:val="es-ES"/>
        </w:rPr>
        <w:t>Distribución:</w:t>
      </w:r>
    </w:p>
    <w:p w:rsidR="00CD0E47" w:rsidRPr="00D43B9C" w:rsidRDefault="00CD0E47" w:rsidP="002650A3">
      <w:pPr>
        <w:tabs>
          <w:tab w:val="left" w:pos="6237"/>
        </w:tabs>
        <w:spacing w:before="120" w:line="240" w:lineRule="auto"/>
        <w:ind w:left="284" w:hanging="284"/>
        <w:rPr>
          <w:sz w:val="18"/>
          <w:szCs w:val="18"/>
          <w:lang w:val="es-ES"/>
        </w:rPr>
      </w:pPr>
      <w:r w:rsidRPr="00D43B9C">
        <w:rPr>
          <w:sz w:val="18"/>
          <w:szCs w:val="18"/>
          <w:lang w:val="es-ES"/>
        </w:rPr>
        <w:t>–</w:t>
      </w:r>
      <w:r w:rsidRPr="00D43B9C">
        <w:rPr>
          <w:sz w:val="18"/>
          <w:szCs w:val="18"/>
          <w:lang w:val="es-ES"/>
        </w:rPr>
        <w:tab/>
        <w:t xml:space="preserve">Administraciones de los Estados Miembros de la UIT y Miembros del Sector de Radiocomunicaciones que participan en los trabajos de la Comisión de Estudio </w:t>
      </w:r>
      <w:r w:rsidR="002650A3">
        <w:rPr>
          <w:sz w:val="18"/>
          <w:szCs w:val="18"/>
          <w:lang w:val="es-ES"/>
        </w:rPr>
        <w:t>4</w:t>
      </w:r>
      <w:r w:rsidRPr="00D43B9C">
        <w:rPr>
          <w:sz w:val="18"/>
          <w:szCs w:val="18"/>
          <w:lang w:val="es-ES"/>
        </w:rPr>
        <w:t xml:space="preserve"> de Radiocomunicaciones</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Asociados del UIT-R que participan en los trab</w:t>
      </w:r>
      <w:r w:rsidR="002650A3">
        <w:rPr>
          <w:sz w:val="18"/>
          <w:szCs w:val="18"/>
          <w:lang w:val="es-ES"/>
        </w:rPr>
        <w:t>ajos de la Comisión de Estudio 4</w:t>
      </w:r>
      <w:r w:rsidRPr="00D43B9C">
        <w:rPr>
          <w:sz w:val="18"/>
          <w:szCs w:val="18"/>
          <w:lang w:val="es-ES"/>
        </w:rPr>
        <w:t xml:space="preserve"> de Radiocomunicaciones</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Presidentes y Vicepresidentes de las Comisiones de Estudio de Radiocomunicaciones y Comisión Especial para asuntos reglamentarios y de procedimiento</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Presidente y Vicepresidentes de la Reunión Preparatoria de la Conferencia</w:t>
      </w:r>
    </w:p>
    <w:p w:rsidR="00CD0E47" w:rsidRPr="00D43B9C"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Miembros de la Junta del Reglamento de Radiocomunicaciones</w:t>
      </w:r>
    </w:p>
    <w:p w:rsidR="00CD0E47" w:rsidRDefault="00CD0E47" w:rsidP="00C25420">
      <w:pPr>
        <w:tabs>
          <w:tab w:val="left" w:pos="6237"/>
        </w:tabs>
        <w:spacing w:before="0" w:line="240" w:lineRule="auto"/>
        <w:ind w:left="284" w:hanging="284"/>
        <w:rPr>
          <w:sz w:val="18"/>
          <w:szCs w:val="18"/>
          <w:lang w:val="es-ES"/>
        </w:rPr>
      </w:pPr>
      <w:r w:rsidRPr="00D43B9C">
        <w:rPr>
          <w:sz w:val="18"/>
          <w:szCs w:val="18"/>
          <w:lang w:val="es-ES"/>
        </w:rPr>
        <w:t>–</w:t>
      </w:r>
      <w:r w:rsidRPr="00D43B9C">
        <w:rPr>
          <w:sz w:val="18"/>
          <w:szCs w:val="18"/>
          <w:lang w:val="es-ES"/>
        </w:rPr>
        <w:tab/>
        <w:t>Secretario General de la UIT, Director de la Oficina de Normalización de las Telecomunicaciones, Director de la Oficina de Desarrollo de Telecomunicaciones</w:t>
      </w:r>
    </w:p>
    <w:p w:rsidR="000B7E59" w:rsidRDefault="000B7E59" w:rsidP="00C25420">
      <w:pPr>
        <w:tabs>
          <w:tab w:val="left" w:pos="6237"/>
        </w:tabs>
        <w:spacing w:before="0" w:line="240" w:lineRule="auto"/>
        <w:ind w:left="284" w:hanging="284"/>
        <w:rPr>
          <w:sz w:val="18"/>
          <w:szCs w:val="18"/>
          <w:lang w:val="es-ES"/>
        </w:rPr>
      </w:pPr>
    </w:p>
    <w:p w:rsidR="000B7E59" w:rsidRPr="00071629" w:rsidRDefault="000B7E59" w:rsidP="000B7E59">
      <w:pPr>
        <w:pStyle w:val="AnnexNotitle0"/>
        <w:spacing w:before="0"/>
        <w:rPr>
          <w:rFonts w:asciiTheme="minorHAnsi" w:hAnsiTheme="minorHAnsi"/>
          <w:szCs w:val="28"/>
          <w:lang w:val="es-ES"/>
        </w:rPr>
      </w:pPr>
      <w:r w:rsidRPr="00071629">
        <w:rPr>
          <w:rFonts w:asciiTheme="minorHAnsi" w:hAnsiTheme="minorHAnsi"/>
          <w:szCs w:val="28"/>
          <w:lang w:val="es-ES"/>
        </w:rPr>
        <w:lastRenderedPageBreak/>
        <w:t>Anexo</w:t>
      </w:r>
    </w:p>
    <w:p w:rsidR="000B7E59" w:rsidRPr="00071629" w:rsidRDefault="000B7E59" w:rsidP="000B7E59">
      <w:pPr>
        <w:pStyle w:val="Title1"/>
        <w:rPr>
          <w:rFonts w:asciiTheme="majorBidi" w:hAnsiTheme="majorBidi" w:cstheme="majorBidi"/>
          <w:lang w:val="es-ES"/>
        </w:rPr>
      </w:pPr>
      <w:r w:rsidRPr="00071629">
        <w:rPr>
          <w:rFonts w:asciiTheme="majorBidi" w:hAnsiTheme="majorBidi" w:cstheme="majorBidi"/>
          <w:lang w:val="es-ES"/>
        </w:rPr>
        <w:t xml:space="preserve">CUESTIÓN UIT-R </w:t>
      </w:r>
      <w:r>
        <w:rPr>
          <w:rFonts w:asciiTheme="majorBidi" w:hAnsiTheme="majorBidi" w:cstheme="majorBidi"/>
          <w:bCs/>
        </w:rPr>
        <w:t>291</w:t>
      </w:r>
      <w:r w:rsidRPr="00B77C05">
        <w:rPr>
          <w:rFonts w:asciiTheme="majorBidi" w:hAnsiTheme="majorBidi" w:cstheme="majorBidi"/>
          <w:bCs/>
        </w:rPr>
        <w:t>/4</w:t>
      </w:r>
    </w:p>
    <w:p w:rsidR="000B7E59" w:rsidRPr="00071629" w:rsidRDefault="000B7E59" w:rsidP="000B7E59">
      <w:pPr>
        <w:pStyle w:val="Questiontitle"/>
        <w:rPr>
          <w:rFonts w:asciiTheme="majorBidi" w:hAnsiTheme="majorBidi" w:cstheme="majorBidi"/>
          <w:lang w:val="es-ES"/>
        </w:rPr>
      </w:pPr>
      <w:r w:rsidRPr="00071629">
        <w:rPr>
          <w:rFonts w:asciiTheme="majorBidi" w:hAnsiTheme="majorBidi" w:cstheme="majorBidi"/>
          <w:lang w:val="es-ES"/>
        </w:rPr>
        <w:t xml:space="preserve">Arquitectura de sistema y aspectos de calidad de funcionamiento </w:t>
      </w:r>
      <w:r w:rsidRPr="00071629">
        <w:rPr>
          <w:rFonts w:asciiTheme="majorBidi" w:hAnsiTheme="majorBidi" w:cstheme="majorBidi"/>
          <w:lang w:val="es-ES"/>
        </w:rPr>
        <w:br/>
        <w:t>en los sistemas integrados del SMS</w:t>
      </w:r>
    </w:p>
    <w:p w:rsidR="00A945CE" w:rsidRPr="006F4BE3" w:rsidRDefault="00A945CE" w:rsidP="00A945CE">
      <w:pPr>
        <w:pStyle w:val="QuestionTitleDate"/>
        <w:rPr>
          <w:sz w:val="24"/>
          <w:szCs w:val="24"/>
          <w:lang w:val="es-ES"/>
        </w:rPr>
      </w:pPr>
      <w:r w:rsidRPr="006F4BE3">
        <w:rPr>
          <w:sz w:val="24"/>
          <w:szCs w:val="24"/>
          <w:lang w:val="es-ES"/>
        </w:rPr>
        <w:t>(2014)</w:t>
      </w:r>
    </w:p>
    <w:p w:rsidR="00A945CE" w:rsidRPr="00E721C9" w:rsidRDefault="00A945CE" w:rsidP="000B7E59">
      <w:pPr>
        <w:rPr>
          <w:lang w:val="es-ES"/>
        </w:rPr>
      </w:pPr>
    </w:p>
    <w:p w:rsidR="000B7E59" w:rsidRPr="008C2C41" w:rsidRDefault="000B7E59" w:rsidP="000B7E59">
      <w:pPr>
        <w:pStyle w:val="Normalaftertitle"/>
        <w:jc w:val="left"/>
        <w:rPr>
          <w:rFonts w:asciiTheme="majorBidi" w:hAnsiTheme="majorBidi" w:cstheme="majorBidi"/>
          <w:sz w:val="24"/>
          <w:szCs w:val="24"/>
          <w:lang w:val="es-ES"/>
        </w:rPr>
      </w:pPr>
      <w:r w:rsidRPr="008C2C41">
        <w:rPr>
          <w:rFonts w:asciiTheme="majorBidi" w:hAnsiTheme="majorBidi" w:cstheme="majorBidi"/>
          <w:sz w:val="24"/>
          <w:szCs w:val="24"/>
          <w:lang w:val="es-ES"/>
        </w:rPr>
        <w:t>La Asamblea Mundial de Radiocomunicaciones de la UIT,</w:t>
      </w:r>
    </w:p>
    <w:p w:rsidR="000B7E59" w:rsidRPr="008C2C41" w:rsidRDefault="000B7E59" w:rsidP="000B7E59">
      <w:pPr>
        <w:pStyle w:val="Call"/>
        <w:jc w:val="lowKashida"/>
        <w:rPr>
          <w:rFonts w:asciiTheme="majorBidi" w:hAnsiTheme="majorBidi" w:cstheme="majorBidi"/>
          <w:sz w:val="24"/>
          <w:szCs w:val="24"/>
          <w:lang w:val="es-ES"/>
        </w:rPr>
      </w:pPr>
      <w:r w:rsidRPr="008C2C41">
        <w:rPr>
          <w:rFonts w:asciiTheme="majorBidi" w:hAnsiTheme="majorBidi" w:cstheme="majorBidi"/>
          <w:sz w:val="24"/>
          <w:szCs w:val="24"/>
          <w:lang w:val="es-ES"/>
        </w:rPr>
        <w:t>considerando</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i/>
          <w:iCs/>
          <w:sz w:val="24"/>
          <w:szCs w:val="24"/>
          <w:lang w:val="es-ES"/>
        </w:rPr>
        <w:t>a)</w:t>
      </w:r>
      <w:r w:rsidRPr="008C2C41">
        <w:rPr>
          <w:rFonts w:asciiTheme="majorBidi" w:hAnsiTheme="majorBidi" w:cstheme="majorBidi"/>
          <w:i/>
          <w:iCs/>
          <w:sz w:val="24"/>
          <w:szCs w:val="24"/>
          <w:lang w:val="es-ES"/>
        </w:rPr>
        <w:tab/>
      </w:r>
      <w:r w:rsidRPr="008C2C41">
        <w:rPr>
          <w:rFonts w:asciiTheme="majorBidi" w:hAnsiTheme="majorBidi" w:cstheme="majorBidi"/>
          <w:sz w:val="24"/>
          <w:szCs w:val="24"/>
          <w:lang w:val="es-ES"/>
        </w:rPr>
        <w:t>que los sistemas integrados del servicio móvil por satélite (SMS) serían infraestructuras espaciales/terrenales con un alto grado de utilización del espectro y dotadas de capacidad para ofrecer diversos beneficios que sirven al interés público, incluido el servicio multimedios de banda ancha a terminales telefónicos o portátiles y soluciones de protección pública y ayuda en caso de catástrofe;</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i/>
          <w:iCs/>
          <w:sz w:val="24"/>
          <w:szCs w:val="24"/>
          <w:lang w:val="es-ES"/>
        </w:rPr>
        <w:t>b)</w:t>
      </w:r>
      <w:r w:rsidRPr="008C2C41">
        <w:rPr>
          <w:rFonts w:asciiTheme="majorBidi" w:hAnsiTheme="majorBidi" w:cstheme="majorBidi"/>
          <w:i/>
          <w:iCs/>
          <w:sz w:val="24"/>
          <w:szCs w:val="24"/>
          <w:lang w:val="es-ES"/>
        </w:rPr>
        <w:tab/>
      </w:r>
      <w:r w:rsidRPr="008C2C41">
        <w:rPr>
          <w:rFonts w:asciiTheme="majorBidi" w:hAnsiTheme="majorBidi" w:cstheme="majorBidi"/>
          <w:sz w:val="24"/>
          <w:szCs w:val="24"/>
          <w:lang w:val="es-ES"/>
        </w:rPr>
        <w:t>que ya se han tomado en consideración algunos ejemplos de sistemas integrados del SMS tales como un sistema de radiodifusión multimedios digital por satélite con estaciones de base terrenales complementarias, y que se espera que tales ejemplos de sistemas SMS integrados sigan aumentando;</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i/>
          <w:iCs/>
          <w:sz w:val="24"/>
          <w:szCs w:val="24"/>
          <w:lang w:val="es-ES"/>
        </w:rPr>
        <w:t>c)</w:t>
      </w:r>
      <w:r w:rsidRPr="008C2C41">
        <w:rPr>
          <w:rFonts w:asciiTheme="majorBidi" w:hAnsiTheme="majorBidi" w:cstheme="majorBidi"/>
          <w:sz w:val="24"/>
          <w:szCs w:val="24"/>
          <w:lang w:val="es-ES"/>
        </w:rPr>
        <w:tab/>
        <w:t>que, en los sistemas integrados del SMS, la componente terrenal controlada por el satélite y el sistema de gestión de la red utiliza las mismas porciones de las bandas de frecuencias del SMS que el sistema móvil por satélite asociado en explotación;</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i/>
          <w:iCs/>
          <w:sz w:val="24"/>
          <w:szCs w:val="24"/>
          <w:lang w:val="es-ES"/>
        </w:rPr>
        <w:t>d)</w:t>
      </w:r>
      <w:r w:rsidRPr="008C2C41">
        <w:rPr>
          <w:rFonts w:asciiTheme="majorBidi" w:hAnsiTheme="majorBidi" w:cstheme="majorBidi"/>
          <w:sz w:val="24"/>
          <w:szCs w:val="24"/>
          <w:lang w:val="es-ES"/>
        </w:rPr>
        <w:tab/>
        <w:t>que la reutilización de frecuencias entre el satélite y las componentes terrenales complementarias (CTC) implicará inevitablemente interferencias cocanal que podrían ocasionar una degradación de la calidad de funcionamiento del sistema del SMS. Este asunto se trata como una interferencia dentro del sistema que hay que superar;</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i/>
          <w:iCs/>
          <w:sz w:val="24"/>
          <w:szCs w:val="24"/>
          <w:lang w:val="es-ES"/>
        </w:rPr>
        <w:t>e)</w:t>
      </w:r>
      <w:r w:rsidRPr="008C2C41">
        <w:rPr>
          <w:rFonts w:asciiTheme="majorBidi" w:hAnsiTheme="majorBidi" w:cstheme="majorBidi"/>
          <w:sz w:val="24"/>
          <w:szCs w:val="24"/>
          <w:lang w:val="es-ES"/>
        </w:rPr>
        <w:tab/>
        <w:t>que se han adoptado o se está estudiando la adopción de muchas tecnologías avanzadas para aumentar la calidad de funcionamiento y mejorar la eficiencia espectral  en muchas normas de sistemas terrenales para su futura aplicación;</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i/>
          <w:iCs/>
          <w:sz w:val="24"/>
          <w:szCs w:val="24"/>
          <w:lang w:val="es-ES"/>
        </w:rPr>
        <w:t>f)</w:t>
      </w:r>
      <w:r w:rsidRPr="008C2C41">
        <w:rPr>
          <w:rFonts w:asciiTheme="majorBidi" w:hAnsiTheme="majorBidi" w:cstheme="majorBidi"/>
          <w:sz w:val="24"/>
          <w:szCs w:val="24"/>
          <w:lang w:val="es-ES"/>
        </w:rPr>
        <w:tab/>
        <w:t>que, con el fin de garantizar la utilización eficiente del espectro de frecuencia y las órbitas, puede ser conveniente determinar los aspectos de arquitectura de sistema y calidad de funcionamiento óptimos;</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i/>
          <w:iCs/>
          <w:sz w:val="24"/>
          <w:szCs w:val="24"/>
          <w:lang w:val="es-ES"/>
        </w:rPr>
        <w:t>g)</w:t>
      </w:r>
      <w:r w:rsidRPr="008C2C41">
        <w:rPr>
          <w:rFonts w:asciiTheme="majorBidi" w:hAnsiTheme="majorBidi" w:cstheme="majorBidi"/>
          <w:sz w:val="24"/>
          <w:szCs w:val="24"/>
          <w:lang w:val="es-ES"/>
        </w:rPr>
        <w:tab/>
        <w:t>que podría ser conveniente recomendar ciertas características de sistema,</w:t>
      </w:r>
    </w:p>
    <w:p w:rsidR="000B7E59" w:rsidRPr="008C2C41" w:rsidRDefault="000B7E59" w:rsidP="000B7E59">
      <w:pPr>
        <w:pStyle w:val="Call"/>
        <w:rPr>
          <w:rFonts w:asciiTheme="majorBidi" w:hAnsiTheme="majorBidi" w:cstheme="majorBidi"/>
          <w:sz w:val="24"/>
          <w:szCs w:val="24"/>
          <w:lang w:val="es-ES"/>
        </w:rPr>
      </w:pPr>
      <w:r w:rsidRPr="008C2C41">
        <w:rPr>
          <w:rFonts w:asciiTheme="majorBidi" w:hAnsiTheme="majorBidi" w:cstheme="majorBidi"/>
          <w:iCs/>
          <w:sz w:val="24"/>
          <w:szCs w:val="24"/>
          <w:lang w:val="es-ES"/>
        </w:rPr>
        <w:t>decide</w:t>
      </w:r>
      <w:r w:rsidRPr="008C2C41">
        <w:rPr>
          <w:rFonts w:asciiTheme="majorBidi" w:hAnsiTheme="majorBidi" w:cstheme="majorBidi"/>
          <w:sz w:val="24"/>
          <w:szCs w:val="24"/>
          <w:lang w:val="es-ES"/>
        </w:rPr>
        <w:t xml:space="preserve"> </w:t>
      </w:r>
      <w:r w:rsidRPr="00071629">
        <w:rPr>
          <w:rFonts w:asciiTheme="majorBidi" w:hAnsiTheme="majorBidi" w:cstheme="majorBidi"/>
          <w:i w:val="0"/>
          <w:iCs/>
          <w:sz w:val="24"/>
          <w:szCs w:val="24"/>
          <w:lang w:val="es-ES"/>
        </w:rPr>
        <w:t>que deberían estudiarse las Cuestiones siguientes</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1</w:t>
      </w:r>
      <w:r w:rsidRPr="008C2C41">
        <w:rPr>
          <w:rFonts w:asciiTheme="majorBidi" w:hAnsiTheme="majorBidi" w:cstheme="majorBidi"/>
          <w:sz w:val="24"/>
          <w:szCs w:val="24"/>
          <w:lang w:val="es-ES"/>
        </w:rPr>
        <w:tab/>
        <w:t>¿qué escenarios de servicio y arquitecturas de red son preferibles para los sistemas integrados del SMS a fin de dar soporte a una amplia gama de aplicaciones así como a velocidades de transmisión de datos incluyendo las comunicaciones máquina-máquina y las futuras comunicaciones móviles de banda ancha?</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2</w:t>
      </w:r>
      <w:r w:rsidRPr="008C2C41">
        <w:rPr>
          <w:rFonts w:asciiTheme="majorBidi" w:hAnsiTheme="majorBidi" w:cstheme="majorBidi"/>
          <w:sz w:val="24"/>
          <w:szCs w:val="24"/>
          <w:lang w:val="es-ES"/>
        </w:rPr>
        <w:tab/>
        <w:t>¿qué escenarios de servicio y arquitecturas de red son preferibles desde el punto de vista de la eficacia global en función de los costes, teniendo en cuenta lo indicado en el § 1?</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lastRenderedPageBreak/>
        <w:t>3</w:t>
      </w:r>
      <w:r w:rsidRPr="008C2C41">
        <w:rPr>
          <w:rFonts w:asciiTheme="majorBidi" w:hAnsiTheme="majorBidi" w:cstheme="majorBidi"/>
          <w:sz w:val="24"/>
          <w:szCs w:val="24"/>
          <w:lang w:val="es-ES"/>
        </w:rPr>
        <w:tab/>
        <w:t>¿cuáles son los requisitos preferidos a efectos de la calidad de funcionamiento y la disponibilidad en los enlaces de satélite y de la componente terrenal para los sistemas integrados del SMS, por ejemplo enlaces de satélite IMT-Avanzadas con enlaces terrenales complementarios IMT</w:t>
      </w:r>
      <w:r w:rsidRPr="008C2C41">
        <w:rPr>
          <w:rFonts w:asciiTheme="majorBidi" w:hAnsiTheme="majorBidi" w:cstheme="majorBidi"/>
          <w:sz w:val="24"/>
          <w:szCs w:val="24"/>
          <w:lang w:val="es-ES"/>
        </w:rPr>
        <w:noBreakHyphen/>
        <w:t xml:space="preserve">Avanzadas? </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4</w:t>
      </w:r>
      <w:r w:rsidRPr="008C2C41">
        <w:rPr>
          <w:rFonts w:asciiTheme="majorBidi" w:hAnsiTheme="majorBidi" w:cstheme="majorBidi"/>
          <w:sz w:val="24"/>
          <w:szCs w:val="24"/>
          <w:lang w:val="es-ES"/>
        </w:rPr>
        <w:tab/>
        <w:t>¿cuáles son los factores que caracterizan las topologías de red, arquitecturas de sistema y protocolos de control de enlaces alternativos?</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5</w:t>
      </w:r>
      <w:r w:rsidRPr="008C2C41">
        <w:rPr>
          <w:rFonts w:asciiTheme="majorBidi" w:hAnsiTheme="majorBidi" w:cstheme="majorBidi"/>
          <w:sz w:val="24"/>
          <w:szCs w:val="24"/>
          <w:lang w:val="es-ES"/>
        </w:rPr>
        <w:tab/>
        <w:t>¿cuál es la repercusión de los requisitos de red en las características de las estaciones terrenas?</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6</w:t>
      </w:r>
      <w:r w:rsidRPr="008C2C41">
        <w:rPr>
          <w:rFonts w:asciiTheme="majorBidi" w:hAnsiTheme="majorBidi" w:cstheme="majorBidi"/>
          <w:sz w:val="24"/>
          <w:szCs w:val="24"/>
          <w:lang w:val="es-ES"/>
        </w:rPr>
        <w:tab/>
        <w:t>¿cuáles son las interfaces digitales usuario/red especializadas normalizadas que se deben recomendar?</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7</w:t>
      </w:r>
      <w:r w:rsidRPr="008C2C41">
        <w:rPr>
          <w:rFonts w:asciiTheme="majorBidi" w:hAnsiTheme="majorBidi" w:cstheme="majorBidi"/>
          <w:sz w:val="24"/>
          <w:szCs w:val="24"/>
          <w:lang w:val="es-ES"/>
        </w:rPr>
        <w:tab/>
        <w:t>¿cuáles son las tecnologías habilitadoras que aumentan la calidad de funcionamiento y mejoran la eficiencia espectral para los sistemas integrados del SMS?</w:t>
      </w:r>
    </w:p>
    <w:p w:rsidR="000B7E59" w:rsidRPr="008C2C41" w:rsidRDefault="000B7E59" w:rsidP="000B7E59">
      <w:pPr>
        <w:pStyle w:val="Call"/>
        <w:rPr>
          <w:rFonts w:asciiTheme="majorBidi" w:hAnsiTheme="majorBidi" w:cstheme="majorBidi"/>
          <w:sz w:val="24"/>
          <w:szCs w:val="24"/>
          <w:lang w:val="es-ES"/>
        </w:rPr>
      </w:pPr>
      <w:r w:rsidRPr="008C2C41">
        <w:rPr>
          <w:rFonts w:asciiTheme="majorBidi" w:hAnsiTheme="majorBidi" w:cstheme="majorBidi"/>
          <w:sz w:val="24"/>
          <w:szCs w:val="24"/>
          <w:lang w:val="es-ES"/>
        </w:rPr>
        <w:t>decide además</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1</w:t>
      </w:r>
      <w:r w:rsidRPr="008C2C41">
        <w:rPr>
          <w:rFonts w:asciiTheme="majorBidi" w:hAnsiTheme="majorBidi" w:cstheme="majorBidi"/>
          <w:sz w:val="24"/>
          <w:szCs w:val="24"/>
          <w:lang w:val="es-ES"/>
        </w:rPr>
        <w:tab/>
        <w:t>que los resultados de estos estudios se incluyan en Recomendaciones y/o Informes apropiados;</w:t>
      </w:r>
    </w:p>
    <w:p w:rsidR="000B7E59" w:rsidRPr="008C2C41" w:rsidRDefault="000B7E59" w:rsidP="000B7E59">
      <w:pPr>
        <w:jc w:val="left"/>
        <w:rPr>
          <w:rFonts w:asciiTheme="majorBidi" w:hAnsiTheme="majorBidi" w:cstheme="majorBidi"/>
          <w:sz w:val="24"/>
          <w:szCs w:val="24"/>
          <w:lang w:val="es-ES"/>
        </w:rPr>
      </w:pPr>
      <w:r w:rsidRPr="008C2C41">
        <w:rPr>
          <w:rFonts w:asciiTheme="majorBidi" w:hAnsiTheme="majorBidi" w:cstheme="majorBidi"/>
          <w:sz w:val="24"/>
          <w:szCs w:val="24"/>
          <w:lang w:val="es-ES"/>
        </w:rPr>
        <w:t>2</w:t>
      </w:r>
      <w:r w:rsidRPr="008C2C41">
        <w:rPr>
          <w:rFonts w:asciiTheme="majorBidi" w:hAnsiTheme="majorBidi" w:cstheme="majorBidi"/>
          <w:sz w:val="24"/>
          <w:szCs w:val="24"/>
          <w:lang w:val="es-ES"/>
        </w:rPr>
        <w:tab/>
        <w:t>que los estudios citados se completen en 2016.</w:t>
      </w:r>
    </w:p>
    <w:p w:rsidR="000B7E59" w:rsidRPr="008C2C41" w:rsidRDefault="000B7E59" w:rsidP="000B7E59">
      <w:pPr>
        <w:spacing w:before="360"/>
        <w:jc w:val="left"/>
        <w:rPr>
          <w:rFonts w:asciiTheme="majorBidi" w:hAnsiTheme="majorBidi" w:cstheme="majorBidi"/>
          <w:sz w:val="24"/>
          <w:szCs w:val="24"/>
          <w:lang w:val="es-ES"/>
        </w:rPr>
      </w:pPr>
    </w:p>
    <w:p w:rsidR="000B7E59" w:rsidRPr="008C2C41" w:rsidRDefault="000B7E59" w:rsidP="000B7E59">
      <w:pPr>
        <w:pStyle w:val="Reasons"/>
        <w:rPr>
          <w:rFonts w:asciiTheme="majorBidi" w:hAnsiTheme="majorBidi" w:cstheme="majorBidi"/>
          <w:szCs w:val="24"/>
        </w:rPr>
      </w:pPr>
      <w:r w:rsidRPr="008C2C41">
        <w:rPr>
          <w:rFonts w:asciiTheme="majorBidi" w:hAnsiTheme="majorBidi" w:cstheme="majorBidi"/>
          <w:szCs w:val="24"/>
          <w:lang w:val="es-ES"/>
        </w:rPr>
        <w:t>Categoría: S2</w:t>
      </w:r>
    </w:p>
    <w:p w:rsidR="000B7E59" w:rsidRPr="008C2C41" w:rsidRDefault="000B7E59" w:rsidP="00714EAC">
      <w:pPr>
        <w:spacing w:before="360"/>
        <w:jc w:val="center"/>
        <w:rPr>
          <w:rFonts w:asciiTheme="majorBidi" w:hAnsiTheme="majorBidi" w:cstheme="majorBidi"/>
          <w:sz w:val="24"/>
          <w:szCs w:val="24"/>
        </w:rPr>
      </w:pPr>
      <w:r w:rsidRPr="008C2C41">
        <w:rPr>
          <w:rFonts w:asciiTheme="majorBidi" w:hAnsiTheme="majorBidi" w:cstheme="majorBidi"/>
          <w:sz w:val="24"/>
          <w:szCs w:val="24"/>
        </w:rPr>
        <w:t>______________</w:t>
      </w:r>
    </w:p>
    <w:p w:rsidR="000B7E59" w:rsidRPr="00D43B9C" w:rsidRDefault="000B7E59" w:rsidP="00C25420">
      <w:pPr>
        <w:tabs>
          <w:tab w:val="left" w:pos="6237"/>
        </w:tabs>
        <w:spacing w:before="0" w:line="240" w:lineRule="auto"/>
        <w:ind w:left="284" w:hanging="284"/>
        <w:rPr>
          <w:sz w:val="18"/>
          <w:szCs w:val="18"/>
          <w:lang w:val="es-ES"/>
        </w:rPr>
      </w:pPr>
    </w:p>
    <w:sectPr w:rsidR="000B7E59" w:rsidRPr="00D43B9C" w:rsidSect="00235A29">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E47" w:rsidRDefault="00CD0E47">
      <w:r>
        <w:separator/>
      </w:r>
    </w:p>
  </w:endnote>
  <w:endnote w:type="continuationSeparator" w:id="0">
    <w:p w:rsidR="00CD0E47" w:rsidRDefault="00CD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A3" w:rsidRDefault="00265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0A3" w:rsidRDefault="002650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F42C8C" w:rsidRDefault="00F42C8C" w:rsidP="00F914DD">
    <w:pPr>
      <w:pStyle w:val="FirstFooter"/>
      <w:spacing w:line="240" w:lineRule="auto"/>
      <w:ind w:left="-397" w:right="-397"/>
      <w:jc w:val="center"/>
      <w:rPr>
        <w:sz w:val="18"/>
        <w:szCs w:val="18"/>
      </w:rPr>
    </w:pPr>
    <w:r w:rsidRPr="00F42C8C">
      <w:rPr>
        <w:sz w:val="18"/>
        <w:szCs w:val="18"/>
      </w:rPr>
      <w:t>Unión Internacional de Telecomunicaciones • Place des Nations • CH</w:t>
    </w:r>
    <w:r w:rsidRPr="00F42C8C">
      <w:rPr>
        <w:sz w:val="18"/>
        <w:szCs w:val="18"/>
      </w:rPr>
      <w:noBreakHyphen/>
      <w:t>1211 Ginebra 20 • Suiza</w:t>
    </w:r>
    <w:r w:rsidRPr="00F42C8C">
      <w:rPr>
        <w:sz w:val="18"/>
        <w:szCs w:val="18"/>
      </w:rPr>
      <w:br/>
      <w:t xml:space="preserve">Tel: +41 22 730 5111 • Fax: +41 22 733 7256 • Correo-e: </w:t>
    </w:r>
    <w:hyperlink r:id="rId1" w:history="1">
      <w:r w:rsidRPr="00F42C8C">
        <w:rPr>
          <w:rStyle w:val="Hyperlink"/>
          <w:rFonts w:cs="Calibri"/>
          <w:sz w:val="18"/>
          <w:szCs w:val="18"/>
        </w:rPr>
        <w:t>itumail@itu.int</w:t>
      </w:r>
    </w:hyperlink>
    <w:r w:rsidRPr="00F42C8C">
      <w:rPr>
        <w:sz w:val="18"/>
        <w:szCs w:val="18"/>
      </w:rPr>
      <w:t xml:space="preserve"> • </w:t>
    </w:r>
    <w:hyperlink r:id="rId2" w:history="1">
      <w:r w:rsidRPr="00F42C8C">
        <w:rPr>
          <w:rStyle w:val="Hyperlink"/>
          <w:rFonts w:cs="Calibri"/>
          <w:sz w:val="18"/>
          <w:szCs w:val="18"/>
        </w:rPr>
        <w:t>www.itu.int</w:t>
      </w:r>
    </w:hyperlink>
    <w:r w:rsidR="00F55EAB">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E47" w:rsidRDefault="00CD0E47">
      <w:r>
        <w:t>____________________</w:t>
      </w:r>
    </w:p>
  </w:footnote>
  <w:footnote w:type="continuationSeparator" w:id="0">
    <w:p w:rsidR="00CD0E47" w:rsidRDefault="00CD0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35A29" w:rsidRDefault="00026CF8" w:rsidP="000E2185">
    <w:pPr>
      <w:pStyle w:val="Header"/>
    </w:pPr>
    <w:r>
      <w:tab/>
    </w:r>
    <w:r>
      <w:tab/>
    </w:r>
    <w:r w:rsidR="000E2185" w:rsidRPr="00613851">
      <w:rPr>
        <w:sz w:val="18"/>
        <w:szCs w:val="18"/>
      </w:rPr>
      <w:t>-</w:t>
    </w:r>
    <w:r w:rsidRPr="00613851">
      <w:rPr>
        <w:sz w:val="18"/>
        <w:szCs w:val="18"/>
      </w:rPr>
      <w:t xml:space="preserve"> </w:t>
    </w:r>
    <w:r w:rsidRPr="00613851">
      <w:rPr>
        <w:rStyle w:val="PageNumber"/>
        <w:rFonts w:cs="Calibri"/>
        <w:sz w:val="18"/>
        <w:szCs w:val="18"/>
      </w:rPr>
      <w:fldChar w:fldCharType="begin"/>
    </w:r>
    <w:r w:rsidRPr="00613851">
      <w:rPr>
        <w:rStyle w:val="PageNumber"/>
        <w:rFonts w:cs="Calibri"/>
        <w:sz w:val="18"/>
        <w:szCs w:val="18"/>
      </w:rPr>
      <w:instrText xml:space="preserve"> PAGE </w:instrText>
    </w:r>
    <w:r w:rsidRPr="00613851">
      <w:rPr>
        <w:rStyle w:val="PageNumber"/>
        <w:rFonts w:cs="Calibri"/>
        <w:sz w:val="18"/>
        <w:szCs w:val="18"/>
      </w:rPr>
      <w:fldChar w:fldCharType="separate"/>
    </w:r>
    <w:r w:rsidR="00981517">
      <w:rPr>
        <w:rStyle w:val="PageNumber"/>
        <w:rFonts w:cs="Calibri"/>
        <w:noProof/>
        <w:sz w:val="18"/>
        <w:szCs w:val="18"/>
      </w:rPr>
      <w:t>2</w:t>
    </w:r>
    <w:r w:rsidRPr="00613851">
      <w:rPr>
        <w:rStyle w:val="PageNumber"/>
        <w:rFonts w:cs="Calibri"/>
        <w:sz w:val="18"/>
        <w:szCs w:val="18"/>
      </w:rPr>
      <w:fldChar w:fldCharType="end"/>
    </w:r>
    <w:r w:rsidRPr="00613851">
      <w:rPr>
        <w:rStyle w:val="PageNumber"/>
        <w:rFonts w:cs="Calibri"/>
        <w:sz w:val="18"/>
        <w:szCs w:val="18"/>
      </w:rPr>
      <w:t xml:space="preserve"> </w:t>
    </w:r>
    <w:r w:rsidR="000E2185" w:rsidRPr="00613851">
      <w:rPr>
        <w:rStyle w:val="PageNumber"/>
        <w:rFonts w:cs="Calibri"/>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2650A3" w:rsidRDefault="00026CF8">
    <w:pPr>
      <w:pStyle w:val="Header"/>
      <w:rPr>
        <w:iCs/>
        <w:sz w:val="18"/>
        <w:szCs w:val="18"/>
      </w:rPr>
    </w:pPr>
    <w:r>
      <w:tab/>
    </w:r>
    <w:r>
      <w:tab/>
    </w:r>
    <w:r w:rsidR="002650A3">
      <w:t xml:space="preserve">- </w:t>
    </w:r>
    <w:r w:rsidRPr="002650A3">
      <w:rPr>
        <w:iCs/>
        <w:sz w:val="18"/>
        <w:szCs w:val="18"/>
      </w:rPr>
      <w:fldChar w:fldCharType="begin"/>
    </w:r>
    <w:r w:rsidRPr="002650A3">
      <w:rPr>
        <w:iCs/>
        <w:sz w:val="18"/>
        <w:szCs w:val="18"/>
      </w:rPr>
      <w:instrText xml:space="preserve"> PAGE  \* MERGEFORMAT </w:instrText>
    </w:r>
    <w:r w:rsidRPr="002650A3">
      <w:rPr>
        <w:iCs/>
        <w:sz w:val="18"/>
        <w:szCs w:val="18"/>
      </w:rPr>
      <w:fldChar w:fldCharType="separate"/>
    </w:r>
    <w:r w:rsidR="00981517">
      <w:rPr>
        <w:iCs/>
        <w:noProof/>
        <w:sz w:val="18"/>
        <w:szCs w:val="18"/>
      </w:rPr>
      <w:t>3</w:t>
    </w:r>
    <w:r w:rsidRPr="002650A3">
      <w:rPr>
        <w:iCs/>
        <w:sz w:val="18"/>
        <w:szCs w:val="18"/>
      </w:rPr>
      <w:fldChar w:fldCharType="end"/>
    </w:r>
    <w:r w:rsidR="002650A3">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15B3" w:rsidRDefault="00026CF8" w:rsidP="00EA15B3">
    <w:pPr>
      <w:pStyle w:val="Header"/>
      <w:spacing w:line="360" w:lineRule="auto"/>
    </w:pPr>
    <w:r>
      <w:tab/>
    </w:r>
    <w:r>
      <w:tab/>
    </w:r>
    <w:r w:rsidR="00976AAD">
      <w:rPr>
        <w:b/>
        <w:bCs/>
        <w:noProof/>
        <w:lang w:val="en-US" w:eastAsia="zh-CN"/>
      </w:rPr>
      <w:drawing>
        <wp:inline distT="0" distB="0" distL="0" distR="0">
          <wp:extent cx="62865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CD0E47"/>
    <w:rsid w:val="00010E30"/>
    <w:rsid w:val="00026CF8"/>
    <w:rsid w:val="00031E64"/>
    <w:rsid w:val="00040DF5"/>
    <w:rsid w:val="00054534"/>
    <w:rsid w:val="000603DE"/>
    <w:rsid w:val="00070258"/>
    <w:rsid w:val="00072B9B"/>
    <w:rsid w:val="00072E16"/>
    <w:rsid w:val="0007323C"/>
    <w:rsid w:val="00086D03"/>
    <w:rsid w:val="000A7051"/>
    <w:rsid w:val="000B7E59"/>
    <w:rsid w:val="000C03C7"/>
    <w:rsid w:val="000D786F"/>
    <w:rsid w:val="000E2185"/>
    <w:rsid w:val="000E3DEE"/>
    <w:rsid w:val="00103C76"/>
    <w:rsid w:val="0011265F"/>
    <w:rsid w:val="00145AA2"/>
    <w:rsid w:val="0016308F"/>
    <w:rsid w:val="00196710"/>
    <w:rsid w:val="00197324"/>
    <w:rsid w:val="001B1CE8"/>
    <w:rsid w:val="001D7070"/>
    <w:rsid w:val="001F5A49"/>
    <w:rsid w:val="00200936"/>
    <w:rsid w:val="00201097"/>
    <w:rsid w:val="00201B6E"/>
    <w:rsid w:val="002240B2"/>
    <w:rsid w:val="00235A29"/>
    <w:rsid w:val="00246864"/>
    <w:rsid w:val="00251766"/>
    <w:rsid w:val="002650A3"/>
    <w:rsid w:val="002861E6"/>
    <w:rsid w:val="002A2700"/>
    <w:rsid w:val="002D6688"/>
    <w:rsid w:val="002E1472"/>
    <w:rsid w:val="002F0890"/>
    <w:rsid w:val="003370B8"/>
    <w:rsid w:val="003666FF"/>
    <w:rsid w:val="003741EE"/>
    <w:rsid w:val="003B2BDA"/>
    <w:rsid w:val="003B55EC"/>
    <w:rsid w:val="003C4471"/>
    <w:rsid w:val="003E504F"/>
    <w:rsid w:val="004326DB"/>
    <w:rsid w:val="0043682E"/>
    <w:rsid w:val="004815EB"/>
    <w:rsid w:val="00496920"/>
    <w:rsid w:val="004B7C9A"/>
    <w:rsid w:val="004E0DC4"/>
    <w:rsid w:val="004E0FB5"/>
    <w:rsid w:val="004E43BB"/>
    <w:rsid w:val="004F178E"/>
    <w:rsid w:val="004F6466"/>
    <w:rsid w:val="00505309"/>
    <w:rsid w:val="0050789B"/>
    <w:rsid w:val="00515771"/>
    <w:rsid w:val="00542A47"/>
    <w:rsid w:val="00543DF8"/>
    <w:rsid w:val="00546101"/>
    <w:rsid w:val="00553DD7"/>
    <w:rsid w:val="0057469A"/>
    <w:rsid w:val="00580814"/>
    <w:rsid w:val="005A03A3"/>
    <w:rsid w:val="005B214C"/>
    <w:rsid w:val="00602D53"/>
    <w:rsid w:val="00613851"/>
    <w:rsid w:val="00651777"/>
    <w:rsid w:val="00674F4F"/>
    <w:rsid w:val="006B0590"/>
    <w:rsid w:val="006B49DA"/>
    <w:rsid w:val="006C025E"/>
    <w:rsid w:val="006C04E0"/>
    <w:rsid w:val="006F4BE3"/>
    <w:rsid w:val="00700636"/>
    <w:rsid w:val="00707216"/>
    <w:rsid w:val="00714EAC"/>
    <w:rsid w:val="007234B1"/>
    <w:rsid w:val="00730B9A"/>
    <w:rsid w:val="00783681"/>
    <w:rsid w:val="007921A7"/>
    <w:rsid w:val="007A5C27"/>
    <w:rsid w:val="007B3DB1"/>
    <w:rsid w:val="007D183E"/>
    <w:rsid w:val="007E304D"/>
    <w:rsid w:val="007E3F13"/>
    <w:rsid w:val="00800012"/>
    <w:rsid w:val="0081513E"/>
    <w:rsid w:val="00823210"/>
    <w:rsid w:val="00840AEB"/>
    <w:rsid w:val="00843445"/>
    <w:rsid w:val="00847D46"/>
    <w:rsid w:val="00854131"/>
    <w:rsid w:val="0085652D"/>
    <w:rsid w:val="0087694B"/>
    <w:rsid w:val="008E03C2"/>
    <w:rsid w:val="008F4F21"/>
    <w:rsid w:val="00904D4A"/>
    <w:rsid w:val="009151BA"/>
    <w:rsid w:val="009277BC"/>
    <w:rsid w:val="00927D57"/>
    <w:rsid w:val="00941D23"/>
    <w:rsid w:val="0095010C"/>
    <w:rsid w:val="00963D9D"/>
    <w:rsid w:val="00976AAD"/>
    <w:rsid w:val="00981517"/>
    <w:rsid w:val="00981B54"/>
    <w:rsid w:val="009842C3"/>
    <w:rsid w:val="009A6BB6"/>
    <w:rsid w:val="009B3F43"/>
    <w:rsid w:val="009C161F"/>
    <w:rsid w:val="009E4AEC"/>
    <w:rsid w:val="009E5A1F"/>
    <w:rsid w:val="009E5BD8"/>
    <w:rsid w:val="009E681E"/>
    <w:rsid w:val="00A34D6F"/>
    <w:rsid w:val="00A41F91"/>
    <w:rsid w:val="00A945CE"/>
    <w:rsid w:val="00A963DF"/>
    <w:rsid w:val="00AC3896"/>
    <w:rsid w:val="00AE6CFA"/>
    <w:rsid w:val="00AF3325"/>
    <w:rsid w:val="00B34CF9"/>
    <w:rsid w:val="00B67004"/>
    <w:rsid w:val="00B90C45"/>
    <w:rsid w:val="00B933BE"/>
    <w:rsid w:val="00BB4069"/>
    <w:rsid w:val="00BD7E5E"/>
    <w:rsid w:val="00BE6574"/>
    <w:rsid w:val="00C25420"/>
    <w:rsid w:val="00C57E2C"/>
    <w:rsid w:val="00C608B7"/>
    <w:rsid w:val="00C66F24"/>
    <w:rsid w:val="00C764BA"/>
    <w:rsid w:val="00C8606D"/>
    <w:rsid w:val="00C9291E"/>
    <w:rsid w:val="00CA1D94"/>
    <w:rsid w:val="00CA3F44"/>
    <w:rsid w:val="00CA4E58"/>
    <w:rsid w:val="00CA5FE6"/>
    <w:rsid w:val="00CB3771"/>
    <w:rsid w:val="00CB5153"/>
    <w:rsid w:val="00CC0DA0"/>
    <w:rsid w:val="00CD0E47"/>
    <w:rsid w:val="00CF6752"/>
    <w:rsid w:val="00D10BA0"/>
    <w:rsid w:val="00D2339B"/>
    <w:rsid w:val="00D24EB5"/>
    <w:rsid w:val="00D41571"/>
    <w:rsid w:val="00D416A0"/>
    <w:rsid w:val="00D47672"/>
    <w:rsid w:val="00D5123C"/>
    <w:rsid w:val="00D51C9E"/>
    <w:rsid w:val="00D55560"/>
    <w:rsid w:val="00D61C5A"/>
    <w:rsid w:val="00DB3A18"/>
    <w:rsid w:val="00DE66A5"/>
    <w:rsid w:val="00DF0A6C"/>
    <w:rsid w:val="00DF2B50"/>
    <w:rsid w:val="00E003F5"/>
    <w:rsid w:val="00E04C86"/>
    <w:rsid w:val="00E14C1B"/>
    <w:rsid w:val="00E20F30"/>
    <w:rsid w:val="00E27BBA"/>
    <w:rsid w:val="00E34CD1"/>
    <w:rsid w:val="00E35E8F"/>
    <w:rsid w:val="00E438E8"/>
    <w:rsid w:val="00E520E2"/>
    <w:rsid w:val="00E64254"/>
    <w:rsid w:val="00EA15B3"/>
    <w:rsid w:val="00EB2358"/>
    <w:rsid w:val="00EB3EB8"/>
    <w:rsid w:val="00F42C8C"/>
    <w:rsid w:val="00F468C5"/>
    <w:rsid w:val="00F52F39"/>
    <w:rsid w:val="00F533DA"/>
    <w:rsid w:val="00F55EAB"/>
    <w:rsid w:val="00F914DD"/>
    <w:rsid w:val="00F938C0"/>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73BBE2-F9F6-4C5E-B2D3-95BC4476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uiPriority w:val="99"/>
    <w:semiHidden/>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paragraph" w:styleId="BodyTextIndent2">
    <w:name w:val="Body Text Indent 2"/>
    <w:basedOn w:val="Normal"/>
    <w:link w:val="BodyTextIndent2Char"/>
    <w:rsid w:val="00CD0E47"/>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CD0E47"/>
    <w:rPr>
      <w:rFonts w:ascii="Times New Roman" w:hAnsi="Times New Roman" w:cs="Times New Roman"/>
      <w:sz w:val="24"/>
      <w:lang w:val="en-US" w:eastAsia="en-US"/>
    </w:rPr>
  </w:style>
  <w:style w:type="paragraph" w:customStyle="1" w:styleId="Reasons">
    <w:name w:val="Reasons"/>
    <w:basedOn w:val="Normal"/>
    <w:qFormat/>
    <w:rsid w:val="00CD0E47"/>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character" w:customStyle="1" w:styleId="NormalaftertitleChar">
    <w:name w:val="Normal_after_title Char"/>
    <w:basedOn w:val="DefaultParagraphFont"/>
    <w:link w:val="Normalaftertitle"/>
    <w:rsid w:val="000B7E59"/>
    <w:rPr>
      <w:sz w:val="22"/>
      <w:szCs w:val="22"/>
      <w:lang w:val="es-ES_tradnl" w:eastAsia="en-US"/>
    </w:rPr>
  </w:style>
  <w:style w:type="paragraph" w:customStyle="1" w:styleId="AnnexNotitle0">
    <w:name w:val="Annex_No &amp; title"/>
    <w:basedOn w:val="Normal"/>
    <w:next w:val="Normalaftertitle"/>
    <w:rsid w:val="000B7E59"/>
    <w:pPr>
      <w:keepNext/>
      <w:keepLines/>
      <w:spacing w:before="480" w:line="240" w:lineRule="auto"/>
      <w:jc w:val="center"/>
    </w:pPr>
    <w:rPr>
      <w:rFonts w:ascii="Times New Roman" w:hAnsi="Times New Roman" w:cs="Times New Roman"/>
      <w:b/>
      <w:sz w:val="28"/>
      <w:szCs w:val="20"/>
    </w:rPr>
  </w:style>
  <w:style w:type="paragraph" w:customStyle="1" w:styleId="QuestionTitleDate">
    <w:name w:val="Question_Title/Date"/>
    <w:basedOn w:val="Normal"/>
    <w:next w:val="Normal"/>
    <w:rsid w:val="00A945CE"/>
    <w:pPr>
      <w:keepNext/>
      <w:keepLines/>
      <w:tabs>
        <w:tab w:val="clear" w:pos="794"/>
        <w:tab w:val="clear" w:pos="1191"/>
        <w:tab w:val="clear" w:pos="1588"/>
        <w:tab w:val="clear" w:pos="1985"/>
        <w:tab w:val="right" w:pos="9696"/>
      </w:tabs>
      <w:spacing w:before="480" w:line="240" w:lineRule="auto"/>
      <w:jc w:val="right"/>
      <w:textAlignment w:val="auto"/>
    </w:pPr>
    <w:rPr>
      <w:rFonts w:ascii="Times New Roman" w:eastAsia="SimSu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itu.int/md/R12-SG04-C-0001/e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 correspondence.dotx</Template>
  <TotalTime>17</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Christe-Baldan, Susana</dc:creator>
  <cp:lastModifiedBy>Jovet, Nathalie</cp:lastModifiedBy>
  <cp:revision>12</cp:revision>
  <cp:lastPrinted>2010-01-19T09:33:00Z</cp:lastPrinted>
  <dcterms:created xsi:type="dcterms:W3CDTF">2014-09-25T14:33:00Z</dcterms:created>
  <dcterms:modified xsi:type="dcterms:W3CDTF">2014-09-30T09:18:00Z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