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245161" w:rsidTr="006A5F23">
        <w:tc>
          <w:tcPr>
            <w:tcW w:w="9889" w:type="dxa"/>
            <w:gridSpan w:val="3"/>
            <w:shd w:val="clear" w:color="auto" w:fill="auto"/>
          </w:tcPr>
          <w:p w:rsidR="00154A1B" w:rsidRPr="00245161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245161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245161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245161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245161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245161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245161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245161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245161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245161" w:rsidTr="006A5F23">
        <w:tc>
          <w:tcPr>
            <w:tcW w:w="9889" w:type="dxa"/>
            <w:gridSpan w:val="3"/>
            <w:shd w:val="clear" w:color="auto" w:fill="auto"/>
          </w:tcPr>
          <w:p w:rsidR="00B83DAF" w:rsidRPr="00245161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245161" w:rsidTr="00BF3448">
        <w:tc>
          <w:tcPr>
            <w:tcW w:w="6912" w:type="dxa"/>
            <w:gridSpan w:val="2"/>
            <w:shd w:val="clear" w:color="auto" w:fill="auto"/>
          </w:tcPr>
          <w:p w:rsidR="00B77485" w:rsidRPr="00245161" w:rsidRDefault="00B77485" w:rsidP="00CF043D">
            <w:pPr>
              <w:rPr>
                <w:rtl/>
                <w:lang w:bidi="ar-SA"/>
              </w:rPr>
            </w:pPr>
            <w:r w:rsidRPr="00245161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245161">
              <w:rPr>
                <w:rFonts w:hint="cs"/>
                <w:rtl/>
                <w:lang w:bidi="ar-AE"/>
              </w:rPr>
              <w:t xml:space="preserve">الإدارية </w:t>
            </w:r>
            <w:r w:rsidRPr="00245161">
              <w:rPr>
                <w:rFonts w:hint="cs"/>
                <w:rtl/>
                <w:lang w:bidi="ar-AE"/>
              </w:rPr>
              <w:t>ال</w:t>
            </w:r>
            <w:r w:rsidR="003F47F3" w:rsidRPr="00245161">
              <w:rPr>
                <w:rFonts w:hint="cs"/>
                <w:rtl/>
                <w:lang w:bidi="ar-AE"/>
              </w:rPr>
              <w:t>‍</w:t>
            </w:r>
            <w:r w:rsidRPr="00245161">
              <w:rPr>
                <w:rFonts w:hint="cs"/>
                <w:rtl/>
                <w:lang w:bidi="ar-AE"/>
              </w:rPr>
              <w:t>معممة</w:t>
            </w:r>
            <w:r w:rsidR="0040641C" w:rsidRPr="00245161">
              <w:rPr>
                <w:rtl/>
                <w:lang w:bidi="ar-AE"/>
              </w:rPr>
              <w:tab/>
            </w:r>
            <w:r w:rsidR="0040641C" w:rsidRPr="00245161">
              <w:rPr>
                <w:rFonts w:hint="cs"/>
                <w:rtl/>
                <w:lang w:bidi="ar-AE"/>
              </w:rPr>
              <w:br/>
            </w:r>
            <w:r w:rsidR="00FA3DAF" w:rsidRPr="00245161">
              <w:rPr>
                <w:b/>
                <w:bCs/>
              </w:rPr>
              <w:t>CACE/68</w:t>
            </w:r>
            <w:r w:rsidR="00CF043D" w:rsidRPr="00245161">
              <w:rPr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83DAF" w:rsidRPr="00245161" w:rsidRDefault="00FA3DAF" w:rsidP="00FA3DAF">
            <w:pPr>
              <w:jc w:val="right"/>
            </w:pPr>
            <w:r w:rsidRPr="00245161">
              <w:t>29</w:t>
            </w:r>
            <w:r w:rsidRPr="00245161">
              <w:rPr>
                <w:rFonts w:hint="cs"/>
                <w:rtl/>
                <w:lang w:bidi="ar-SA"/>
              </w:rPr>
              <w:t xml:space="preserve"> يوليو </w:t>
            </w:r>
            <w:r w:rsidRPr="00245161">
              <w:t>2014</w:t>
            </w:r>
          </w:p>
        </w:tc>
      </w:tr>
      <w:tr w:rsidR="00B77485" w:rsidRPr="00245161" w:rsidTr="006A5F23">
        <w:tc>
          <w:tcPr>
            <w:tcW w:w="9889" w:type="dxa"/>
            <w:gridSpan w:val="3"/>
            <w:shd w:val="clear" w:color="auto" w:fill="auto"/>
          </w:tcPr>
          <w:p w:rsidR="00B77485" w:rsidRPr="00245161" w:rsidRDefault="00B77485" w:rsidP="002F5120">
            <w:pPr>
              <w:spacing w:before="0"/>
            </w:pPr>
          </w:p>
        </w:tc>
      </w:tr>
      <w:tr w:rsidR="00B77485" w:rsidRPr="00245161" w:rsidTr="006A5F23">
        <w:tc>
          <w:tcPr>
            <w:tcW w:w="9889" w:type="dxa"/>
            <w:gridSpan w:val="3"/>
            <w:shd w:val="clear" w:color="auto" w:fill="auto"/>
          </w:tcPr>
          <w:p w:rsidR="00B77485" w:rsidRPr="00245161" w:rsidRDefault="00B77485" w:rsidP="002F5120">
            <w:pPr>
              <w:spacing w:before="0"/>
            </w:pPr>
          </w:p>
        </w:tc>
      </w:tr>
      <w:tr w:rsidR="00B77485" w:rsidRPr="00245161" w:rsidTr="006A5F23">
        <w:tc>
          <w:tcPr>
            <w:tcW w:w="9889" w:type="dxa"/>
            <w:gridSpan w:val="3"/>
            <w:shd w:val="clear" w:color="auto" w:fill="auto"/>
          </w:tcPr>
          <w:p w:rsidR="00B77485" w:rsidRPr="00245161" w:rsidRDefault="00CF043D" w:rsidP="00CF043D">
            <w:pPr>
              <w:spacing w:after="120"/>
              <w:jc w:val="left"/>
              <w:rPr>
                <w:b/>
                <w:bCs/>
                <w:rtl/>
              </w:rPr>
            </w:pPr>
            <w:r w:rsidRPr="00245161">
              <w:rPr>
                <w:rFonts w:hint="cs"/>
                <w:b/>
                <w:bCs/>
                <w:rtl/>
                <w:lang w:bidi="ar-SA"/>
              </w:rPr>
              <w:t>إلى إدارات الدول الأعضاء في الات‍حاد وأعضاء قطاع الاتصالات الراديوية وال‍منتسبين إليه</w:t>
            </w:r>
            <w:r w:rsidRPr="00245161">
              <w:rPr>
                <w:b/>
                <w:bCs/>
                <w:rtl/>
                <w:lang w:bidi="ar-SA"/>
              </w:rPr>
              <w:br/>
            </w:r>
            <w:r w:rsidRPr="00245161">
              <w:rPr>
                <w:rFonts w:hint="cs"/>
                <w:b/>
                <w:bCs/>
                <w:rtl/>
                <w:lang w:bidi="ar-SA"/>
              </w:rPr>
              <w:t>ال‍مشاركين في أعمال ل‍جنة</w:t>
            </w:r>
            <w:r w:rsidRPr="00245161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245161">
              <w:rPr>
                <w:rFonts w:hint="cs"/>
                <w:b/>
                <w:bCs/>
                <w:rtl/>
                <w:lang w:bidi="ar-SA"/>
              </w:rPr>
              <w:t>الدراسات</w:t>
            </w:r>
            <w:r w:rsidRPr="00245161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245161">
              <w:rPr>
                <w:b/>
                <w:bCs/>
                <w:lang w:val="en-GB"/>
              </w:rPr>
              <w:t>4</w:t>
            </w:r>
            <w:r w:rsidRPr="00245161">
              <w:rPr>
                <w:rFonts w:hint="cs"/>
                <w:b/>
                <w:bCs/>
                <w:rtl/>
                <w:lang w:bidi="ar-SA"/>
              </w:rPr>
              <w:t xml:space="preserve"> للاتصالات الراديوية</w:t>
            </w:r>
          </w:p>
        </w:tc>
      </w:tr>
      <w:tr w:rsidR="00FB05F7" w:rsidRPr="00245161" w:rsidTr="006A5F23">
        <w:tc>
          <w:tcPr>
            <w:tcW w:w="9889" w:type="dxa"/>
            <w:gridSpan w:val="3"/>
            <w:shd w:val="clear" w:color="auto" w:fill="auto"/>
          </w:tcPr>
          <w:p w:rsidR="00FB05F7" w:rsidRPr="00245161" w:rsidRDefault="00FB05F7" w:rsidP="00B14E56">
            <w:pPr>
              <w:spacing w:before="0"/>
            </w:pPr>
          </w:p>
        </w:tc>
      </w:tr>
      <w:tr w:rsidR="0096482F" w:rsidRPr="00245161" w:rsidTr="006A5F23">
        <w:tc>
          <w:tcPr>
            <w:tcW w:w="9889" w:type="dxa"/>
            <w:gridSpan w:val="3"/>
            <w:shd w:val="clear" w:color="auto" w:fill="auto"/>
          </w:tcPr>
          <w:p w:rsidR="0096482F" w:rsidRPr="00245161" w:rsidRDefault="0096482F" w:rsidP="00B14E56">
            <w:pPr>
              <w:spacing w:before="0"/>
            </w:pPr>
          </w:p>
        </w:tc>
      </w:tr>
      <w:tr w:rsidR="00B77485" w:rsidRPr="00245161" w:rsidTr="00B77485">
        <w:tc>
          <w:tcPr>
            <w:tcW w:w="1383" w:type="dxa"/>
            <w:shd w:val="clear" w:color="auto" w:fill="auto"/>
          </w:tcPr>
          <w:p w:rsidR="00B77485" w:rsidRPr="00245161" w:rsidRDefault="00B77485" w:rsidP="008D09DD">
            <w:pPr>
              <w:spacing w:before="60" w:after="60"/>
              <w:rPr>
                <w:lang w:val="fr-FR"/>
              </w:rPr>
            </w:pPr>
            <w:r w:rsidRPr="00245161">
              <w:rPr>
                <w:rtl/>
              </w:rPr>
              <w:t>ال</w:t>
            </w:r>
            <w:r w:rsidR="00125B91" w:rsidRPr="00245161">
              <w:rPr>
                <w:rFonts w:hint="cs"/>
                <w:rtl/>
              </w:rPr>
              <w:t>‍</w:t>
            </w:r>
            <w:r w:rsidRPr="00245161">
              <w:rPr>
                <w:rtl/>
              </w:rPr>
              <w:t>موضوع</w:t>
            </w:r>
            <w:r w:rsidRPr="00245161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DC004A" w:rsidRPr="00245161" w:rsidRDefault="00CF043D" w:rsidP="00CF04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</w:rPr>
            </w:pPr>
            <w:r w:rsidRPr="00245161">
              <w:rPr>
                <w:rFonts w:hint="cs"/>
                <w:b/>
                <w:bCs/>
                <w:rtl/>
                <w:lang w:bidi="ar-SA"/>
              </w:rPr>
              <w:t>اجتماع ل‍جنة الدراسات</w:t>
            </w:r>
            <w:r w:rsidRPr="00245161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245161">
              <w:rPr>
                <w:b/>
                <w:bCs/>
                <w:lang w:val="en-GB"/>
              </w:rPr>
              <w:t>4</w:t>
            </w:r>
            <w:r w:rsidRPr="00245161">
              <w:rPr>
                <w:rFonts w:hint="cs"/>
                <w:b/>
                <w:bCs/>
                <w:rtl/>
                <w:lang w:bidi="ar-SA"/>
              </w:rPr>
              <w:t xml:space="preserve"> للاتصالات الراديوية (ال‍خدمات الساتلية)</w:t>
            </w:r>
          </w:p>
          <w:p w:rsidR="00195371" w:rsidRPr="00245161" w:rsidRDefault="005355D7" w:rsidP="00B146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b/>
                <w:bCs/>
                <w:rtl/>
                <w:lang w:val="fr-FR"/>
              </w:rPr>
            </w:pPr>
            <w:r w:rsidRPr="00245161">
              <w:rPr>
                <w:rFonts w:hint="cs"/>
                <w:b/>
                <w:bCs/>
                <w:rtl/>
              </w:rPr>
              <w:t>-</w:t>
            </w:r>
            <w:r w:rsidRPr="00245161">
              <w:rPr>
                <w:b/>
                <w:bCs/>
                <w:rtl/>
              </w:rPr>
              <w:tab/>
            </w:r>
            <w:r w:rsidR="00CF043D" w:rsidRPr="00245161">
              <w:rPr>
                <w:rFonts w:hint="cs"/>
                <w:b/>
                <w:bCs/>
                <w:rtl/>
              </w:rPr>
              <w:t xml:space="preserve">اقتراح الموافقة على مشروع توصية جديدة </w:t>
            </w:r>
            <w:r w:rsidR="00CF043D" w:rsidRPr="00245161">
              <w:rPr>
                <w:rFonts w:hint="cs"/>
                <w:b/>
                <w:bCs/>
                <w:rtl/>
                <w:lang w:bidi="ar-SA"/>
              </w:rPr>
              <w:t xml:space="preserve">ومشروعي </w:t>
            </w:r>
            <w:r w:rsidR="00CF043D" w:rsidRPr="00245161">
              <w:rPr>
                <w:rFonts w:hint="cs"/>
                <w:b/>
                <w:bCs/>
                <w:rtl/>
              </w:rPr>
              <w:t>مراجعة توصيتين لقطاع الاتصالات الراديوية</w:t>
            </w:r>
          </w:p>
        </w:tc>
      </w:tr>
      <w:tr w:rsidR="00B77485" w:rsidRPr="00245161" w:rsidTr="00B77485">
        <w:tc>
          <w:tcPr>
            <w:tcW w:w="1383" w:type="dxa"/>
            <w:shd w:val="clear" w:color="auto" w:fill="auto"/>
          </w:tcPr>
          <w:p w:rsidR="00B77485" w:rsidRPr="00245161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245161" w:rsidRDefault="00B77485" w:rsidP="002A4BA8">
            <w:pPr>
              <w:rPr>
                <w:lang w:val="fr-FR"/>
              </w:rPr>
            </w:pPr>
          </w:p>
        </w:tc>
      </w:tr>
      <w:tr w:rsidR="00B77485" w:rsidRPr="00245161" w:rsidTr="00B77485">
        <w:tc>
          <w:tcPr>
            <w:tcW w:w="1383" w:type="dxa"/>
            <w:shd w:val="clear" w:color="auto" w:fill="auto"/>
          </w:tcPr>
          <w:p w:rsidR="00B77485" w:rsidRPr="00245161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245161" w:rsidRDefault="00B77485" w:rsidP="0040641C">
            <w:pPr>
              <w:rPr>
                <w:lang w:val="fr-FR"/>
              </w:rPr>
            </w:pPr>
          </w:p>
        </w:tc>
      </w:tr>
    </w:tbl>
    <w:p w:rsidR="00FA3DAF" w:rsidRPr="00EF1DE3" w:rsidRDefault="00FA3DAF" w:rsidP="00FA3DAF">
      <w:pPr>
        <w:spacing w:before="1080"/>
        <w:rPr>
          <w:rtl/>
        </w:rPr>
      </w:pPr>
      <w:bookmarkStart w:id="1" w:name="CurrentLocation"/>
      <w:bookmarkEnd w:id="1"/>
      <w:r w:rsidRPr="00B14618">
        <w:rPr>
          <w:rFonts w:hint="cs"/>
          <w:rtl/>
        </w:rPr>
        <w:t>ت‍حية طيبة وبعد،</w:t>
      </w:r>
    </w:p>
    <w:p w:rsidR="00CF043D" w:rsidRPr="00CF043D" w:rsidRDefault="00CF043D" w:rsidP="00885D63">
      <w:pPr>
        <w:rPr>
          <w:rtl/>
        </w:rPr>
      </w:pPr>
      <w:r w:rsidRPr="00CF043D">
        <w:rPr>
          <w:rFonts w:hint="cs"/>
          <w:rtl/>
        </w:rPr>
        <w:t>اعتمدت 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 xml:space="preserve">جنة الدراسات </w:t>
      </w:r>
      <w:r w:rsidRPr="00CF043D">
        <w:t>4</w:t>
      </w:r>
      <w:r w:rsidRPr="00E87DCC">
        <w:rPr>
          <w:rFonts w:hint="cs"/>
          <w:rtl/>
        </w:rPr>
        <w:t xml:space="preserve"> </w:t>
      </w:r>
      <w:r w:rsidRPr="00CF043D">
        <w:rPr>
          <w:rFonts w:hint="cs"/>
          <w:rtl/>
        </w:rPr>
        <w:t>للاتصالات الراديوية في اجتماعها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 xml:space="preserve">منعقد في </w:t>
      </w:r>
      <w:r w:rsidRPr="00CF043D">
        <w:t>11</w:t>
      </w:r>
      <w:r w:rsidRPr="00E87DCC">
        <w:rPr>
          <w:rFonts w:hint="cs"/>
          <w:rtl/>
        </w:rPr>
        <w:t xml:space="preserve"> </w:t>
      </w:r>
      <w:r w:rsidRPr="00CF043D">
        <w:rPr>
          <w:rFonts w:hint="cs"/>
          <w:rtl/>
        </w:rPr>
        <w:t xml:space="preserve">يوليو </w:t>
      </w:r>
      <w:r w:rsidRPr="00CF043D">
        <w:t>2014</w:t>
      </w:r>
      <w:r w:rsidRPr="00CF043D">
        <w:rPr>
          <w:rFonts w:hint="cs"/>
          <w:rtl/>
        </w:rPr>
        <w:t xml:space="preserve">، </w:t>
      </w:r>
      <w:r w:rsidR="00885D63">
        <w:rPr>
          <w:rFonts w:hint="cs"/>
          <w:rtl/>
        </w:rPr>
        <w:t>نصوص</w:t>
      </w:r>
      <w:r w:rsidRPr="00CF043D">
        <w:rPr>
          <w:rFonts w:hint="cs"/>
          <w:rtl/>
        </w:rPr>
        <w:t xml:space="preserve"> مشروع توصية جديدة ومشروعي مراجعة توصيتين لقطاع الاتصالات الراديوية واتفقت على تطبيق إجراء القرار</w:t>
      </w:r>
      <w:r w:rsidRPr="00CF043D">
        <w:rPr>
          <w:rFonts w:hint="eastAsia"/>
          <w:rtl/>
        </w:rPr>
        <w:t> </w:t>
      </w:r>
      <w:r w:rsidRPr="00CF043D">
        <w:rPr>
          <w:lang w:val="en-GB"/>
        </w:rPr>
        <w:t>ITU</w:t>
      </w:r>
      <w:r w:rsidRPr="00CF043D">
        <w:rPr>
          <w:lang w:val="en-GB"/>
        </w:rPr>
        <w:noBreakHyphen/>
        <w:t>R 1</w:t>
      </w:r>
      <w:r w:rsidRPr="00CF043D">
        <w:rPr>
          <w:lang w:val="en-GB"/>
        </w:rPr>
        <w:noBreakHyphen/>
        <w:t>6</w:t>
      </w:r>
      <w:r w:rsidRPr="00CF043D">
        <w:rPr>
          <w:rFonts w:hint="cs"/>
          <w:rtl/>
        </w:rPr>
        <w:t xml:space="preserve"> (انظر الفقرة </w:t>
      </w:r>
      <w:r w:rsidRPr="00CF043D">
        <w:t>5.4.10</w:t>
      </w:r>
      <w:r w:rsidRPr="00CF043D">
        <w:rPr>
          <w:rFonts w:hint="cs"/>
          <w:rtl/>
        </w:rPr>
        <w:t>)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متعلق بال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موافقة على التوصيات بالتشاور. وترد في ملحق هذه الرسالة عناو</w:t>
      </w:r>
      <w:r w:rsidR="007E3C9C">
        <w:rPr>
          <w:rFonts w:hint="cs"/>
          <w:rtl/>
        </w:rPr>
        <w:t>ين مشاريع التوصيات وملخصات لها.</w:t>
      </w:r>
    </w:p>
    <w:p w:rsidR="00CF043D" w:rsidRPr="00CF043D" w:rsidRDefault="00CF043D" w:rsidP="007E3C9C">
      <w:pPr>
        <w:rPr>
          <w:rtl/>
        </w:rPr>
      </w:pPr>
      <w:r w:rsidRPr="00AD18C6">
        <w:rPr>
          <w:rFonts w:hint="cs"/>
          <w:spacing w:val="6"/>
          <w:rtl/>
        </w:rPr>
        <w:t>وبالنظر إلى أحكام الفقرة </w:t>
      </w:r>
      <w:r w:rsidRPr="00AD18C6">
        <w:rPr>
          <w:spacing w:val="6"/>
        </w:rPr>
        <w:t>1.5.4.10</w:t>
      </w:r>
      <w:r w:rsidRPr="00AD18C6">
        <w:rPr>
          <w:rFonts w:hint="cs"/>
          <w:spacing w:val="6"/>
          <w:rtl/>
        </w:rPr>
        <w:t xml:space="preserve"> من القرار </w:t>
      </w:r>
      <w:r w:rsidRPr="00AD18C6">
        <w:rPr>
          <w:spacing w:val="6"/>
          <w:lang w:val="en-GB"/>
        </w:rPr>
        <w:t>ITU</w:t>
      </w:r>
      <w:r w:rsidRPr="00AD18C6">
        <w:rPr>
          <w:spacing w:val="6"/>
          <w:lang w:val="en-GB"/>
        </w:rPr>
        <w:noBreakHyphen/>
        <w:t>R 1</w:t>
      </w:r>
      <w:r w:rsidRPr="00AD18C6">
        <w:rPr>
          <w:spacing w:val="6"/>
          <w:lang w:val="en-GB"/>
        </w:rPr>
        <w:noBreakHyphen/>
        <w:t>6</w:t>
      </w:r>
      <w:r w:rsidRPr="00AD18C6">
        <w:rPr>
          <w:rFonts w:hint="cs"/>
          <w:spacing w:val="6"/>
          <w:rtl/>
        </w:rPr>
        <w:t>، يرجى من الدول الأعضاء إبلاغ الأمانة </w:t>
      </w:r>
      <w:r w:rsidRPr="00AD18C6">
        <w:rPr>
          <w:spacing w:val="6"/>
        </w:rPr>
        <w:t>(</w:t>
      </w:r>
      <w:hyperlink r:id="rId8" w:history="1">
        <w:r w:rsidRPr="00AD18C6">
          <w:rPr>
            <w:rStyle w:val="Hyperlink"/>
            <w:spacing w:val="6"/>
            <w:lang w:val="en-GB"/>
          </w:rPr>
          <w:t>brsgd@itu.int</w:t>
        </w:r>
      </w:hyperlink>
      <w:r w:rsidRPr="00AD18C6">
        <w:rPr>
          <w:spacing w:val="6"/>
        </w:rPr>
        <w:t>)</w:t>
      </w:r>
      <w:r w:rsidRPr="00AD18C6">
        <w:rPr>
          <w:rFonts w:hint="cs"/>
          <w:spacing w:val="6"/>
          <w:rtl/>
        </w:rPr>
        <w:t xml:space="preserve"> ب</w:t>
      </w:r>
      <w:r w:rsidR="007E3C9C">
        <w:rPr>
          <w:rFonts w:hint="cs"/>
          <w:spacing w:val="6"/>
          <w:rtl/>
        </w:rPr>
        <w:t>‍</w:t>
      </w:r>
      <w:r w:rsidRPr="00AD18C6">
        <w:rPr>
          <w:rFonts w:hint="cs"/>
          <w:spacing w:val="6"/>
          <w:rtl/>
        </w:rPr>
        <w:t>حلول</w:t>
      </w:r>
      <w:r w:rsidRPr="00CF043D">
        <w:rPr>
          <w:rFonts w:hint="cs"/>
          <w:rtl/>
        </w:rPr>
        <w:t xml:space="preserve"> </w:t>
      </w:r>
      <w:r w:rsidRPr="00AD18C6">
        <w:rPr>
          <w:u w:val="single"/>
        </w:rPr>
        <w:t>29</w:t>
      </w:r>
      <w:r w:rsidRPr="00AD18C6">
        <w:rPr>
          <w:rFonts w:hint="cs"/>
          <w:u w:val="single"/>
          <w:rtl/>
        </w:rPr>
        <w:t xml:space="preserve"> سبتمبر</w:t>
      </w:r>
      <w:r w:rsidRPr="00AD18C6">
        <w:rPr>
          <w:rFonts w:hint="eastAsia"/>
          <w:u w:val="single"/>
          <w:rtl/>
        </w:rPr>
        <w:t> </w:t>
      </w:r>
      <w:r w:rsidRPr="00AD18C6">
        <w:rPr>
          <w:u w:val="single"/>
        </w:rPr>
        <w:t>2014</w:t>
      </w:r>
      <w:r w:rsidRPr="00CF043D">
        <w:rPr>
          <w:rFonts w:hint="cs"/>
          <w:rtl/>
        </w:rPr>
        <w:t xml:space="preserve"> ما إذا كانت توافق أو لا</w:t>
      </w:r>
      <w:r w:rsidR="007E3C9C">
        <w:rPr>
          <w:rFonts w:hint="eastAsia"/>
          <w:rtl/>
        </w:rPr>
        <w:t> </w:t>
      </w:r>
      <w:r w:rsidRPr="00CF043D">
        <w:rPr>
          <w:rFonts w:hint="cs"/>
          <w:rtl/>
        </w:rPr>
        <w:t>توافق على ال</w:t>
      </w:r>
      <w:r w:rsidR="00A0393D">
        <w:rPr>
          <w:rFonts w:hint="cs"/>
          <w:rtl/>
        </w:rPr>
        <w:t>‍</w:t>
      </w:r>
      <w:r w:rsidRPr="00CF043D">
        <w:rPr>
          <w:rFonts w:hint="cs"/>
          <w:rtl/>
        </w:rPr>
        <w:t>مقترحات أعلاه.</w:t>
      </w:r>
    </w:p>
    <w:p w:rsidR="00CF043D" w:rsidRPr="00CF043D" w:rsidRDefault="00CF043D" w:rsidP="00CF043D">
      <w:pPr>
        <w:rPr>
          <w:rtl/>
        </w:rPr>
      </w:pPr>
      <w:r w:rsidRPr="00CF043D">
        <w:rPr>
          <w:rFonts w:hint="cs"/>
          <w:rtl/>
        </w:rPr>
        <w:t>ويرجى من أي دولة عضو تعترض على اعتماد مشروع توصية أن ت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خطر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مدير ورئيس 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جنة الدراسات بأسباب اعتراضها.</w:t>
      </w:r>
    </w:p>
    <w:p w:rsidR="00F373C8" w:rsidRPr="00EF1DE3" w:rsidRDefault="00CF043D" w:rsidP="00B14618">
      <w:pPr>
        <w:rPr>
          <w:rtl/>
          <w:lang w:bidi="ar-SA"/>
        </w:rPr>
      </w:pPr>
      <w:r w:rsidRPr="00CF043D">
        <w:rPr>
          <w:rFonts w:hint="cs"/>
          <w:rtl/>
        </w:rPr>
        <w:t>وبعد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مهلة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محددة أعلاه، ستعلن نتائج هذه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 xml:space="preserve">مشاورات في </w:t>
      </w:r>
      <w:r w:rsidR="00B14618">
        <w:rPr>
          <w:rFonts w:hint="cs"/>
          <w:rtl/>
        </w:rPr>
        <w:t>رسالة</w:t>
      </w:r>
      <w:r w:rsidRPr="00CF043D">
        <w:rPr>
          <w:rFonts w:hint="cs"/>
          <w:rtl/>
        </w:rPr>
        <w:t xml:space="preserve"> إدارية معممة وستنشر التوصيات التي ت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مت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موافقة عليها بأسرع وقت م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مكن عملياً (انظر </w:t>
      </w:r>
      <w:hyperlink r:id="rId9" w:history="1">
        <w:r w:rsidRPr="00CF043D">
          <w:rPr>
            <w:rStyle w:val="Hyperlink"/>
            <w:lang w:val="en-GB"/>
          </w:rPr>
          <w:t>http://www.itu.int/pub/R-REC</w:t>
        </w:r>
      </w:hyperlink>
      <w:r w:rsidRPr="00CF043D">
        <w:rPr>
          <w:rFonts w:hint="cs"/>
          <w:rtl/>
        </w:rPr>
        <w:t>).</w:t>
      </w:r>
    </w:p>
    <w:p w:rsidR="00F373C8" w:rsidRPr="00EF1DE3" w:rsidRDefault="00CF043D" w:rsidP="00AD18C6">
      <w:pPr>
        <w:keepNext/>
        <w:keepLines/>
        <w:rPr>
          <w:rtl/>
          <w:lang w:bidi="ar-SA"/>
        </w:rPr>
      </w:pPr>
      <w:r w:rsidRPr="00CF043D">
        <w:rPr>
          <w:rFonts w:hint="cs"/>
          <w:rtl/>
        </w:rPr>
        <w:lastRenderedPageBreak/>
        <w:t>ويرجى من أي منظمة عضو في الات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حاد تعلم بوجود براءة اختراع لديها أو لدى غيرها تغطي كلياً أو جزئياً عناصر مشاريع التوصيات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مذكورة في هذه الرسالة أن تبلغ الأمانة بهذه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معلومات بأسرع ما ي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مكن. وترد السياسة 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 xml:space="preserve">مشتركة لبراءات الاختراع لقطاعي تقييس </w:t>
      </w:r>
      <w:r w:rsidRPr="00CF043D">
        <w:rPr>
          <w:rFonts w:hint="cs"/>
          <w:spacing w:val="6"/>
          <w:rtl/>
        </w:rPr>
        <w:t>الاتصالات والاتصالات الراديوية وال</w:t>
      </w:r>
      <w:r w:rsidR="007E3C9C">
        <w:rPr>
          <w:rFonts w:hint="cs"/>
          <w:spacing w:val="6"/>
          <w:rtl/>
        </w:rPr>
        <w:t>‍</w:t>
      </w:r>
      <w:r w:rsidRPr="00CF043D">
        <w:rPr>
          <w:rFonts w:hint="cs"/>
          <w:spacing w:val="6"/>
          <w:rtl/>
        </w:rPr>
        <w:t>منظمة الدولية للتوحيد القياسي واللجنة الكهرتقنية الدولية </w:t>
      </w:r>
      <w:r w:rsidRPr="00CF043D">
        <w:rPr>
          <w:spacing w:val="6"/>
        </w:rPr>
        <w:t>(ITU</w:t>
      </w:r>
      <w:r w:rsidRPr="00CF043D">
        <w:rPr>
          <w:spacing w:val="6"/>
        </w:rPr>
        <w:noBreakHyphen/>
        <w:t>T/ITU</w:t>
      </w:r>
      <w:r w:rsidRPr="00CF043D">
        <w:rPr>
          <w:spacing w:val="6"/>
        </w:rPr>
        <w:noBreakHyphen/>
        <w:t>R/ISO/IEC)</w:t>
      </w:r>
      <w:r w:rsidRPr="00CF043D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CF043D">
        <w:rPr>
          <w:rFonts w:hint="cs"/>
          <w:rtl/>
        </w:rPr>
        <w:t>ال</w:t>
      </w:r>
      <w:r w:rsidR="007E3C9C">
        <w:rPr>
          <w:rFonts w:hint="cs"/>
          <w:rtl/>
        </w:rPr>
        <w:t>‍</w:t>
      </w:r>
      <w:r w:rsidRPr="00CF043D">
        <w:rPr>
          <w:rFonts w:hint="cs"/>
          <w:rtl/>
        </w:rPr>
        <w:t>موقع</w:t>
      </w:r>
      <w:r w:rsidRPr="00CF043D">
        <w:rPr>
          <w:rFonts w:hint="eastAsia"/>
          <w:rtl/>
        </w:rPr>
        <w:t> </w:t>
      </w:r>
      <w:hyperlink r:id="rId10" w:history="1">
        <w:r w:rsidR="00AD18C6" w:rsidRPr="00AD18C6">
          <w:rPr>
            <w:rStyle w:val="Hyperlink"/>
          </w:rPr>
          <w:t>http://www.itu.int/en/ITU-T/ipr/Pages/policy.aspx</w:t>
        </w:r>
      </w:hyperlink>
      <w:r w:rsidRPr="00CF043D">
        <w:rPr>
          <w:rFonts w:hint="cs"/>
          <w:rtl/>
        </w:rPr>
        <w:t>.</w:t>
      </w:r>
    </w:p>
    <w:p w:rsidR="00E13DF4" w:rsidRPr="00EF1DE3" w:rsidRDefault="00E13DF4" w:rsidP="00E13DF4">
      <w:pPr>
        <w:keepNext/>
        <w:keepLines/>
        <w:spacing w:before="240"/>
        <w:rPr>
          <w:spacing w:val="-3"/>
          <w:rtl/>
          <w:lang w:bidi="ar-SA"/>
        </w:rPr>
      </w:pPr>
      <w:r w:rsidRPr="00EF1DE3"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E13DF4" w:rsidRPr="00EF1DE3" w:rsidRDefault="00E13DF4" w:rsidP="00E13DF4">
      <w:pPr>
        <w:keepNext/>
        <w:keepLines/>
        <w:spacing w:before="1440"/>
        <w:jc w:val="left"/>
        <w:rPr>
          <w:rtl/>
        </w:rPr>
      </w:pPr>
      <w:r w:rsidRPr="00EF1DE3">
        <w:rPr>
          <w:rFonts w:hint="cs"/>
          <w:rtl/>
        </w:rPr>
        <w:t>فرانسوا</w:t>
      </w:r>
      <w:r w:rsidRPr="00EF1DE3">
        <w:rPr>
          <w:rFonts w:hint="eastAsia"/>
          <w:rtl/>
        </w:rPr>
        <w:t> </w:t>
      </w:r>
      <w:r w:rsidRPr="00EF1DE3">
        <w:rPr>
          <w:rFonts w:hint="cs"/>
          <w:rtl/>
        </w:rPr>
        <w:t>رانسي</w:t>
      </w:r>
      <w:r w:rsidRPr="00EF1DE3">
        <w:rPr>
          <w:rtl/>
        </w:rPr>
        <w:br/>
      </w:r>
      <w:r w:rsidRPr="00EF1DE3">
        <w:rPr>
          <w:rFonts w:hint="cs"/>
          <w:rtl/>
        </w:rPr>
        <w:t>ال‍مدير</w:t>
      </w:r>
    </w:p>
    <w:p w:rsidR="00706B76" w:rsidRPr="00E87DCC" w:rsidRDefault="00FA3DAF" w:rsidP="00CF043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320"/>
      </w:pPr>
      <w:r w:rsidRPr="00EF1DE3">
        <w:rPr>
          <w:rFonts w:hint="cs"/>
          <w:b/>
          <w:bCs/>
          <w:rtl/>
        </w:rPr>
        <w:t>ال‍ملحق:</w:t>
      </w:r>
      <w:r w:rsidRPr="0065032D">
        <w:rPr>
          <w:rFonts w:hint="cs"/>
          <w:rtl/>
        </w:rPr>
        <w:tab/>
      </w:r>
      <w:r w:rsidR="0065032D" w:rsidRPr="0065032D">
        <w:rPr>
          <w:rFonts w:hint="cs"/>
          <w:rtl/>
        </w:rPr>
        <w:t>-</w:t>
      </w:r>
      <w:r w:rsidR="0065032D" w:rsidRPr="0065032D">
        <w:rPr>
          <w:rtl/>
        </w:rPr>
        <w:tab/>
      </w:r>
      <w:r w:rsidR="00CF043D" w:rsidRPr="00CF043D">
        <w:rPr>
          <w:rFonts w:hint="cs"/>
          <w:rtl/>
        </w:rPr>
        <w:t>عناوين وملخصات مشاريع التوصيات</w:t>
      </w:r>
    </w:p>
    <w:p w:rsidR="00E13DF4" w:rsidRPr="00EF1DE3" w:rsidRDefault="00FA3DAF" w:rsidP="00CF043D">
      <w:pPr>
        <w:keepNext/>
        <w:keepLines/>
        <w:tabs>
          <w:tab w:val="clear" w:pos="794"/>
          <w:tab w:val="clear" w:pos="1191"/>
          <w:tab w:val="left" w:pos="1134"/>
        </w:tabs>
        <w:spacing w:before="1080"/>
        <w:rPr>
          <w:rtl/>
          <w:lang w:bidi="ar-SY"/>
        </w:rPr>
      </w:pPr>
      <w:r w:rsidRPr="00EF1DE3">
        <w:rPr>
          <w:rFonts w:hint="cs"/>
          <w:b/>
          <w:bCs/>
          <w:rtl/>
        </w:rPr>
        <w:t>الوثائق:</w:t>
      </w:r>
      <w:r w:rsidRPr="00EF1DE3">
        <w:rPr>
          <w:rFonts w:hint="cs"/>
          <w:b/>
          <w:bCs/>
          <w:rtl/>
        </w:rPr>
        <w:tab/>
      </w:r>
      <w:r w:rsidR="00CF043D" w:rsidRPr="00CF043D">
        <w:rPr>
          <w:rFonts w:hint="cs"/>
          <w:rtl/>
        </w:rPr>
        <w:t xml:space="preserve">الوثائق من </w:t>
      </w:r>
      <w:r w:rsidR="00CF043D" w:rsidRPr="00CF043D">
        <w:t>4/BL/5</w:t>
      </w:r>
      <w:r w:rsidR="00CF043D" w:rsidRPr="00CF043D">
        <w:rPr>
          <w:rFonts w:hint="cs"/>
          <w:rtl/>
        </w:rPr>
        <w:t xml:space="preserve"> إلى </w:t>
      </w:r>
      <w:r w:rsidR="00CF043D" w:rsidRPr="00CF043D">
        <w:t>4/BL/7</w:t>
      </w:r>
    </w:p>
    <w:p w:rsidR="00E13DF4" w:rsidRPr="00EF1DE3" w:rsidRDefault="00CF043D" w:rsidP="00CF043D">
      <w:pPr>
        <w:tabs>
          <w:tab w:val="clear" w:pos="794"/>
          <w:tab w:val="clear" w:pos="1191"/>
          <w:tab w:val="left" w:pos="1134"/>
        </w:tabs>
        <w:spacing w:before="360"/>
        <w:rPr>
          <w:rtl/>
          <w:lang w:bidi="ar-SY"/>
        </w:rPr>
      </w:pPr>
      <w:r w:rsidRPr="00CF043D">
        <w:rPr>
          <w:rtl/>
        </w:rPr>
        <w:t xml:space="preserve">وتتاح نسخة إلكترونية من </w:t>
      </w:r>
      <w:r w:rsidRPr="00CF043D">
        <w:rPr>
          <w:rFonts w:hint="cs"/>
          <w:rtl/>
        </w:rPr>
        <w:t>هذه الوثائق</w:t>
      </w:r>
      <w:r w:rsidRPr="00CF043D">
        <w:rPr>
          <w:rtl/>
        </w:rPr>
        <w:t xml:space="preserve"> في ال‍موقع</w:t>
      </w:r>
      <w:r w:rsidRPr="00CF043D">
        <w:rPr>
          <w:rFonts w:hint="cs"/>
          <w:rtl/>
          <w:lang w:bidi="ar-SA"/>
        </w:rPr>
        <w:t>:</w:t>
      </w:r>
      <w:r w:rsidRPr="00CF043D">
        <w:rPr>
          <w:rFonts w:hint="cs"/>
          <w:rtl/>
        </w:rPr>
        <w:t xml:space="preserve"> </w:t>
      </w:r>
      <w:hyperlink r:id="rId11" w:history="1">
        <w:r w:rsidRPr="00CF043D">
          <w:rPr>
            <w:rStyle w:val="Hyperlink"/>
            <w:lang w:val="en-GB"/>
          </w:rPr>
          <w:t>http://www.itu.int/pub/R-REC</w:t>
        </w:r>
      </w:hyperlink>
    </w:p>
    <w:p w:rsidR="00E13DF4" w:rsidRPr="00EF1DE3" w:rsidRDefault="00E13DF4" w:rsidP="00706B76">
      <w:pPr>
        <w:spacing w:before="408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EF1DE3">
        <w:rPr>
          <w:b/>
          <w:bCs/>
          <w:sz w:val="16"/>
          <w:szCs w:val="22"/>
          <w:rtl/>
        </w:rPr>
        <w:t>التوزيع:</w:t>
      </w:r>
    </w:p>
    <w:p w:rsidR="00E13DF4" w:rsidRPr="00EF1DE3" w:rsidRDefault="00CF043D" w:rsidP="00CF043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CF043D">
        <w:rPr>
          <w:rFonts w:hint="cs"/>
          <w:sz w:val="16"/>
          <w:szCs w:val="22"/>
          <w:rtl/>
        </w:rPr>
        <w:t>-</w:t>
      </w:r>
      <w:r w:rsidRPr="00CF043D">
        <w:rPr>
          <w:rFonts w:hint="cs"/>
          <w:sz w:val="16"/>
          <w:szCs w:val="22"/>
          <w:rtl/>
        </w:rPr>
        <w:tab/>
      </w:r>
      <w:r w:rsidRPr="00CF043D">
        <w:rPr>
          <w:sz w:val="16"/>
          <w:szCs w:val="22"/>
          <w:rtl/>
        </w:rPr>
        <w:t>إدارات الدول الأعضاء</w:t>
      </w:r>
      <w:r w:rsidRPr="00CF043D">
        <w:rPr>
          <w:rFonts w:hint="cs"/>
          <w:sz w:val="16"/>
          <w:szCs w:val="22"/>
          <w:rtl/>
        </w:rPr>
        <w:t xml:space="preserve"> في الات</w:t>
      </w:r>
      <w:r>
        <w:rPr>
          <w:rFonts w:hint="cs"/>
          <w:sz w:val="16"/>
          <w:szCs w:val="22"/>
          <w:rtl/>
        </w:rPr>
        <w:t>‍</w:t>
      </w:r>
      <w:r w:rsidRPr="00CF043D">
        <w:rPr>
          <w:rFonts w:hint="cs"/>
          <w:sz w:val="16"/>
          <w:szCs w:val="22"/>
          <w:rtl/>
        </w:rPr>
        <w:t>حاد</w:t>
      </w:r>
      <w:r w:rsidRPr="00CF043D">
        <w:rPr>
          <w:sz w:val="16"/>
          <w:szCs w:val="22"/>
          <w:rtl/>
        </w:rPr>
        <w:t xml:space="preserve"> وأعضاء قطاع الاتصالات الراديوية</w:t>
      </w:r>
      <w:r w:rsidRPr="00CF043D">
        <w:rPr>
          <w:rFonts w:hint="cs"/>
          <w:sz w:val="16"/>
          <w:szCs w:val="22"/>
          <w:rtl/>
        </w:rPr>
        <w:t xml:space="preserve"> ال</w:t>
      </w:r>
      <w:r>
        <w:rPr>
          <w:rFonts w:hint="cs"/>
          <w:sz w:val="16"/>
          <w:szCs w:val="22"/>
          <w:rtl/>
        </w:rPr>
        <w:t>‍</w:t>
      </w:r>
      <w:r w:rsidRPr="00CF043D">
        <w:rPr>
          <w:rFonts w:hint="cs"/>
          <w:sz w:val="16"/>
          <w:szCs w:val="22"/>
          <w:rtl/>
        </w:rPr>
        <w:t>مشاركون في أعمال ل</w:t>
      </w:r>
      <w:r>
        <w:rPr>
          <w:rFonts w:hint="cs"/>
          <w:sz w:val="16"/>
          <w:szCs w:val="22"/>
          <w:rtl/>
        </w:rPr>
        <w:t>‍</w:t>
      </w:r>
      <w:r w:rsidRPr="00CF043D">
        <w:rPr>
          <w:rFonts w:hint="cs"/>
          <w:sz w:val="16"/>
          <w:szCs w:val="22"/>
          <w:rtl/>
        </w:rPr>
        <w:t xml:space="preserve">جنة الدراسات </w:t>
      </w:r>
      <w:r w:rsidRPr="00CF043D">
        <w:rPr>
          <w:sz w:val="16"/>
          <w:szCs w:val="22"/>
          <w:lang w:val="fr-CH"/>
        </w:rPr>
        <w:t>4</w:t>
      </w:r>
      <w:r w:rsidRPr="00CF043D">
        <w:rPr>
          <w:rFonts w:hint="cs"/>
          <w:sz w:val="16"/>
          <w:szCs w:val="22"/>
          <w:rtl/>
        </w:rPr>
        <w:t xml:space="preserve"> للاتصالات الراديوية</w:t>
      </w:r>
    </w:p>
    <w:p w:rsidR="00C77BD6" w:rsidRPr="00EF1DE3" w:rsidRDefault="00CF043D" w:rsidP="00CF043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CF043D">
        <w:rPr>
          <w:sz w:val="16"/>
          <w:szCs w:val="22"/>
          <w:rtl/>
        </w:rPr>
        <w:t>-</w:t>
      </w:r>
      <w:r w:rsidRPr="00CF043D">
        <w:rPr>
          <w:sz w:val="16"/>
          <w:szCs w:val="22"/>
          <w:rtl/>
        </w:rPr>
        <w:tab/>
        <w:t>ال</w:t>
      </w:r>
      <w:r>
        <w:rPr>
          <w:rFonts w:hint="cs"/>
          <w:sz w:val="16"/>
          <w:szCs w:val="22"/>
          <w:rtl/>
        </w:rPr>
        <w:t>‍</w:t>
      </w:r>
      <w:r w:rsidRPr="00CF043D">
        <w:rPr>
          <w:sz w:val="16"/>
          <w:szCs w:val="22"/>
          <w:rtl/>
        </w:rPr>
        <w:t>منتسبون إلى قطاع الاتصالات الراديوية ال</w:t>
      </w:r>
      <w:r>
        <w:rPr>
          <w:rFonts w:hint="cs"/>
          <w:sz w:val="16"/>
          <w:szCs w:val="22"/>
          <w:rtl/>
        </w:rPr>
        <w:t>‍</w:t>
      </w:r>
      <w:r w:rsidRPr="00CF043D">
        <w:rPr>
          <w:sz w:val="16"/>
          <w:szCs w:val="22"/>
          <w:rtl/>
        </w:rPr>
        <w:t>مشاركون في أعمال ل</w:t>
      </w:r>
      <w:r>
        <w:rPr>
          <w:rFonts w:hint="cs"/>
          <w:sz w:val="16"/>
          <w:szCs w:val="22"/>
          <w:rtl/>
        </w:rPr>
        <w:t>‍</w:t>
      </w:r>
      <w:r w:rsidRPr="00CF043D">
        <w:rPr>
          <w:sz w:val="16"/>
          <w:szCs w:val="22"/>
          <w:rtl/>
        </w:rPr>
        <w:t xml:space="preserve">جنة الدراسات </w:t>
      </w:r>
      <w:r w:rsidRPr="00CF043D">
        <w:rPr>
          <w:sz w:val="16"/>
          <w:szCs w:val="22"/>
        </w:rPr>
        <w:t>4</w:t>
      </w:r>
      <w:r w:rsidRPr="00CF043D">
        <w:rPr>
          <w:sz w:val="16"/>
          <w:szCs w:val="22"/>
          <w:rtl/>
        </w:rPr>
        <w:t xml:space="preserve"> للاتصالات الراديوية</w:t>
      </w:r>
    </w:p>
    <w:p w:rsidR="00C77BD6" w:rsidRPr="00EF1DE3" w:rsidRDefault="00CF043D" w:rsidP="00CF043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CF043D">
        <w:rPr>
          <w:sz w:val="16"/>
          <w:szCs w:val="22"/>
          <w:rtl/>
        </w:rPr>
        <w:t>-</w:t>
      </w:r>
      <w:r w:rsidRPr="00CF043D">
        <w:rPr>
          <w:sz w:val="16"/>
          <w:szCs w:val="22"/>
          <w:rtl/>
        </w:rPr>
        <w:tab/>
        <w:t>رؤساء ل</w:t>
      </w:r>
      <w:r>
        <w:rPr>
          <w:rFonts w:hint="cs"/>
          <w:sz w:val="16"/>
          <w:szCs w:val="22"/>
          <w:rtl/>
        </w:rPr>
        <w:t>‍</w:t>
      </w:r>
      <w:r w:rsidRPr="00CF043D">
        <w:rPr>
          <w:sz w:val="16"/>
          <w:szCs w:val="22"/>
          <w:rtl/>
        </w:rPr>
        <w:t>جان دراسات الاتصالات الراديوية واللجنة ال</w:t>
      </w:r>
      <w:r>
        <w:rPr>
          <w:rFonts w:hint="cs"/>
          <w:sz w:val="16"/>
          <w:szCs w:val="22"/>
          <w:rtl/>
        </w:rPr>
        <w:t>‍</w:t>
      </w:r>
      <w:r w:rsidRPr="00CF043D">
        <w:rPr>
          <w:sz w:val="16"/>
          <w:szCs w:val="22"/>
          <w:rtl/>
        </w:rPr>
        <w:t>خاصة المعنية بال</w:t>
      </w:r>
      <w:r>
        <w:rPr>
          <w:rFonts w:hint="cs"/>
          <w:sz w:val="16"/>
          <w:szCs w:val="22"/>
          <w:rtl/>
        </w:rPr>
        <w:t>‍</w:t>
      </w:r>
      <w:r w:rsidR="00B14618">
        <w:rPr>
          <w:sz w:val="16"/>
          <w:szCs w:val="22"/>
          <w:rtl/>
        </w:rPr>
        <w:t>مسائل التنظيمية</w:t>
      </w:r>
      <w:r w:rsidR="00B14618">
        <w:rPr>
          <w:rFonts w:hint="cs"/>
          <w:sz w:val="16"/>
          <w:szCs w:val="22"/>
          <w:rtl/>
        </w:rPr>
        <w:t>/</w:t>
      </w:r>
      <w:r w:rsidRPr="00CF043D">
        <w:rPr>
          <w:sz w:val="16"/>
          <w:szCs w:val="22"/>
          <w:rtl/>
        </w:rPr>
        <w:t>الإجرائية ونوابهم</w:t>
      </w:r>
    </w:p>
    <w:p w:rsidR="00C77BD6" w:rsidRPr="00EF1DE3" w:rsidRDefault="00CF043D" w:rsidP="00CF043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CF043D">
        <w:rPr>
          <w:sz w:val="16"/>
          <w:szCs w:val="22"/>
          <w:rtl/>
        </w:rPr>
        <w:t>-</w:t>
      </w:r>
      <w:r w:rsidRPr="00CF043D">
        <w:rPr>
          <w:sz w:val="16"/>
          <w:szCs w:val="22"/>
          <w:rtl/>
        </w:rPr>
        <w:tab/>
        <w:t>رئيس الاجتماع التحضيري للمؤتمر</w:t>
      </w:r>
      <w:r w:rsidRPr="00CF043D">
        <w:rPr>
          <w:rFonts w:hint="cs"/>
          <w:sz w:val="16"/>
          <w:szCs w:val="22"/>
          <w:rtl/>
        </w:rPr>
        <w:t xml:space="preserve"> </w:t>
      </w:r>
      <w:r w:rsidRPr="00CF043D">
        <w:rPr>
          <w:sz w:val="16"/>
          <w:szCs w:val="22"/>
          <w:rtl/>
        </w:rPr>
        <w:t>ونوابه</w:t>
      </w:r>
    </w:p>
    <w:p w:rsidR="00C77BD6" w:rsidRPr="00EF1DE3" w:rsidRDefault="00CF043D" w:rsidP="00CF043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CF043D">
        <w:rPr>
          <w:sz w:val="16"/>
          <w:szCs w:val="22"/>
          <w:rtl/>
        </w:rPr>
        <w:lastRenderedPageBreak/>
        <w:t>-</w:t>
      </w:r>
      <w:r w:rsidRPr="00CF043D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CF043D">
        <w:rPr>
          <w:sz w:val="16"/>
          <w:szCs w:val="22"/>
          <w:rtl/>
        </w:rPr>
        <w:t>جنة لوائح الراديو</w:t>
      </w:r>
    </w:p>
    <w:p w:rsidR="00E13DF4" w:rsidRPr="00EF1DE3" w:rsidRDefault="00CF043D" w:rsidP="00CF043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CF043D">
        <w:rPr>
          <w:sz w:val="16"/>
          <w:szCs w:val="22"/>
          <w:rtl/>
        </w:rPr>
        <w:t>-</w:t>
      </w:r>
      <w:r w:rsidRPr="00CF043D">
        <w:rPr>
          <w:sz w:val="16"/>
          <w:szCs w:val="22"/>
          <w:rtl/>
        </w:rPr>
        <w:tab/>
        <w:t>الأمين العام للات</w:t>
      </w:r>
      <w:r>
        <w:rPr>
          <w:rFonts w:hint="cs"/>
          <w:sz w:val="16"/>
          <w:szCs w:val="22"/>
          <w:rtl/>
        </w:rPr>
        <w:t>‍</w:t>
      </w:r>
      <w:r w:rsidRPr="00CF043D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E13DF4" w:rsidRPr="00EF1DE3" w:rsidRDefault="00E13DF4" w:rsidP="00FA3DAF">
      <w:pPr>
        <w:pStyle w:val="AnnexNo"/>
        <w:spacing w:before="360"/>
      </w:pPr>
      <w:r w:rsidRPr="00EF1DE3">
        <w:rPr>
          <w:rtl/>
        </w:rPr>
        <w:br w:type="page"/>
      </w:r>
      <w:r w:rsidR="00FA3DAF" w:rsidRPr="00EF1DE3">
        <w:rPr>
          <w:rFonts w:hint="cs"/>
          <w:rtl/>
        </w:rPr>
        <w:lastRenderedPageBreak/>
        <w:t>ال‍</w:t>
      </w:r>
      <w:r w:rsidR="00FA3DAF" w:rsidRPr="00EF1DE3">
        <w:rPr>
          <w:rFonts w:hint="eastAsia"/>
          <w:rtl/>
        </w:rPr>
        <w:t>ملحـق</w:t>
      </w:r>
    </w:p>
    <w:p w:rsidR="00E13DF4" w:rsidRPr="00EF1DE3" w:rsidRDefault="00CF043D" w:rsidP="00CF043D">
      <w:pPr>
        <w:pStyle w:val="Annextitle"/>
        <w:rPr>
          <w:rtl/>
        </w:rPr>
      </w:pPr>
      <w:r w:rsidRPr="00CF043D">
        <w:rPr>
          <w:rFonts w:hint="cs"/>
          <w:rtl/>
          <w:lang w:bidi="ar-SA"/>
        </w:rPr>
        <w:t>عناوين وملخصات مشاريع التوصيات</w:t>
      </w:r>
      <w:r w:rsidRPr="00CF043D">
        <w:rPr>
          <w:rFonts w:hint="cs"/>
          <w:rtl/>
          <w:lang w:bidi="ar-SA"/>
        </w:rPr>
        <w:br/>
        <w:t xml:space="preserve">التي اعتمدتها لجنة الدراسات </w:t>
      </w:r>
      <w:r w:rsidRPr="00CF043D">
        <w:rPr>
          <w:lang w:val="en-GB" w:bidi="ar-SA"/>
        </w:rPr>
        <w:t>4</w:t>
      </w:r>
      <w:r w:rsidRPr="00CF043D">
        <w:rPr>
          <w:rFonts w:hint="cs"/>
          <w:rtl/>
          <w:lang w:bidi="ar-SA"/>
        </w:rPr>
        <w:t xml:space="preserve"> للاتصالات الراديوية</w:t>
      </w:r>
    </w:p>
    <w:p w:rsidR="00E13DF4" w:rsidRPr="00EF1DE3" w:rsidRDefault="00CF043D" w:rsidP="00F11BF1">
      <w:pPr>
        <w:keepNext/>
        <w:tabs>
          <w:tab w:val="right" w:pos="9639"/>
        </w:tabs>
        <w:spacing w:before="480"/>
        <w:rPr>
          <w:rtl/>
        </w:rPr>
      </w:pPr>
      <w:r w:rsidRPr="00CF043D">
        <w:rPr>
          <w:rFonts w:hint="cs"/>
          <w:u w:val="single"/>
          <w:rtl/>
          <w:lang w:bidi="ar-SA"/>
        </w:rPr>
        <w:t>مشروع التوصية الجديدة</w:t>
      </w:r>
      <w:r w:rsidR="00CE7DFB">
        <w:rPr>
          <w:rFonts w:hint="cs"/>
          <w:u w:val="single"/>
          <w:rtl/>
          <w:lang w:bidi="ar-SA"/>
        </w:rPr>
        <w:t xml:space="preserve"> </w:t>
      </w:r>
      <w:r w:rsidRPr="00CF043D">
        <w:rPr>
          <w:u w:val="single"/>
          <w:lang w:val="en-GB" w:bidi="ar-SY"/>
        </w:rPr>
        <w:t>ITU-R</w:t>
      </w:r>
      <w:r w:rsidR="00F11BF1">
        <w:rPr>
          <w:u w:val="single"/>
          <w:lang w:val="en-GB" w:bidi="ar-SY"/>
        </w:rPr>
        <w:t> </w:t>
      </w:r>
      <w:r w:rsidRPr="00CF043D">
        <w:rPr>
          <w:u w:val="single"/>
          <w:lang w:val="en-GB" w:bidi="ar-SY"/>
        </w:rPr>
        <w:t>BO.[ALT_BSS_ANT_DIAG]</w:t>
      </w:r>
      <w:r w:rsidR="00C77BD6" w:rsidRPr="00EF1DE3">
        <w:rPr>
          <w:rFonts w:hint="cs"/>
          <w:rtl/>
          <w:lang w:bidi="ar-SA"/>
        </w:rPr>
        <w:tab/>
      </w:r>
      <w:r w:rsidRPr="00CF043D">
        <w:rPr>
          <w:rFonts w:hint="cs"/>
          <w:rtl/>
          <w:lang w:bidi="ar-SA"/>
        </w:rPr>
        <w:t>الوثيقة </w:t>
      </w:r>
      <w:r w:rsidRPr="00CF043D">
        <w:rPr>
          <w:lang w:val="en-GB"/>
        </w:rPr>
        <w:t>4/BL/5</w:t>
      </w:r>
    </w:p>
    <w:p w:rsidR="00E13DF4" w:rsidRPr="00EF1DE3" w:rsidRDefault="00CF043D" w:rsidP="00230049">
      <w:pPr>
        <w:pStyle w:val="Rectitle"/>
        <w:tabs>
          <w:tab w:val="left" w:pos="574"/>
          <w:tab w:val="center" w:pos="4819"/>
        </w:tabs>
      </w:pPr>
      <w:r w:rsidRPr="00CF043D">
        <w:rPr>
          <w:rFonts w:eastAsia="SimSun" w:hint="cs"/>
          <w:spacing w:val="-4"/>
          <w:rtl/>
          <w:lang w:bidi="ar-SA"/>
        </w:rPr>
        <w:t>م‍خطط بديل لإشعاع هوائي م‍حطة أرضية في ال‍خدمة الإذاعية الساتلية في النطاقات</w:t>
      </w:r>
      <w:r w:rsidR="00230049">
        <w:rPr>
          <w:rFonts w:eastAsia="SimSun" w:hint="eastAsia"/>
          <w:spacing w:val="-4"/>
          <w:rtl/>
          <w:lang w:bidi="ar-SA"/>
        </w:rPr>
        <w:t> </w:t>
      </w:r>
      <w:r w:rsidRPr="00CF043D">
        <w:rPr>
          <w:rFonts w:eastAsia="SimSun"/>
          <w:spacing w:val="-4"/>
          <w:lang w:val="en-GB"/>
        </w:rPr>
        <w:t>GHz 12</w:t>
      </w:r>
      <w:r w:rsidRPr="00CF043D">
        <w:rPr>
          <w:rFonts w:eastAsia="SimSun" w:hint="cs"/>
          <w:spacing w:val="-4"/>
          <w:rtl/>
          <w:lang w:bidi="ar-SA"/>
        </w:rPr>
        <w:t xml:space="preserve"> للخدمة</w:t>
      </w:r>
      <w:r w:rsidR="00230049">
        <w:rPr>
          <w:rFonts w:eastAsia="SimSun" w:hint="eastAsia"/>
          <w:spacing w:val="-4"/>
          <w:rtl/>
          <w:lang w:bidi="ar-SA"/>
        </w:rPr>
        <w:t> </w:t>
      </w:r>
      <w:r w:rsidRPr="00CF043D">
        <w:rPr>
          <w:rFonts w:eastAsia="SimSun" w:hint="cs"/>
          <w:spacing w:val="-4"/>
          <w:rtl/>
          <w:lang w:bidi="ar-SA"/>
        </w:rPr>
        <w:t xml:space="preserve">الإذاعية الساتلية مع فتحات فعّالة في المدى </w:t>
      </w:r>
      <w:r w:rsidRPr="00CF043D">
        <w:rPr>
          <w:rFonts w:eastAsia="SimSun"/>
          <w:spacing w:val="-4"/>
          <w:lang w:val="en-GB"/>
        </w:rPr>
        <w:t>75</w:t>
      </w:r>
      <w:r w:rsidRPr="00CF043D">
        <w:rPr>
          <w:rFonts w:eastAsia="SimSun"/>
          <w:spacing w:val="-4"/>
          <w:lang w:val="en-GB"/>
        </w:rPr>
        <w:noBreakHyphen/>
        <w:t>55</w:t>
      </w:r>
      <w:r w:rsidRPr="00CF043D">
        <w:rPr>
          <w:rFonts w:eastAsia="SimSun" w:hint="cs"/>
          <w:spacing w:val="-4"/>
          <w:rtl/>
          <w:lang w:bidi="ar-SA"/>
        </w:rPr>
        <w:t xml:space="preserve"> سنت</w:t>
      </w:r>
      <w:r w:rsidR="00FF4212">
        <w:rPr>
          <w:rFonts w:eastAsia="SimSun" w:hint="cs"/>
          <w:spacing w:val="-4"/>
          <w:rtl/>
          <w:lang w:bidi="ar-SA"/>
        </w:rPr>
        <w:t>ي</w:t>
      </w:r>
      <w:r w:rsidRPr="00CF043D">
        <w:rPr>
          <w:rFonts w:eastAsia="SimSun" w:hint="cs"/>
          <w:spacing w:val="-4"/>
          <w:rtl/>
          <w:lang w:bidi="ar-SA"/>
        </w:rPr>
        <w:t>متراً</w:t>
      </w:r>
    </w:p>
    <w:p w:rsidR="00E13DF4" w:rsidRPr="00EF1DE3" w:rsidRDefault="00CF043D" w:rsidP="000E606D">
      <w:pPr>
        <w:rPr>
          <w:rtl/>
          <w:lang w:bidi="ar-SY"/>
        </w:rPr>
      </w:pPr>
      <w:r w:rsidRPr="0065032D">
        <w:rPr>
          <w:rFonts w:hint="cs"/>
          <w:spacing w:val="6"/>
          <w:rtl/>
          <w:lang w:bidi="ar-SA"/>
        </w:rPr>
        <w:t xml:space="preserve">الغرض من هذه التوصية توفير مخطط بديل لمحطات الاستقبال الأرضية في الخدمة الإذاعية الساتلية </w:t>
      </w:r>
      <w:r w:rsidRPr="0065032D">
        <w:rPr>
          <w:spacing w:val="6"/>
        </w:rPr>
        <w:t>(BSS)</w:t>
      </w:r>
      <w:r w:rsidRPr="0065032D">
        <w:rPr>
          <w:rFonts w:hint="cs"/>
          <w:spacing w:val="6"/>
          <w:rtl/>
        </w:rPr>
        <w:t xml:space="preserve"> مع فتحات فع</w:t>
      </w:r>
      <w:r w:rsidR="00351FF7">
        <w:rPr>
          <w:rFonts w:hint="cs"/>
          <w:spacing w:val="6"/>
          <w:rtl/>
        </w:rPr>
        <w:t>ّ</w:t>
      </w:r>
      <w:r w:rsidRPr="0065032D">
        <w:rPr>
          <w:rFonts w:hint="cs"/>
          <w:spacing w:val="6"/>
          <w:rtl/>
        </w:rPr>
        <w:t>الة في</w:t>
      </w:r>
      <w:r w:rsidR="00351FF7">
        <w:rPr>
          <w:rFonts w:hint="eastAsia"/>
          <w:rtl/>
        </w:rPr>
        <w:t> </w:t>
      </w:r>
      <w:r w:rsidRPr="00CF043D">
        <w:rPr>
          <w:rFonts w:hint="cs"/>
          <w:rtl/>
        </w:rPr>
        <w:t xml:space="preserve">المدى </w:t>
      </w:r>
      <w:r w:rsidRPr="00CF043D">
        <w:t>75-55</w:t>
      </w:r>
      <w:r w:rsidRPr="00CF043D">
        <w:rPr>
          <w:rFonts w:hint="cs"/>
          <w:rtl/>
        </w:rPr>
        <w:t xml:space="preserve"> سنت</w:t>
      </w:r>
      <w:r w:rsidR="00FF4212">
        <w:rPr>
          <w:rFonts w:hint="cs"/>
          <w:rtl/>
        </w:rPr>
        <w:t>ي</w:t>
      </w:r>
      <w:r w:rsidRPr="00CF043D">
        <w:rPr>
          <w:rFonts w:hint="cs"/>
          <w:rtl/>
        </w:rPr>
        <w:t>متراً. ويستند هذا المخطط البديل إلى الكسب النسب</w:t>
      </w:r>
      <w:r w:rsidR="00351FF7">
        <w:rPr>
          <w:rFonts w:hint="cs"/>
          <w:rtl/>
        </w:rPr>
        <w:t>‍</w:t>
      </w:r>
      <w:r w:rsidRPr="00CF043D">
        <w:rPr>
          <w:rFonts w:hint="cs"/>
          <w:rtl/>
        </w:rPr>
        <w:t xml:space="preserve">ي </w:t>
      </w:r>
      <w:r w:rsidRPr="00CF043D">
        <w:t>(dB)</w:t>
      </w:r>
      <w:r w:rsidRPr="00CF043D">
        <w:rPr>
          <w:rFonts w:hint="cs"/>
          <w:rtl/>
        </w:rPr>
        <w:t xml:space="preserve"> وقد سمح بتحسين إلغاء الفصوص الجانبية متحدة الاستقطاب (خاصة في المدى الزاوي خارج المحور </w:t>
      </w:r>
      <w:r w:rsidRPr="00CF043D">
        <w:sym w:font="Symbol" w:char="F0B0"/>
      </w:r>
      <w:r w:rsidRPr="00CF043D">
        <w:t>9-</w:t>
      </w:r>
      <w:r w:rsidRPr="00CF043D">
        <w:sym w:font="Symbol" w:char="F0B0"/>
      </w:r>
      <w:r w:rsidRPr="00CF043D">
        <w:t>2,5</w:t>
      </w:r>
      <w:r w:rsidRPr="00CF043D">
        <w:rPr>
          <w:rFonts w:hint="cs"/>
          <w:rtl/>
        </w:rPr>
        <w:t xml:space="preserve">) وبتمييز أفضل للاستقطاب المتقاطع بالمقارنة مع مخطط الهوائي المرجعي الوارد في التوصية </w:t>
      </w:r>
      <w:r w:rsidRPr="00CF043D">
        <w:t>ITU-R </w:t>
      </w:r>
      <w:proofErr w:type="spellStart"/>
      <w:r w:rsidRPr="00CF043D">
        <w:t>BO.1213</w:t>
      </w:r>
      <w:proofErr w:type="spellEnd"/>
      <w:r w:rsidRPr="00CF043D">
        <w:rPr>
          <w:rFonts w:hint="cs"/>
          <w:rtl/>
        </w:rPr>
        <w:t xml:space="preserve"> الذي يقوم على الكسب المطلق. ويمكن استخدام المخطط البديل في المفاوضات الثنائية/متعددة الأطراف بشأن التخصيصات الجديدة أو المعدلة في خطة الإقليم </w:t>
      </w:r>
      <w:r w:rsidR="000E606D">
        <w:t>2</w:t>
      </w:r>
      <w:r w:rsidRPr="00CF043D">
        <w:rPr>
          <w:rFonts w:hint="cs"/>
          <w:rtl/>
        </w:rPr>
        <w:t xml:space="preserve"> أو في قائمة الاستخدامات الإضافية للإقليمين </w:t>
      </w:r>
      <w:r w:rsidRPr="00CF043D">
        <w:t>1</w:t>
      </w:r>
      <w:r w:rsidRPr="00CF043D">
        <w:rPr>
          <w:rFonts w:hint="cs"/>
          <w:rtl/>
        </w:rPr>
        <w:t xml:space="preserve"> و</w:t>
      </w:r>
      <w:r w:rsidRPr="00CF043D">
        <w:t>3</w:t>
      </w:r>
      <w:r w:rsidRPr="00CF043D">
        <w:rPr>
          <w:rFonts w:hint="cs"/>
          <w:rtl/>
        </w:rPr>
        <w:t>.</w:t>
      </w:r>
    </w:p>
    <w:p w:rsidR="00E13DF4" w:rsidRPr="00EF1DE3" w:rsidRDefault="00CF043D" w:rsidP="00F11BF1">
      <w:pPr>
        <w:keepNext/>
        <w:tabs>
          <w:tab w:val="right" w:pos="9639"/>
        </w:tabs>
        <w:spacing w:before="480"/>
        <w:rPr>
          <w:rtl/>
        </w:rPr>
      </w:pPr>
      <w:r w:rsidRPr="00CF043D">
        <w:rPr>
          <w:rFonts w:hint="cs"/>
          <w:u w:val="single"/>
          <w:rtl/>
          <w:lang w:bidi="ar-SA"/>
        </w:rPr>
        <w:t xml:space="preserve">مشروع مراجعة التوصية </w:t>
      </w:r>
      <w:r w:rsidRPr="00CF043D">
        <w:rPr>
          <w:u w:val="single"/>
          <w:lang w:val="en-GB" w:bidi="ar-SY"/>
        </w:rPr>
        <w:t>ITU-R</w:t>
      </w:r>
      <w:r w:rsidR="00F11BF1">
        <w:rPr>
          <w:u w:val="single"/>
          <w:lang w:val="en-GB" w:bidi="ar-SY"/>
        </w:rPr>
        <w:t> </w:t>
      </w:r>
      <w:r w:rsidRPr="00CF043D">
        <w:rPr>
          <w:u w:val="single"/>
          <w:lang w:val="en-GB" w:bidi="ar-SY"/>
        </w:rPr>
        <w:t>M.1787</w:t>
      </w:r>
      <w:r w:rsidRPr="00CF043D">
        <w:rPr>
          <w:u w:val="single"/>
          <w:lang w:val="en-GB" w:bidi="ar-SY"/>
        </w:rPr>
        <w:noBreakHyphen/>
        <w:t>1</w:t>
      </w:r>
      <w:r w:rsidRPr="00CF043D">
        <w:rPr>
          <w:rFonts w:hint="cs"/>
          <w:rtl/>
          <w:lang w:bidi="ar-SA"/>
        </w:rPr>
        <w:tab/>
        <w:t>الوثيقة </w:t>
      </w:r>
      <w:r w:rsidRPr="00CF043D">
        <w:rPr>
          <w:lang w:val="en-GB" w:bidi="ar-SY"/>
        </w:rPr>
        <w:t>4/BL/6</w:t>
      </w:r>
    </w:p>
    <w:p w:rsidR="00E13DF4" w:rsidRPr="00EF1DE3" w:rsidRDefault="00CF043D" w:rsidP="00CF043D">
      <w:pPr>
        <w:pStyle w:val="Rectitle"/>
        <w:tabs>
          <w:tab w:val="left" w:pos="574"/>
          <w:tab w:val="center" w:pos="4819"/>
        </w:tabs>
      </w:pPr>
      <w:r w:rsidRPr="00CF043D">
        <w:rPr>
          <w:rtl/>
          <w:lang w:bidi="ar-SA"/>
        </w:rPr>
        <w:t>وصف الأنظمة والشبكات في خدمة ال</w:t>
      </w:r>
      <w:r w:rsidRPr="00CF043D">
        <w:rPr>
          <w:rFonts w:hint="cs"/>
          <w:rtl/>
          <w:lang w:bidi="ar-SA"/>
        </w:rPr>
        <w:t>‍</w:t>
      </w:r>
      <w:r w:rsidRPr="00CF043D">
        <w:rPr>
          <w:rtl/>
          <w:lang w:bidi="ar-SA"/>
        </w:rPr>
        <w:t>ملاحة الراديوية الساتلية</w:t>
      </w:r>
      <w:r w:rsidRPr="00CF043D">
        <w:rPr>
          <w:rtl/>
          <w:lang w:bidi="ar-SA"/>
        </w:rPr>
        <w:br/>
        <w:t>(فضاء</w:t>
      </w:r>
      <w:r w:rsidRPr="00CF043D">
        <w:rPr>
          <w:lang w:val="en-GB"/>
        </w:rPr>
        <w:noBreakHyphen/>
      </w:r>
      <w:r w:rsidRPr="00CF043D">
        <w:rPr>
          <w:rtl/>
          <w:lang w:bidi="ar-SA"/>
        </w:rPr>
        <w:t>أرض وفضاء</w:t>
      </w:r>
      <w:r w:rsidRPr="00CF043D">
        <w:rPr>
          <w:lang w:val="en-GB"/>
        </w:rPr>
        <w:noBreakHyphen/>
      </w:r>
      <w:r w:rsidRPr="00CF043D">
        <w:rPr>
          <w:rtl/>
          <w:lang w:bidi="ar-SA"/>
        </w:rPr>
        <w:t>فضاء) وال</w:t>
      </w:r>
      <w:r w:rsidRPr="00CF043D">
        <w:rPr>
          <w:rFonts w:hint="cs"/>
          <w:rtl/>
          <w:lang w:bidi="ar-SA"/>
        </w:rPr>
        <w:t>‍</w:t>
      </w:r>
      <w:r w:rsidRPr="00CF043D">
        <w:rPr>
          <w:rtl/>
          <w:lang w:bidi="ar-SA"/>
        </w:rPr>
        <w:t>خصائص التقنية ل</w:t>
      </w:r>
      <w:r w:rsidRPr="00CF043D">
        <w:rPr>
          <w:rFonts w:hint="cs"/>
          <w:rtl/>
          <w:lang w:bidi="ar-SA"/>
        </w:rPr>
        <w:t>‍</w:t>
      </w:r>
      <w:r w:rsidRPr="00CF043D">
        <w:rPr>
          <w:rtl/>
          <w:lang w:bidi="ar-SA"/>
        </w:rPr>
        <w:t>محطات الإرسال الفضائية</w:t>
      </w:r>
      <w:r w:rsidRPr="00CF043D">
        <w:rPr>
          <w:rFonts w:hint="cs"/>
          <w:rtl/>
          <w:lang w:bidi="ar-SA"/>
        </w:rPr>
        <w:br/>
      </w:r>
      <w:r w:rsidRPr="00CF043D">
        <w:rPr>
          <w:rtl/>
          <w:lang w:bidi="ar-SA"/>
        </w:rPr>
        <w:t xml:space="preserve">العاملة في النطاقات </w:t>
      </w:r>
      <w:r w:rsidRPr="00CF043D">
        <w:rPr>
          <w:lang w:val="en-GB"/>
        </w:rPr>
        <w:t>MHz 1 215</w:t>
      </w:r>
      <w:r w:rsidRPr="00CF043D">
        <w:rPr>
          <w:lang w:val="en-GB"/>
        </w:rPr>
        <w:noBreakHyphen/>
        <w:t>1 164</w:t>
      </w:r>
      <w:r w:rsidRPr="00CF043D">
        <w:rPr>
          <w:rFonts w:hint="cs"/>
          <w:rtl/>
          <w:lang w:bidi="ar-SA"/>
        </w:rPr>
        <w:t xml:space="preserve"> </w:t>
      </w:r>
      <w:r w:rsidRPr="00CF043D">
        <w:rPr>
          <w:rtl/>
          <w:lang w:bidi="ar-SA"/>
        </w:rPr>
        <w:t>و</w:t>
      </w:r>
      <w:r w:rsidRPr="00CF043D">
        <w:rPr>
          <w:lang w:val="en-GB"/>
        </w:rPr>
        <w:t>MHz 1 300</w:t>
      </w:r>
      <w:r w:rsidRPr="00CF043D">
        <w:rPr>
          <w:lang w:val="en-GB"/>
        </w:rPr>
        <w:noBreakHyphen/>
        <w:t>1 215</w:t>
      </w:r>
      <w:r w:rsidRPr="00CF043D">
        <w:rPr>
          <w:rtl/>
          <w:lang w:bidi="ar-SA"/>
        </w:rPr>
        <w:t xml:space="preserve"> و</w:t>
      </w:r>
      <w:r w:rsidRPr="00CF043D">
        <w:rPr>
          <w:lang w:val="en-GB"/>
        </w:rPr>
        <w:t>MHz 1 610</w:t>
      </w:r>
      <w:r w:rsidRPr="00CF043D">
        <w:rPr>
          <w:lang w:val="en-GB"/>
        </w:rPr>
        <w:noBreakHyphen/>
        <w:t>1 559</w:t>
      </w:r>
    </w:p>
    <w:p w:rsidR="00E13DF4" w:rsidRPr="00EF1DE3" w:rsidRDefault="00CF043D" w:rsidP="0065032D">
      <w:r w:rsidRPr="00CF043D">
        <w:rPr>
          <w:rFonts w:hint="cs"/>
          <w:rtl/>
          <w:lang w:bidi="ar-SA"/>
        </w:rPr>
        <w:t xml:space="preserve">تشمل هذه المراجعة </w:t>
      </w:r>
      <w:r w:rsidRPr="00CF043D">
        <w:rPr>
          <w:lang w:bidi="ar-SA"/>
        </w:rPr>
        <w:t>(1</w:t>
      </w:r>
      <w:r w:rsidRPr="00CF043D">
        <w:rPr>
          <w:rFonts w:hint="cs"/>
          <w:rtl/>
          <w:lang w:bidi="ar-SA"/>
        </w:rPr>
        <w:t xml:space="preserve"> تعديلات صياغية على النص الرئيسي للتوصية وال‍مواءمة بين الفقرات "</w:t>
      </w:r>
      <w:r w:rsidRPr="00CF043D">
        <w:rPr>
          <w:rFonts w:hint="eastAsia"/>
          <w:rtl/>
          <w:lang w:bidi="ar-SA"/>
        </w:rPr>
        <w:t> </w:t>
      </w:r>
      <w:r w:rsidRPr="00CF043D">
        <w:rPr>
          <w:i/>
          <w:iCs/>
          <w:rtl/>
          <w:lang w:bidi="ar-SA"/>
        </w:rPr>
        <w:t>إذ تضع في</w:t>
      </w:r>
      <w:r w:rsidRPr="00CF043D">
        <w:rPr>
          <w:rFonts w:hint="cs"/>
          <w:rtl/>
          <w:lang w:bidi="ar-SA"/>
        </w:rPr>
        <w:t> </w:t>
      </w:r>
      <w:r w:rsidRPr="00CF043D">
        <w:rPr>
          <w:i/>
          <w:iCs/>
          <w:rtl/>
          <w:lang w:bidi="ar-SA"/>
        </w:rPr>
        <w:t>اعتبارها</w:t>
      </w:r>
      <w:r w:rsidRPr="00CF043D">
        <w:rPr>
          <w:rFonts w:hint="cs"/>
          <w:rtl/>
          <w:lang w:bidi="ar-SA"/>
        </w:rPr>
        <w:t>" و"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i/>
          <w:iCs/>
          <w:rtl/>
          <w:lang w:bidi="ar-SA"/>
        </w:rPr>
        <w:t>إذ تعترف</w:t>
      </w:r>
      <w:r w:rsidRPr="00CF043D">
        <w:rPr>
          <w:rFonts w:hint="cs"/>
          <w:rtl/>
          <w:lang w:bidi="ar-SA"/>
        </w:rPr>
        <w:t>" وفقاً للمبادئ التوجيهية ال‍متعلقة بنسق توصيات قطاع الاتصالات الراديوية؛ و</w:t>
      </w:r>
      <w:r w:rsidRPr="00CF043D">
        <w:rPr>
          <w:lang w:val="en-GB" w:bidi="ar-SA"/>
        </w:rPr>
        <w:t>(2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rtl/>
          <w:lang w:bidi="ar-SA"/>
        </w:rPr>
        <w:t>إضافة فقرة جديدة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i/>
          <w:iCs/>
          <w:rtl/>
          <w:lang w:bidi="ar-SA"/>
        </w:rPr>
        <w:t>ح)</w:t>
      </w:r>
      <w:r w:rsidRPr="00CF043D">
        <w:rPr>
          <w:rFonts w:hint="cs"/>
          <w:rtl/>
          <w:lang w:bidi="ar-SA"/>
        </w:rPr>
        <w:t xml:space="preserve"> ت‍حت "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i/>
          <w:iCs/>
          <w:rtl/>
          <w:lang w:bidi="ar-SA"/>
        </w:rPr>
        <w:t>إذ تعترف</w:t>
      </w:r>
      <w:r w:rsidRPr="00CF043D">
        <w:rPr>
          <w:rFonts w:hint="cs"/>
          <w:rtl/>
          <w:lang w:bidi="ar-SA"/>
        </w:rPr>
        <w:t xml:space="preserve">" للإشارة إلى التوصية ال‍جديدة </w:t>
      </w:r>
      <w:r w:rsidRPr="00CF043D">
        <w:rPr>
          <w:lang w:val="en-GB" w:bidi="ar-SA"/>
        </w:rPr>
        <w:t>ITU</w:t>
      </w:r>
      <w:r w:rsidRPr="00CF043D">
        <w:rPr>
          <w:lang w:val="en-GB" w:bidi="ar-SA"/>
        </w:rPr>
        <w:noBreakHyphen/>
        <w:t>R </w:t>
      </w:r>
      <w:proofErr w:type="spellStart"/>
      <w:r w:rsidRPr="00CF043D">
        <w:rPr>
          <w:lang w:val="en-GB" w:bidi="ar-SA"/>
        </w:rPr>
        <w:t>M.2030</w:t>
      </w:r>
      <w:proofErr w:type="spellEnd"/>
      <w:r w:rsidRPr="00CF043D">
        <w:rPr>
          <w:rFonts w:hint="cs"/>
          <w:rtl/>
          <w:lang w:bidi="ar-SA"/>
        </w:rPr>
        <w:t xml:space="preserve"> بشأن التداخل النبضي؛ و</w:t>
      </w:r>
      <w:r w:rsidRPr="00CF043D">
        <w:rPr>
          <w:lang w:val="en-GB" w:bidi="ar-SA"/>
        </w:rPr>
        <w:t>(3</w:t>
      </w:r>
      <w:r w:rsidRPr="00CF043D">
        <w:rPr>
          <w:rFonts w:hint="cs"/>
          <w:rtl/>
          <w:lang w:bidi="ar-SA"/>
        </w:rPr>
        <w:t xml:space="preserve"> ت‍حديثات طفيفة للمعلومات ال‍متعلقة بالنظام العال‍مي لتحديد ال‍موقع </w:t>
      </w:r>
      <w:proofErr w:type="spellStart"/>
      <w:r w:rsidRPr="00CF043D">
        <w:rPr>
          <w:lang w:val="en-GB" w:bidi="ar-SA"/>
        </w:rPr>
        <w:t>Navstar</w:t>
      </w:r>
      <w:proofErr w:type="spellEnd"/>
      <w:r w:rsidRPr="00CF043D">
        <w:rPr>
          <w:rFonts w:hint="cs"/>
          <w:rtl/>
          <w:lang w:bidi="ar-SA"/>
        </w:rPr>
        <w:t xml:space="preserve"> الواردة في ال‍ملحق </w:t>
      </w:r>
      <w:r w:rsidRPr="00CF043D">
        <w:rPr>
          <w:lang w:val="en-GB" w:bidi="ar-SA"/>
        </w:rPr>
        <w:t>2</w:t>
      </w:r>
      <w:r w:rsidRPr="00CF043D">
        <w:rPr>
          <w:rFonts w:hint="cs"/>
          <w:rtl/>
          <w:lang w:bidi="ar-SA"/>
        </w:rPr>
        <w:t>؛ و</w:t>
      </w:r>
      <w:r w:rsidRPr="00CF043D">
        <w:rPr>
          <w:lang w:val="en-GB" w:bidi="ar-SA"/>
        </w:rPr>
        <w:t>(4</w:t>
      </w:r>
      <w:r w:rsidRPr="00CF043D">
        <w:rPr>
          <w:rFonts w:hint="cs"/>
          <w:rtl/>
          <w:lang w:bidi="ar-SA"/>
        </w:rPr>
        <w:t xml:space="preserve"> ت‍حديث ال‍معلومات ال‍متعلقة بالنظام</w:t>
      </w:r>
      <w:r w:rsidRPr="00CF043D">
        <w:rPr>
          <w:rFonts w:hint="eastAsia"/>
          <w:rtl/>
          <w:lang w:bidi="ar-SA"/>
        </w:rPr>
        <w:t> </w:t>
      </w:r>
      <w:r w:rsidRPr="00CF043D">
        <w:rPr>
          <w:lang w:val="en-GB" w:bidi="ar-SA"/>
        </w:rPr>
        <w:t>Galileo</w:t>
      </w:r>
      <w:r w:rsidRPr="00CF043D">
        <w:rPr>
          <w:rFonts w:hint="cs"/>
          <w:rtl/>
          <w:lang w:bidi="ar-SA"/>
        </w:rPr>
        <w:t xml:space="preserve"> الواردة في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rtl/>
          <w:lang w:bidi="ar-SA"/>
        </w:rPr>
        <w:t>ال‍ملحق</w:t>
      </w:r>
      <w:r w:rsidRPr="00CF043D">
        <w:rPr>
          <w:rFonts w:hint="eastAsia"/>
          <w:rtl/>
          <w:lang w:bidi="ar-SA"/>
        </w:rPr>
        <w:t> </w:t>
      </w:r>
      <w:r w:rsidRPr="00CF043D">
        <w:rPr>
          <w:lang w:val="en-GB" w:bidi="ar-SA"/>
        </w:rPr>
        <w:t>3</w:t>
      </w:r>
      <w:r w:rsidRPr="00CF043D">
        <w:rPr>
          <w:rFonts w:hint="cs"/>
          <w:rtl/>
          <w:lang w:bidi="ar-SA"/>
        </w:rPr>
        <w:t>؛ و</w:t>
      </w:r>
      <w:r w:rsidRPr="00CF043D">
        <w:rPr>
          <w:lang w:val="en-GB" w:bidi="ar-SA"/>
        </w:rPr>
        <w:t>(5</w:t>
      </w:r>
      <w:r w:rsidRPr="00CF043D">
        <w:rPr>
          <w:rFonts w:hint="cs"/>
          <w:rtl/>
          <w:lang w:bidi="ar-SA"/>
        </w:rPr>
        <w:t xml:space="preserve"> ت‍حديث ال‍معلومات ال‍متعلقة بالسواتل </w:t>
      </w:r>
      <w:proofErr w:type="spellStart"/>
      <w:r w:rsidRPr="00CF043D">
        <w:rPr>
          <w:lang w:val="en-GB" w:bidi="ar-SA"/>
        </w:rPr>
        <w:t>QZSS</w:t>
      </w:r>
      <w:proofErr w:type="spellEnd"/>
      <w:r w:rsidRPr="00CF043D">
        <w:rPr>
          <w:rFonts w:hint="cs"/>
          <w:rtl/>
          <w:lang w:bidi="ar-SA"/>
        </w:rPr>
        <w:t xml:space="preserve"> الواردة في ال‍ملحق</w:t>
      </w:r>
      <w:r w:rsidRPr="00CF043D">
        <w:rPr>
          <w:rFonts w:hint="eastAsia"/>
          <w:rtl/>
          <w:lang w:bidi="ar-SA"/>
        </w:rPr>
        <w:t> </w:t>
      </w:r>
      <w:r w:rsidRPr="00CF043D">
        <w:rPr>
          <w:lang w:val="en-GB" w:bidi="ar-SA"/>
        </w:rPr>
        <w:t>4</w:t>
      </w:r>
      <w:r w:rsidRPr="00CF043D">
        <w:rPr>
          <w:rFonts w:hint="cs"/>
          <w:rtl/>
          <w:lang w:bidi="ar-SA"/>
        </w:rPr>
        <w:t>؛ و</w:t>
      </w:r>
      <w:r w:rsidRPr="00CF043D">
        <w:rPr>
          <w:lang w:val="en-GB" w:bidi="ar-SA"/>
        </w:rPr>
        <w:t>(6</w:t>
      </w:r>
      <w:r w:rsidRPr="00CF043D">
        <w:rPr>
          <w:rFonts w:hint="cs"/>
          <w:rtl/>
          <w:lang w:bidi="ar-SA"/>
        </w:rPr>
        <w:t xml:space="preserve"> ت‍حديث ال‍معلومات ال‍متعلقة بالنظام</w:t>
      </w:r>
      <w:r w:rsidRPr="00CF043D">
        <w:rPr>
          <w:rFonts w:hint="eastAsia"/>
          <w:rtl/>
          <w:lang w:bidi="ar-SA"/>
        </w:rPr>
        <w:t> </w:t>
      </w:r>
      <w:proofErr w:type="spellStart"/>
      <w:r w:rsidRPr="00CF043D">
        <w:rPr>
          <w:lang w:val="en-GB" w:bidi="ar-SA"/>
        </w:rPr>
        <w:t>IRNSS</w:t>
      </w:r>
      <w:proofErr w:type="spellEnd"/>
      <w:r w:rsidRPr="00CF043D">
        <w:rPr>
          <w:rFonts w:hint="cs"/>
          <w:rtl/>
          <w:lang w:bidi="ar-SA"/>
        </w:rPr>
        <w:t xml:space="preserve"> والنظام</w:t>
      </w:r>
      <w:r w:rsidRPr="00CF043D">
        <w:rPr>
          <w:rFonts w:hint="eastAsia"/>
          <w:rtl/>
          <w:lang w:bidi="ar-SA"/>
        </w:rPr>
        <w:t> </w:t>
      </w:r>
      <w:proofErr w:type="spellStart"/>
      <w:r w:rsidRPr="00CF043D">
        <w:rPr>
          <w:lang w:val="en-GB" w:bidi="ar-SA"/>
        </w:rPr>
        <w:t>GAGAN</w:t>
      </w:r>
      <w:proofErr w:type="spellEnd"/>
      <w:r w:rsidRPr="00CF043D">
        <w:rPr>
          <w:rFonts w:hint="cs"/>
          <w:rtl/>
          <w:lang w:bidi="ar-SA"/>
        </w:rPr>
        <w:t xml:space="preserve"> الواردة في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rtl/>
          <w:lang w:bidi="ar-SA"/>
        </w:rPr>
        <w:t xml:space="preserve">ال‍ملحق </w:t>
      </w:r>
      <w:r w:rsidRPr="00CF043D">
        <w:rPr>
          <w:lang w:val="en-GB" w:bidi="ar-SA"/>
        </w:rPr>
        <w:t>10</w:t>
      </w:r>
      <w:r w:rsidRPr="00CF043D">
        <w:rPr>
          <w:rFonts w:hint="cs"/>
          <w:rtl/>
          <w:lang w:bidi="ar-SA"/>
        </w:rPr>
        <w:t xml:space="preserve"> لتوفير أحدث التفاصيل ال‍متعلقة بهذه الأنظمة. وإضافةً إلى ذلك، ت‍مت الاستعاضة عن كلمة</w:t>
      </w:r>
      <w:r w:rsidR="0065032D">
        <w:rPr>
          <w:rFonts w:hint="eastAsia"/>
          <w:rtl/>
          <w:lang w:bidi="ar-SA"/>
        </w:rPr>
        <w:t> </w:t>
      </w:r>
      <w:r w:rsidRPr="00CF043D">
        <w:rPr>
          <w:rFonts w:hint="cs"/>
          <w:rtl/>
          <w:lang w:bidi="ar-SA"/>
        </w:rPr>
        <w:t>"</w:t>
      </w:r>
      <w:r w:rsidRPr="00CF043D">
        <w:rPr>
          <w:lang w:val="en-GB" w:bidi="ar-SA"/>
        </w:rPr>
        <w:t>triangulation</w:t>
      </w:r>
      <w:r w:rsidRPr="00CF043D">
        <w:rPr>
          <w:rFonts w:hint="cs"/>
          <w:rtl/>
          <w:lang w:bidi="ar-SA"/>
        </w:rPr>
        <w:t>" (التثليث) ب‍مصطلح أنسب هو "</w:t>
      </w:r>
      <w:r w:rsidRPr="00CF043D">
        <w:rPr>
          <w:lang w:val="en-GB" w:bidi="ar-SA"/>
        </w:rPr>
        <w:t>trilateration</w:t>
      </w:r>
      <w:r w:rsidRPr="00CF043D">
        <w:rPr>
          <w:rFonts w:hint="cs"/>
          <w:rtl/>
          <w:lang w:bidi="ar-SA"/>
        </w:rPr>
        <w:t>" (التثليث ال‍مساحي) في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rtl/>
          <w:lang w:bidi="ar-SA"/>
        </w:rPr>
        <w:t>النص بالكامل.</w:t>
      </w:r>
    </w:p>
    <w:p w:rsidR="00CF043D" w:rsidRPr="00EF1DE3" w:rsidRDefault="00CF043D" w:rsidP="00F11BF1">
      <w:pPr>
        <w:keepNext/>
        <w:tabs>
          <w:tab w:val="right" w:pos="9639"/>
        </w:tabs>
        <w:spacing w:before="480"/>
        <w:rPr>
          <w:rtl/>
        </w:rPr>
      </w:pPr>
      <w:r w:rsidRPr="00CF043D">
        <w:rPr>
          <w:rFonts w:hint="cs"/>
          <w:u w:val="single"/>
          <w:rtl/>
          <w:lang w:bidi="ar-SA"/>
        </w:rPr>
        <w:lastRenderedPageBreak/>
        <w:t xml:space="preserve">مشروع مراجعة التوصية </w:t>
      </w:r>
      <w:r w:rsidRPr="00CF043D">
        <w:rPr>
          <w:u w:val="single"/>
          <w:lang w:val="en-GB" w:bidi="ar-SA"/>
        </w:rPr>
        <w:t>ITU-R</w:t>
      </w:r>
      <w:r w:rsidR="00F11BF1">
        <w:rPr>
          <w:u w:val="single"/>
          <w:lang w:val="en-GB" w:bidi="ar-SA"/>
        </w:rPr>
        <w:t> </w:t>
      </w:r>
      <w:r w:rsidRPr="00CF043D">
        <w:rPr>
          <w:u w:val="single"/>
          <w:lang w:val="en-GB" w:bidi="ar-SA"/>
        </w:rPr>
        <w:t>M.1850</w:t>
      </w:r>
      <w:r w:rsidRPr="00CF043D">
        <w:rPr>
          <w:u w:val="single"/>
          <w:lang w:val="en-GB" w:bidi="ar-SA"/>
        </w:rPr>
        <w:noBreakHyphen/>
        <w:t>1</w:t>
      </w:r>
      <w:r w:rsidRPr="00CF043D">
        <w:rPr>
          <w:rFonts w:hint="cs"/>
          <w:rtl/>
          <w:lang w:bidi="ar-SA"/>
        </w:rPr>
        <w:tab/>
        <w:t>الوثيقة </w:t>
      </w:r>
      <w:r w:rsidRPr="00CF043D">
        <w:rPr>
          <w:lang w:val="en-GB" w:bidi="ar-SA"/>
        </w:rPr>
        <w:t>4/BL/7</w:t>
      </w:r>
    </w:p>
    <w:p w:rsidR="00CF043D" w:rsidRPr="00EF1DE3" w:rsidRDefault="00CF043D" w:rsidP="00CF043D">
      <w:pPr>
        <w:pStyle w:val="Rectitle"/>
        <w:tabs>
          <w:tab w:val="left" w:pos="574"/>
          <w:tab w:val="center" w:pos="4819"/>
        </w:tabs>
      </w:pPr>
      <w:r w:rsidRPr="00CF043D">
        <w:rPr>
          <w:rFonts w:hint="cs"/>
          <w:rtl/>
          <w:lang w:bidi="ar-SA"/>
        </w:rPr>
        <w:t>ال‍مواصفات التفصيلية للسطوح البينية الراديوية للمكوّن الساتلي</w:t>
      </w:r>
      <w:r w:rsidRPr="00CF043D">
        <w:rPr>
          <w:rtl/>
          <w:lang w:bidi="ar-SA"/>
        </w:rPr>
        <w:br/>
      </w:r>
      <w:r w:rsidRPr="00CF043D">
        <w:rPr>
          <w:rFonts w:hint="cs"/>
          <w:rtl/>
          <w:lang w:bidi="ar-SA"/>
        </w:rPr>
        <w:t>للاتصالات ال‍متنقلة الدولية</w:t>
      </w:r>
      <w:r w:rsidRPr="00CF043D">
        <w:rPr>
          <w:lang w:val="en-GB" w:bidi="ar-SA"/>
        </w:rPr>
        <w:t>2000</w:t>
      </w:r>
      <w:r w:rsidRPr="00CF043D">
        <w:rPr>
          <w:lang w:val="en-GB" w:bidi="ar-SA"/>
        </w:rPr>
        <w:noBreakHyphen/>
      </w:r>
      <w:r w:rsidRPr="00CF043D">
        <w:rPr>
          <w:rFonts w:hint="cs"/>
          <w:rtl/>
          <w:lang w:bidi="ar-SA"/>
        </w:rPr>
        <w:t xml:space="preserve"> </w:t>
      </w:r>
      <w:r w:rsidRPr="00CF043D">
        <w:rPr>
          <w:lang w:val="en-GB" w:bidi="ar-SA"/>
        </w:rPr>
        <w:t>(IMT</w:t>
      </w:r>
      <w:r w:rsidRPr="00CF043D">
        <w:rPr>
          <w:lang w:val="en-GB" w:bidi="ar-SA"/>
        </w:rPr>
        <w:noBreakHyphen/>
        <w:t>2000)</w:t>
      </w:r>
    </w:p>
    <w:p w:rsidR="00CF043D" w:rsidRPr="00CF043D" w:rsidRDefault="00CF043D" w:rsidP="00230049">
      <w:pPr>
        <w:rPr>
          <w:rtl/>
          <w:lang w:bidi="ar-SA"/>
        </w:rPr>
      </w:pPr>
      <w:r w:rsidRPr="00CF043D">
        <w:rPr>
          <w:rFonts w:hint="cs"/>
          <w:rtl/>
          <w:lang w:bidi="ar-SA"/>
        </w:rPr>
        <w:t xml:space="preserve">تحدد </w:t>
      </w:r>
      <w:r w:rsidRPr="00CF043D">
        <w:rPr>
          <w:rFonts w:hint="cs"/>
          <w:rtl/>
        </w:rPr>
        <w:t xml:space="preserve">هذه </w:t>
      </w:r>
      <w:r w:rsidRPr="00CF043D">
        <w:rPr>
          <w:rFonts w:hint="cs"/>
          <w:rtl/>
          <w:lang w:bidi="ar-SA"/>
        </w:rPr>
        <w:t>التوصية مواصفات السطوح البينية الراديوية الساتلية للاتصالات ال‍متنقلة الدولية</w:t>
      </w:r>
      <w:r w:rsidRPr="00CF043D">
        <w:rPr>
          <w:lang w:val="en-GB" w:bidi="ar-SA"/>
        </w:rPr>
        <w:t>2000</w:t>
      </w:r>
      <w:r w:rsidRPr="00CF043D">
        <w:rPr>
          <w:lang w:val="en-GB" w:bidi="ar-SA"/>
        </w:rPr>
        <w:noBreakHyphen/>
      </w:r>
      <w:r w:rsidRPr="00CF043D">
        <w:rPr>
          <w:rFonts w:hint="cs"/>
          <w:rtl/>
          <w:lang w:bidi="ar-SA"/>
        </w:rPr>
        <w:t>، التي تقوم أصلاً على ال‍خصائص الرئيسية ال‍محددة في م‍خرجات الأنشطة خارج الات‍حاد الدولي للاتصالات. ولا زالت السطوح البينية الراديوية</w:t>
      </w:r>
      <w:r w:rsidR="00230049">
        <w:rPr>
          <w:rFonts w:hint="cs"/>
          <w:rtl/>
          <w:lang w:bidi="ar-SA"/>
        </w:rPr>
        <w:t xml:space="preserve"> الساتلية</w:t>
      </w:r>
      <w:r w:rsidRPr="00CF043D">
        <w:rPr>
          <w:rFonts w:hint="cs"/>
          <w:rtl/>
          <w:lang w:bidi="ar-SA"/>
        </w:rPr>
        <w:t xml:space="preserve"> للأنظمة ال‍متنقلة الساتلية من ال‍جيل الثالث تتطور ب‍معدل سريع. ونشر المعهد الأوروبي ل‍معايير الاتصالات آخر نسخة في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rtl/>
          <w:lang w:bidi="ar-SA"/>
        </w:rPr>
        <w:t>ديسمبر</w:t>
      </w:r>
      <w:r w:rsidRPr="00CF043D">
        <w:rPr>
          <w:rFonts w:hint="eastAsia"/>
          <w:rtl/>
          <w:lang w:bidi="ar-SA"/>
        </w:rPr>
        <w:t> </w:t>
      </w:r>
      <w:r w:rsidRPr="00CF043D">
        <w:rPr>
          <w:lang w:val="en-GB" w:bidi="ar-SA"/>
        </w:rPr>
        <w:t>2012</w:t>
      </w:r>
      <w:r w:rsidRPr="00CF043D">
        <w:rPr>
          <w:rFonts w:hint="cs"/>
          <w:rtl/>
          <w:lang w:bidi="ar-SA"/>
        </w:rPr>
        <w:t xml:space="preserve">. وتشمل هذه ال‍مراجعة ت‍حديث الفقرة </w:t>
      </w:r>
      <w:r w:rsidRPr="00CF043D">
        <w:rPr>
          <w:lang w:val="en-GB" w:bidi="ar-SA"/>
        </w:rPr>
        <w:t>7.3.4</w:t>
      </w:r>
      <w:r w:rsidRPr="00CF043D">
        <w:rPr>
          <w:rFonts w:hint="cs"/>
          <w:rtl/>
          <w:lang w:bidi="ar-SA"/>
        </w:rPr>
        <w:t xml:space="preserve"> (مواصفات السطح الراديوي الساتلي</w:t>
      </w:r>
      <w:r w:rsidRPr="00CF043D">
        <w:rPr>
          <w:rFonts w:hint="eastAsia"/>
          <w:rtl/>
          <w:lang w:bidi="ar-SA"/>
        </w:rPr>
        <w:t> </w:t>
      </w:r>
      <w:r w:rsidRPr="00CF043D">
        <w:rPr>
          <w:lang w:val="en-GB" w:bidi="ar-SA"/>
        </w:rPr>
        <w:t>H</w:t>
      </w:r>
      <w:r w:rsidRPr="00CF043D">
        <w:rPr>
          <w:rFonts w:hint="cs"/>
          <w:rtl/>
          <w:lang w:bidi="ar-SA"/>
        </w:rPr>
        <w:t>) كي تكون التوصية</w:t>
      </w:r>
      <w:r w:rsidRPr="00CF043D">
        <w:rPr>
          <w:rFonts w:hint="eastAsia"/>
          <w:rtl/>
          <w:lang w:bidi="ar-SA"/>
        </w:rPr>
        <w:t> </w:t>
      </w:r>
      <w:r w:rsidRPr="00CF043D">
        <w:rPr>
          <w:rFonts w:hint="cs"/>
          <w:rtl/>
          <w:lang w:bidi="ar-SA"/>
        </w:rPr>
        <w:t xml:space="preserve">متسقة مع مواصفات النظام الراديوي ال‍متنقل </w:t>
      </w:r>
      <w:r w:rsidR="00230049" w:rsidRPr="00425155">
        <w:rPr>
          <w:rFonts w:hint="cs"/>
          <w:rtl/>
          <w:lang w:bidi="ar-SA"/>
        </w:rPr>
        <w:t>المستقر</w:t>
      </w:r>
      <w:r w:rsidRPr="00CF043D">
        <w:rPr>
          <w:rFonts w:hint="cs"/>
          <w:rtl/>
          <w:lang w:bidi="ar-SA"/>
        </w:rPr>
        <w:t xml:space="preserve"> بالنسبة إلى الأرض </w:t>
      </w:r>
      <w:r w:rsidRPr="00CF043D">
        <w:rPr>
          <w:lang w:val="en-GB" w:bidi="ar-SA"/>
        </w:rPr>
        <w:t>(GMR</w:t>
      </w:r>
      <w:r w:rsidRPr="00CF043D">
        <w:rPr>
          <w:lang w:val="en-GB" w:bidi="ar-SA"/>
        </w:rPr>
        <w:noBreakHyphen/>
        <w:t>1)</w:t>
      </w:r>
      <w:r w:rsidRPr="00CF043D">
        <w:rPr>
          <w:rFonts w:hint="cs"/>
          <w:rtl/>
          <w:lang w:bidi="ar-SA"/>
        </w:rPr>
        <w:t xml:space="preserve"> ال‍معمول به حالياً. ولا</w:t>
      </w:r>
      <w:r w:rsidR="00230049">
        <w:rPr>
          <w:rFonts w:hint="eastAsia"/>
          <w:rtl/>
          <w:lang w:bidi="ar-SA"/>
        </w:rPr>
        <w:t> </w:t>
      </w:r>
      <w:r w:rsidRPr="00CF043D">
        <w:rPr>
          <w:rFonts w:hint="cs"/>
          <w:rtl/>
          <w:lang w:bidi="ar-SA"/>
        </w:rPr>
        <w:t>يقتضي هذا التقديم أي شكل من أشكال التقييم الذاتي إذ لا يؤثر أي تغيير من التغييرات على الإجابات للنموذج المقدم في النسخة ال‍حالية لهذه التوصية.</w:t>
      </w:r>
    </w:p>
    <w:p w:rsidR="00CF043D" w:rsidRPr="00EF1DE3" w:rsidRDefault="00CF043D" w:rsidP="00CF043D">
      <w:r w:rsidRPr="00B2510B">
        <w:rPr>
          <w:rFonts w:hint="cs"/>
          <w:spacing w:val="6"/>
          <w:rtl/>
          <w:lang w:bidi="ar-SA"/>
        </w:rPr>
        <w:t xml:space="preserve">وتشمل التحديثات إضافة فقرتين فرعيتين جديدتين وزيادة النص الذي يصف ال‍ملامح الرئيسية للإصدارات ال‍جديدة فضلاً </w:t>
      </w:r>
      <w:r w:rsidRPr="008707C3">
        <w:rPr>
          <w:rFonts w:hint="cs"/>
          <w:spacing w:val="2"/>
          <w:rtl/>
          <w:lang w:bidi="ar-SA"/>
        </w:rPr>
        <w:t xml:space="preserve">عن ت‍حديث الأرقام وال‍جداول لوصف ال‍معيار ال‍حالي بشكل أفضل. وتشمل هذه التعديلات مواضيع تتعلق بكفاءة تنفيذ البث المتعدد وتغطية ال‍حزمة ال‍مرنة ومتغيرات </w:t>
      </w:r>
      <w:r w:rsidRPr="008707C3">
        <w:rPr>
          <w:spacing w:val="2"/>
          <w:lang w:val="en-GB" w:bidi="ar-SA"/>
        </w:rPr>
        <w:t>PDTCH</w:t>
      </w:r>
      <w:r w:rsidRPr="008707C3">
        <w:rPr>
          <w:rFonts w:hint="cs"/>
          <w:spacing w:val="2"/>
          <w:rtl/>
          <w:lang w:bidi="ar-SA"/>
        </w:rPr>
        <w:t xml:space="preserve"> ال‍جديدة وتنفيذ قنوات التحكم. وي‍جري ت‍حديث مراجع وثيقة ال‍معهد الأوروبي</w:t>
      </w:r>
      <w:r w:rsidRPr="00CF043D">
        <w:rPr>
          <w:rFonts w:hint="cs"/>
          <w:rtl/>
          <w:lang w:bidi="ar-SA"/>
        </w:rPr>
        <w:t xml:space="preserve"> ل‍معايير الاتصالات في النص بالكامل. وأدخلت أيضاً بعض التعديلات الصياغية الطفيفة الأخرى.</w:t>
      </w:r>
    </w:p>
    <w:p w:rsidR="00E13DF4" w:rsidRPr="00EF1DE3" w:rsidRDefault="00E13DF4" w:rsidP="00C77BD6">
      <w:pPr>
        <w:spacing w:before="600"/>
        <w:jc w:val="center"/>
        <w:rPr>
          <w:rtl/>
          <w:lang w:eastAsia="zh-CN"/>
        </w:rPr>
      </w:pPr>
      <w:r w:rsidRPr="00EF1DE3">
        <w:rPr>
          <w:rFonts w:hint="cs"/>
          <w:rtl/>
          <w:lang w:eastAsia="zh-CN"/>
        </w:rPr>
        <w:t>___________</w:t>
      </w:r>
    </w:p>
    <w:sectPr w:rsidR="00E13DF4" w:rsidRPr="00EF1DE3" w:rsidSect="00F70257">
      <w:head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EA" w:rsidRDefault="00F961EA" w:rsidP="0040641C">
      <w:r>
        <w:separator/>
      </w:r>
    </w:p>
    <w:p w:rsidR="00F961EA" w:rsidRDefault="00F961EA" w:rsidP="0040641C"/>
    <w:p w:rsidR="00F961EA" w:rsidRDefault="00F961EA" w:rsidP="0040641C"/>
  </w:endnote>
  <w:endnote w:type="continuationSeparator" w:id="0">
    <w:p w:rsidR="00F961EA" w:rsidRDefault="00F961EA" w:rsidP="0040641C">
      <w:r>
        <w:continuationSeparator/>
      </w:r>
    </w:p>
    <w:p w:rsidR="00F961EA" w:rsidRDefault="00F961EA" w:rsidP="0040641C"/>
    <w:p w:rsidR="00F961EA" w:rsidRDefault="00F961EA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C0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EA" w:rsidRDefault="00F961EA" w:rsidP="0040641C">
      <w:r>
        <w:t>____________________</w:t>
      </w:r>
    </w:p>
  </w:footnote>
  <w:footnote w:type="continuationSeparator" w:id="0">
    <w:p w:rsidR="00F961EA" w:rsidRDefault="00F961EA" w:rsidP="0040641C">
      <w:r>
        <w:continuationSeparator/>
      </w:r>
    </w:p>
    <w:p w:rsidR="00F961EA" w:rsidRDefault="00F961EA" w:rsidP="0040641C"/>
    <w:p w:rsidR="00F961EA" w:rsidRDefault="00F961EA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C0" w:rsidRPr="00D514AB" w:rsidRDefault="009453C0" w:rsidP="0040641C">
    <w:pPr>
      <w:pStyle w:val="Header"/>
      <w:bidi w:val="0"/>
      <w:rPr>
        <w:rStyle w:val="PageNumber"/>
        <w:rFonts w:cs="Calibri"/>
        <w:szCs w:val="18"/>
      </w:rPr>
    </w:pPr>
    <w:r w:rsidRPr="00D514AB">
      <w:rPr>
        <w:szCs w:val="18"/>
      </w:rPr>
      <w:t xml:space="preserve">- </w:t>
    </w:r>
    <w:r w:rsidRPr="00D514AB">
      <w:rPr>
        <w:rStyle w:val="PageNumber"/>
        <w:rFonts w:cs="Calibri"/>
        <w:szCs w:val="18"/>
      </w:rPr>
      <w:fldChar w:fldCharType="begin"/>
    </w:r>
    <w:r w:rsidRPr="00D514AB">
      <w:rPr>
        <w:rStyle w:val="PageNumber"/>
        <w:rFonts w:cs="Calibri"/>
        <w:szCs w:val="18"/>
      </w:rPr>
      <w:instrText xml:space="preserve"> PAGE </w:instrText>
    </w:r>
    <w:r w:rsidRPr="00D514AB">
      <w:rPr>
        <w:rStyle w:val="PageNumber"/>
        <w:rFonts w:cs="Calibri"/>
        <w:szCs w:val="18"/>
      </w:rPr>
      <w:fldChar w:fldCharType="separate"/>
    </w:r>
    <w:r w:rsidR="00D514AB">
      <w:rPr>
        <w:rStyle w:val="PageNumber"/>
        <w:rFonts w:cs="Calibri"/>
        <w:noProof/>
        <w:szCs w:val="18"/>
      </w:rPr>
      <w:t>4</w:t>
    </w:r>
    <w:r w:rsidRPr="00D514AB">
      <w:rPr>
        <w:rStyle w:val="PageNumber"/>
        <w:rFonts w:cs="Calibri"/>
        <w:szCs w:val="18"/>
      </w:rPr>
      <w:fldChar w:fldCharType="end"/>
    </w:r>
    <w:r w:rsidRPr="00D514AB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C0" w:rsidRDefault="009453C0" w:rsidP="0040641C">
    <w:pPr>
      <w:pStyle w:val="Header"/>
    </w:pPr>
    <w:r w:rsidRPr="00B46FCF">
      <w:rPr>
        <w:noProof/>
        <w:lang w:bidi="ar-SA"/>
      </w:rPr>
      <w:drawing>
        <wp:inline distT="0" distB="0" distL="0" distR="0" wp14:anchorId="0C68ADDA" wp14:editId="26E2496E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4C6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982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4CD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6C7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420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42A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8AA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81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0CC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A0B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06A54"/>
    <w:rsid w:val="00016557"/>
    <w:rsid w:val="000169D1"/>
    <w:rsid w:val="00017A26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46309"/>
    <w:rsid w:val="000508A6"/>
    <w:rsid w:val="00054872"/>
    <w:rsid w:val="0006741F"/>
    <w:rsid w:val="00067CA9"/>
    <w:rsid w:val="00073B79"/>
    <w:rsid w:val="00081BCB"/>
    <w:rsid w:val="000830CC"/>
    <w:rsid w:val="00083ED6"/>
    <w:rsid w:val="00083F49"/>
    <w:rsid w:val="00090D9C"/>
    <w:rsid w:val="00093195"/>
    <w:rsid w:val="0009721E"/>
    <w:rsid w:val="000A1733"/>
    <w:rsid w:val="000A35C5"/>
    <w:rsid w:val="000A5F71"/>
    <w:rsid w:val="000A6C6C"/>
    <w:rsid w:val="000A6F21"/>
    <w:rsid w:val="000B1297"/>
    <w:rsid w:val="000B6EB6"/>
    <w:rsid w:val="000C172C"/>
    <w:rsid w:val="000C35B8"/>
    <w:rsid w:val="000C61AB"/>
    <w:rsid w:val="000C7EF1"/>
    <w:rsid w:val="000D0AE5"/>
    <w:rsid w:val="000D29DE"/>
    <w:rsid w:val="000D3ED1"/>
    <w:rsid w:val="000E15C1"/>
    <w:rsid w:val="000E606D"/>
    <w:rsid w:val="000E64DA"/>
    <w:rsid w:val="000E7F52"/>
    <w:rsid w:val="000F527D"/>
    <w:rsid w:val="000F651B"/>
    <w:rsid w:val="00104B09"/>
    <w:rsid w:val="0010737B"/>
    <w:rsid w:val="00110801"/>
    <w:rsid w:val="00113182"/>
    <w:rsid w:val="00113392"/>
    <w:rsid w:val="001214B1"/>
    <w:rsid w:val="001237EB"/>
    <w:rsid w:val="00125B91"/>
    <w:rsid w:val="001260DF"/>
    <w:rsid w:val="00126A16"/>
    <w:rsid w:val="00135138"/>
    <w:rsid w:val="00136E36"/>
    <w:rsid w:val="00142B86"/>
    <w:rsid w:val="00151B87"/>
    <w:rsid w:val="00154A1B"/>
    <w:rsid w:val="0017087A"/>
    <w:rsid w:val="0017235D"/>
    <w:rsid w:val="00173656"/>
    <w:rsid w:val="0017621F"/>
    <w:rsid w:val="001809BF"/>
    <w:rsid w:val="00182849"/>
    <w:rsid w:val="00190717"/>
    <w:rsid w:val="001907F7"/>
    <w:rsid w:val="00190CFB"/>
    <w:rsid w:val="00193285"/>
    <w:rsid w:val="00194644"/>
    <w:rsid w:val="0019531F"/>
    <w:rsid w:val="00195371"/>
    <w:rsid w:val="001A0D98"/>
    <w:rsid w:val="001A4258"/>
    <w:rsid w:val="001A4C26"/>
    <w:rsid w:val="001A77EE"/>
    <w:rsid w:val="001B0B68"/>
    <w:rsid w:val="001B20D0"/>
    <w:rsid w:val="001B2272"/>
    <w:rsid w:val="001B22F8"/>
    <w:rsid w:val="001B2DBA"/>
    <w:rsid w:val="001B3753"/>
    <w:rsid w:val="001B5816"/>
    <w:rsid w:val="001C517C"/>
    <w:rsid w:val="001D1D48"/>
    <w:rsid w:val="001D2B4A"/>
    <w:rsid w:val="001D3DB5"/>
    <w:rsid w:val="001D6741"/>
    <w:rsid w:val="001E15AA"/>
    <w:rsid w:val="001E5393"/>
    <w:rsid w:val="001F045C"/>
    <w:rsid w:val="001F1AD6"/>
    <w:rsid w:val="002014D0"/>
    <w:rsid w:val="002037D6"/>
    <w:rsid w:val="00203DBD"/>
    <w:rsid w:val="00205583"/>
    <w:rsid w:val="00206E2B"/>
    <w:rsid w:val="0021094B"/>
    <w:rsid w:val="002109F4"/>
    <w:rsid w:val="00210B45"/>
    <w:rsid w:val="00212F56"/>
    <w:rsid w:val="0021377C"/>
    <w:rsid w:val="00214333"/>
    <w:rsid w:val="002162E8"/>
    <w:rsid w:val="0021748E"/>
    <w:rsid w:val="00220DD0"/>
    <w:rsid w:val="00221936"/>
    <w:rsid w:val="00227F65"/>
    <w:rsid w:val="00230049"/>
    <w:rsid w:val="00233C28"/>
    <w:rsid w:val="00237A86"/>
    <w:rsid w:val="00245161"/>
    <w:rsid w:val="00245428"/>
    <w:rsid w:val="00253EA4"/>
    <w:rsid w:val="0025541E"/>
    <w:rsid w:val="002575E3"/>
    <w:rsid w:val="00263682"/>
    <w:rsid w:val="00267FC7"/>
    <w:rsid w:val="002717F0"/>
    <w:rsid w:val="0027690C"/>
    <w:rsid w:val="0027799D"/>
    <w:rsid w:val="0028204F"/>
    <w:rsid w:val="002917EF"/>
    <w:rsid w:val="00291BE8"/>
    <w:rsid w:val="00292248"/>
    <w:rsid w:val="00293629"/>
    <w:rsid w:val="00294458"/>
    <w:rsid w:val="002A4BA8"/>
    <w:rsid w:val="002B12A8"/>
    <w:rsid w:val="002B4254"/>
    <w:rsid w:val="002C090D"/>
    <w:rsid w:val="002C1EEA"/>
    <w:rsid w:val="002C753A"/>
    <w:rsid w:val="002D087B"/>
    <w:rsid w:val="002D166F"/>
    <w:rsid w:val="002D34D0"/>
    <w:rsid w:val="002D6D32"/>
    <w:rsid w:val="002E0FCD"/>
    <w:rsid w:val="002E3792"/>
    <w:rsid w:val="002E4185"/>
    <w:rsid w:val="002F09E5"/>
    <w:rsid w:val="002F1732"/>
    <w:rsid w:val="002F5120"/>
    <w:rsid w:val="002F6FED"/>
    <w:rsid w:val="00304954"/>
    <w:rsid w:val="00307993"/>
    <w:rsid w:val="00312F0F"/>
    <w:rsid w:val="00316B78"/>
    <w:rsid w:val="0032158B"/>
    <w:rsid w:val="00322AF8"/>
    <w:rsid w:val="00323A75"/>
    <w:rsid w:val="00340388"/>
    <w:rsid w:val="00343581"/>
    <w:rsid w:val="00345143"/>
    <w:rsid w:val="00345C9C"/>
    <w:rsid w:val="00346111"/>
    <w:rsid w:val="00351FF7"/>
    <w:rsid w:val="00362963"/>
    <w:rsid w:val="00362E1A"/>
    <w:rsid w:val="0036449B"/>
    <w:rsid w:val="003674A6"/>
    <w:rsid w:val="00370730"/>
    <w:rsid w:val="0037417F"/>
    <w:rsid w:val="0038391B"/>
    <w:rsid w:val="00387575"/>
    <w:rsid w:val="00397172"/>
    <w:rsid w:val="003A40F2"/>
    <w:rsid w:val="003A59BD"/>
    <w:rsid w:val="003B1B5D"/>
    <w:rsid w:val="003B1FBA"/>
    <w:rsid w:val="003B3306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46EA"/>
    <w:rsid w:val="00404865"/>
    <w:rsid w:val="0040516B"/>
    <w:rsid w:val="0040641C"/>
    <w:rsid w:val="004071CB"/>
    <w:rsid w:val="004100F4"/>
    <w:rsid w:val="00411A4F"/>
    <w:rsid w:val="004140EA"/>
    <w:rsid w:val="00414CE4"/>
    <w:rsid w:val="0042016B"/>
    <w:rsid w:val="00425155"/>
    <w:rsid w:val="00434805"/>
    <w:rsid w:val="00436EDB"/>
    <w:rsid w:val="004406E3"/>
    <w:rsid w:val="00442987"/>
    <w:rsid w:val="0044629C"/>
    <w:rsid w:val="0044634B"/>
    <w:rsid w:val="00450FAA"/>
    <w:rsid w:val="00453D4D"/>
    <w:rsid w:val="004632D8"/>
    <w:rsid w:val="004646F6"/>
    <w:rsid w:val="00466806"/>
    <w:rsid w:val="004668A0"/>
    <w:rsid w:val="00467F4F"/>
    <w:rsid w:val="00471862"/>
    <w:rsid w:val="0047339A"/>
    <w:rsid w:val="00473950"/>
    <w:rsid w:val="00481EE1"/>
    <w:rsid w:val="004901F9"/>
    <w:rsid w:val="004A1050"/>
    <w:rsid w:val="004A5AB1"/>
    <w:rsid w:val="004C1881"/>
    <w:rsid w:val="004C270F"/>
    <w:rsid w:val="004C4280"/>
    <w:rsid w:val="004D245A"/>
    <w:rsid w:val="004D4294"/>
    <w:rsid w:val="004D49C1"/>
    <w:rsid w:val="004D65FA"/>
    <w:rsid w:val="004D75FF"/>
    <w:rsid w:val="004D77CF"/>
    <w:rsid w:val="004F027E"/>
    <w:rsid w:val="004F26AE"/>
    <w:rsid w:val="004F6F22"/>
    <w:rsid w:val="00501B47"/>
    <w:rsid w:val="0050504B"/>
    <w:rsid w:val="00514374"/>
    <w:rsid w:val="00514D5E"/>
    <w:rsid w:val="0051634A"/>
    <w:rsid w:val="0051747D"/>
    <w:rsid w:val="005176E4"/>
    <w:rsid w:val="00526068"/>
    <w:rsid w:val="0053317C"/>
    <w:rsid w:val="00534DA7"/>
    <w:rsid w:val="005355D7"/>
    <w:rsid w:val="00535AFB"/>
    <w:rsid w:val="0053780B"/>
    <w:rsid w:val="00554B1F"/>
    <w:rsid w:val="0055521C"/>
    <w:rsid w:val="00555296"/>
    <w:rsid w:val="00566F8C"/>
    <w:rsid w:val="00576E39"/>
    <w:rsid w:val="005817FC"/>
    <w:rsid w:val="005833C9"/>
    <w:rsid w:val="005851BA"/>
    <w:rsid w:val="005852BA"/>
    <w:rsid w:val="00587AD2"/>
    <w:rsid w:val="00595800"/>
    <w:rsid w:val="005B1E06"/>
    <w:rsid w:val="005B22CD"/>
    <w:rsid w:val="005B4154"/>
    <w:rsid w:val="005B70AB"/>
    <w:rsid w:val="005B7E8A"/>
    <w:rsid w:val="005C263D"/>
    <w:rsid w:val="005C5449"/>
    <w:rsid w:val="005C6634"/>
    <w:rsid w:val="005E0656"/>
    <w:rsid w:val="005E10D0"/>
    <w:rsid w:val="005E4BF8"/>
    <w:rsid w:val="005E77F8"/>
    <w:rsid w:val="005F130D"/>
    <w:rsid w:val="005F5D8E"/>
    <w:rsid w:val="005F7F4C"/>
    <w:rsid w:val="00601980"/>
    <w:rsid w:val="0060519A"/>
    <w:rsid w:val="00607DDF"/>
    <w:rsid w:val="006136BC"/>
    <w:rsid w:val="0061632E"/>
    <w:rsid w:val="00616897"/>
    <w:rsid w:val="006178BB"/>
    <w:rsid w:val="00617D81"/>
    <w:rsid w:val="00624358"/>
    <w:rsid w:val="00624435"/>
    <w:rsid w:val="0062794A"/>
    <w:rsid w:val="00630566"/>
    <w:rsid w:val="006308CF"/>
    <w:rsid w:val="00634C02"/>
    <w:rsid w:val="00637C9D"/>
    <w:rsid w:val="0064068A"/>
    <w:rsid w:val="00644787"/>
    <w:rsid w:val="006453C4"/>
    <w:rsid w:val="0064578D"/>
    <w:rsid w:val="0065032D"/>
    <w:rsid w:val="00652705"/>
    <w:rsid w:val="00652CEC"/>
    <w:rsid w:val="00652DF5"/>
    <w:rsid w:val="00652EF9"/>
    <w:rsid w:val="006564FB"/>
    <w:rsid w:val="00657308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69E0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E742B"/>
    <w:rsid w:val="006F6DD0"/>
    <w:rsid w:val="006F7396"/>
    <w:rsid w:val="007004B3"/>
    <w:rsid w:val="007016A3"/>
    <w:rsid w:val="00702A71"/>
    <w:rsid w:val="00702B45"/>
    <w:rsid w:val="00706736"/>
    <w:rsid w:val="00706B76"/>
    <w:rsid w:val="007071E5"/>
    <w:rsid w:val="00707981"/>
    <w:rsid w:val="007109FB"/>
    <w:rsid w:val="0071106C"/>
    <w:rsid w:val="00714C2F"/>
    <w:rsid w:val="00714F54"/>
    <w:rsid w:val="007221BA"/>
    <w:rsid w:val="00722792"/>
    <w:rsid w:val="00723795"/>
    <w:rsid w:val="007337E7"/>
    <w:rsid w:val="00737537"/>
    <w:rsid w:val="00745C10"/>
    <w:rsid w:val="00746900"/>
    <w:rsid w:val="007537F2"/>
    <w:rsid w:val="0075479D"/>
    <w:rsid w:val="00756479"/>
    <w:rsid w:val="00762370"/>
    <w:rsid w:val="007651E9"/>
    <w:rsid w:val="0076544C"/>
    <w:rsid w:val="00771C1E"/>
    <w:rsid w:val="0077256B"/>
    <w:rsid w:val="0077642B"/>
    <w:rsid w:val="00777D00"/>
    <w:rsid w:val="00786005"/>
    <w:rsid w:val="00790041"/>
    <w:rsid w:val="007952B9"/>
    <w:rsid w:val="00795857"/>
    <w:rsid w:val="00797989"/>
    <w:rsid w:val="007A56AC"/>
    <w:rsid w:val="007A59D7"/>
    <w:rsid w:val="007B2D6C"/>
    <w:rsid w:val="007B33AB"/>
    <w:rsid w:val="007C2ADA"/>
    <w:rsid w:val="007C68C3"/>
    <w:rsid w:val="007D08CB"/>
    <w:rsid w:val="007D0F20"/>
    <w:rsid w:val="007D2EBF"/>
    <w:rsid w:val="007D7559"/>
    <w:rsid w:val="007E02F9"/>
    <w:rsid w:val="007E0BFD"/>
    <w:rsid w:val="007E3C9C"/>
    <w:rsid w:val="007E6CD5"/>
    <w:rsid w:val="007F2EC0"/>
    <w:rsid w:val="007F3CB0"/>
    <w:rsid w:val="007F774B"/>
    <w:rsid w:val="008071D0"/>
    <w:rsid w:val="008079E6"/>
    <w:rsid w:val="00810698"/>
    <w:rsid w:val="00811467"/>
    <w:rsid w:val="00813125"/>
    <w:rsid w:val="00825961"/>
    <w:rsid w:val="008301B6"/>
    <w:rsid w:val="00830C2F"/>
    <w:rsid w:val="00840070"/>
    <w:rsid w:val="00840C1F"/>
    <w:rsid w:val="00843FA0"/>
    <w:rsid w:val="00851629"/>
    <w:rsid w:val="00857981"/>
    <w:rsid w:val="008663FF"/>
    <w:rsid w:val="008707C3"/>
    <w:rsid w:val="0087209B"/>
    <w:rsid w:val="0087580E"/>
    <w:rsid w:val="00881D43"/>
    <w:rsid w:val="00885D63"/>
    <w:rsid w:val="00887F2D"/>
    <w:rsid w:val="00895355"/>
    <w:rsid w:val="0089563F"/>
    <w:rsid w:val="00895F88"/>
    <w:rsid w:val="008A2811"/>
    <w:rsid w:val="008A3C3B"/>
    <w:rsid w:val="008B4D20"/>
    <w:rsid w:val="008B6964"/>
    <w:rsid w:val="008C09DD"/>
    <w:rsid w:val="008C29C9"/>
    <w:rsid w:val="008C6E6A"/>
    <w:rsid w:val="008D09DD"/>
    <w:rsid w:val="008D43F1"/>
    <w:rsid w:val="008D4874"/>
    <w:rsid w:val="008D5D5C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53C0"/>
    <w:rsid w:val="009463F8"/>
    <w:rsid w:val="009578AB"/>
    <w:rsid w:val="00960FD3"/>
    <w:rsid w:val="00963CCF"/>
    <w:rsid w:val="0096482F"/>
    <w:rsid w:val="009676DC"/>
    <w:rsid w:val="00973E6B"/>
    <w:rsid w:val="009746CA"/>
    <w:rsid w:val="009761C3"/>
    <w:rsid w:val="00980D6F"/>
    <w:rsid w:val="00982451"/>
    <w:rsid w:val="009846D5"/>
    <w:rsid w:val="00985D70"/>
    <w:rsid w:val="0099072C"/>
    <w:rsid w:val="00996765"/>
    <w:rsid w:val="009A20CA"/>
    <w:rsid w:val="009A361F"/>
    <w:rsid w:val="009C056D"/>
    <w:rsid w:val="009C16B7"/>
    <w:rsid w:val="009D3F00"/>
    <w:rsid w:val="009D4DB1"/>
    <w:rsid w:val="009D4F69"/>
    <w:rsid w:val="009E068B"/>
    <w:rsid w:val="009E1293"/>
    <w:rsid w:val="009E14F3"/>
    <w:rsid w:val="009E1957"/>
    <w:rsid w:val="009E63FC"/>
    <w:rsid w:val="009E69A1"/>
    <w:rsid w:val="009F653A"/>
    <w:rsid w:val="00A0393D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2FDD"/>
    <w:rsid w:val="00A6534C"/>
    <w:rsid w:val="00A71C23"/>
    <w:rsid w:val="00A77413"/>
    <w:rsid w:val="00A82657"/>
    <w:rsid w:val="00A849DB"/>
    <w:rsid w:val="00A8754E"/>
    <w:rsid w:val="00A931FC"/>
    <w:rsid w:val="00A96AF9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18C6"/>
    <w:rsid w:val="00AD21F2"/>
    <w:rsid w:val="00AD5754"/>
    <w:rsid w:val="00AD7123"/>
    <w:rsid w:val="00AE1F6F"/>
    <w:rsid w:val="00AF260B"/>
    <w:rsid w:val="00AF373E"/>
    <w:rsid w:val="00AF46D6"/>
    <w:rsid w:val="00AF4F7D"/>
    <w:rsid w:val="00AF5281"/>
    <w:rsid w:val="00B00BF1"/>
    <w:rsid w:val="00B00EB2"/>
    <w:rsid w:val="00B016A5"/>
    <w:rsid w:val="00B02760"/>
    <w:rsid w:val="00B05BCE"/>
    <w:rsid w:val="00B12C70"/>
    <w:rsid w:val="00B14618"/>
    <w:rsid w:val="00B14E56"/>
    <w:rsid w:val="00B1559B"/>
    <w:rsid w:val="00B2510B"/>
    <w:rsid w:val="00B27185"/>
    <w:rsid w:val="00B30EEC"/>
    <w:rsid w:val="00B4115B"/>
    <w:rsid w:val="00B43876"/>
    <w:rsid w:val="00B45F21"/>
    <w:rsid w:val="00B46AFC"/>
    <w:rsid w:val="00B46FCF"/>
    <w:rsid w:val="00B56018"/>
    <w:rsid w:val="00B57344"/>
    <w:rsid w:val="00B579CE"/>
    <w:rsid w:val="00B60460"/>
    <w:rsid w:val="00B61B2F"/>
    <w:rsid w:val="00B622F5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75D4"/>
    <w:rsid w:val="00BA4A06"/>
    <w:rsid w:val="00BA62CA"/>
    <w:rsid w:val="00BB0440"/>
    <w:rsid w:val="00BB2C06"/>
    <w:rsid w:val="00BB5EE6"/>
    <w:rsid w:val="00BC0B60"/>
    <w:rsid w:val="00BC2598"/>
    <w:rsid w:val="00BC7796"/>
    <w:rsid w:val="00BE33F5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03BF3"/>
    <w:rsid w:val="00C14758"/>
    <w:rsid w:val="00C1691A"/>
    <w:rsid w:val="00C2024A"/>
    <w:rsid w:val="00C2742E"/>
    <w:rsid w:val="00C353CC"/>
    <w:rsid w:val="00C3667E"/>
    <w:rsid w:val="00C37B75"/>
    <w:rsid w:val="00C46998"/>
    <w:rsid w:val="00C50B61"/>
    <w:rsid w:val="00C60D20"/>
    <w:rsid w:val="00C6168E"/>
    <w:rsid w:val="00C626AC"/>
    <w:rsid w:val="00C638F9"/>
    <w:rsid w:val="00C66145"/>
    <w:rsid w:val="00C6636D"/>
    <w:rsid w:val="00C70ACD"/>
    <w:rsid w:val="00C71CE9"/>
    <w:rsid w:val="00C73E29"/>
    <w:rsid w:val="00C75D64"/>
    <w:rsid w:val="00C76AFF"/>
    <w:rsid w:val="00C77BD6"/>
    <w:rsid w:val="00C77E1E"/>
    <w:rsid w:val="00C81F32"/>
    <w:rsid w:val="00C90B49"/>
    <w:rsid w:val="00C91FBF"/>
    <w:rsid w:val="00CA031D"/>
    <w:rsid w:val="00CA3E98"/>
    <w:rsid w:val="00CA481F"/>
    <w:rsid w:val="00CB216D"/>
    <w:rsid w:val="00CB2F8B"/>
    <w:rsid w:val="00CB2F93"/>
    <w:rsid w:val="00CB4CC7"/>
    <w:rsid w:val="00CB4F19"/>
    <w:rsid w:val="00CB6A0F"/>
    <w:rsid w:val="00CC25E3"/>
    <w:rsid w:val="00CC5722"/>
    <w:rsid w:val="00CC5E5E"/>
    <w:rsid w:val="00CC7BB1"/>
    <w:rsid w:val="00CD4B68"/>
    <w:rsid w:val="00CD4CB2"/>
    <w:rsid w:val="00CE4CFB"/>
    <w:rsid w:val="00CE5A31"/>
    <w:rsid w:val="00CE6545"/>
    <w:rsid w:val="00CE7DFB"/>
    <w:rsid w:val="00CF043D"/>
    <w:rsid w:val="00CF153D"/>
    <w:rsid w:val="00CF489C"/>
    <w:rsid w:val="00D01442"/>
    <w:rsid w:val="00D06594"/>
    <w:rsid w:val="00D10118"/>
    <w:rsid w:val="00D1218A"/>
    <w:rsid w:val="00D1438A"/>
    <w:rsid w:val="00D16A8B"/>
    <w:rsid w:val="00D272C1"/>
    <w:rsid w:val="00D31C76"/>
    <w:rsid w:val="00D332B2"/>
    <w:rsid w:val="00D343D6"/>
    <w:rsid w:val="00D35752"/>
    <w:rsid w:val="00D4064B"/>
    <w:rsid w:val="00D416B4"/>
    <w:rsid w:val="00D4383B"/>
    <w:rsid w:val="00D463D0"/>
    <w:rsid w:val="00D514AB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97898"/>
    <w:rsid w:val="00DB0D91"/>
    <w:rsid w:val="00DB34B9"/>
    <w:rsid w:val="00DB37F6"/>
    <w:rsid w:val="00DB44A0"/>
    <w:rsid w:val="00DB5ECF"/>
    <w:rsid w:val="00DC004A"/>
    <w:rsid w:val="00DC1F44"/>
    <w:rsid w:val="00DC3055"/>
    <w:rsid w:val="00DC3C7A"/>
    <w:rsid w:val="00DC601C"/>
    <w:rsid w:val="00DD4971"/>
    <w:rsid w:val="00DD52A9"/>
    <w:rsid w:val="00DE3C02"/>
    <w:rsid w:val="00DE4BF2"/>
    <w:rsid w:val="00DE5184"/>
    <w:rsid w:val="00DF6109"/>
    <w:rsid w:val="00E039FF"/>
    <w:rsid w:val="00E13A1A"/>
    <w:rsid w:val="00E13DF4"/>
    <w:rsid w:val="00E20B9C"/>
    <w:rsid w:val="00E22143"/>
    <w:rsid w:val="00E2456B"/>
    <w:rsid w:val="00E25F00"/>
    <w:rsid w:val="00E26080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189"/>
    <w:rsid w:val="00E71B76"/>
    <w:rsid w:val="00E765C7"/>
    <w:rsid w:val="00E77927"/>
    <w:rsid w:val="00E8544E"/>
    <w:rsid w:val="00E87DCC"/>
    <w:rsid w:val="00E962CA"/>
    <w:rsid w:val="00EA347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1DE3"/>
    <w:rsid w:val="00EF55C9"/>
    <w:rsid w:val="00F00A50"/>
    <w:rsid w:val="00F0176F"/>
    <w:rsid w:val="00F02ECF"/>
    <w:rsid w:val="00F10BB0"/>
    <w:rsid w:val="00F11BF1"/>
    <w:rsid w:val="00F146DF"/>
    <w:rsid w:val="00F148C0"/>
    <w:rsid w:val="00F168F9"/>
    <w:rsid w:val="00F23328"/>
    <w:rsid w:val="00F24131"/>
    <w:rsid w:val="00F25EDB"/>
    <w:rsid w:val="00F31AB4"/>
    <w:rsid w:val="00F3354A"/>
    <w:rsid w:val="00F372E9"/>
    <w:rsid w:val="00F373C8"/>
    <w:rsid w:val="00F373DC"/>
    <w:rsid w:val="00F42740"/>
    <w:rsid w:val="00F47641"/>
    <w:rsid w:val="00F51414"/>
    <w:rsid w:val="00F532FC"/>
    <w:rsid w:val="00F55949"/>
    <w:rsid w:val="00F61324"/>
    <w:rsid w:val="00F62CAD"/>
    <w:rsid w:val="00F66CC3"/>
    <w:rsid w:val="00F70257"/>
    <w:rsid w:val="00F7302E"/>
    <w:rsid w:val="00F769F8"/>
    <w:rsid w:val="00F77627"/>
    <w:rsid w:val="00F82F1D"/>
    <w:rsid w:val="00F87CD1"/>
    <w:rsid w:val="00F906C2"/>
    <w:rsid w:val="00F95076"/>
    <w:rsid w:val="00F961EA"/>
    <w:rsid w:val="00F97A29"/>
    <w:rsid w:val="00FA3DAF"/>
    <w:rsid w:val="00FB05F7"/>
    <w:rsid w:val="00FB1538"/>
    <w:rsid w:val="00FB5847"/>
    <w:rsid w:val="00FC2192"/>
    <w:rsid w:val="00FC23A6"/>
    <w:rsid w:val="00FC5D4C"/>
    <w:rsid w:val="00FC6453"/>
    <w:rsid w:val="00FC6FF5"/>
    <w:rsid w:val="00FD08D7"/>
    <w:rsid w:val="00FD61E9"/>
    <w:rsid w:val="00FD6B76"/>
    <w:rsid w:val="00FE4524"/>
    <w:rsid w:val="00FE7136"/>
    <w:rsid w:val="00FF048A"/>
    <w:rsid w:val="00FF1E01"/>
    <w:rsid w:val="00FF4212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6B0D30E-4397-499D-A150-61F45F82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2D087B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rsid w:val="00C91FBF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2D087B"/>
    <w:rPr>
      <w:rFonts w:ascii="Calibri" w:eastAsia="SimSun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C91FBF"/>
    <w:rPr>
      <w:rFonts w:ascii="Calibri" w:hAnsi="Calibri" w:cs="Traditional Arabic"/>
      <w:b/>
      <w:bCs/>
      <w:sz w:val="26"/>
      <w:szCs w:val="36"/>
      <w:lang w:eastAsia="en-US" w:bidi="ar-EG"/>
    </w:rPr>
  </w:style>
  <w:style w:type="table" w:customStyle="1" w:styleId="TableGrid2">
    <w:name w:val="Table Grid2"/>
    <w:basedOn w:val="TableNormal"/>
    <w:next w:val="TableGrid"/>
    <w:rsid w:val="00FA3D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FA3DA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3DAF"/>
    <w:rPr>
      <w:rFonts w:ascii="Segoe UI" w:hAnsi="Segoe UI" w:cs="Segoe UI"/>
      <w:sz w:val="18"/>
      <w:szCs w:val="18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56F4-D06D-4DF3-AD6E-FCBE7B28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798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5722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ITU</cp:lastModifiedBy>
  <cp:revision>3</cp:revision>
  <cp:lastPrinted>2014-07-28T12:32:00Z</cp:lastPrinted>
  <dcterms:created xsi:type="dcterms:W3CDTF">2014-07-28T12:31:00Z</dcterms:created>
  <dcterms:modified xsi:type="dcterms:W3CDTF">2014-07-28T12:34:00Z</dcterms:modified>
</cp:coreProperties>
</file>