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8B127B">
        <w:trPr>
          <w:cantSplit/>
        </w:trPr>
        <w:tc>
          <w:tcPr>
            <w:tcW w:w="2943" w:type="dxa"/>
          </w:tcPr>
          <w:p w:rsidR="00FA7B4D" w:rsidRPr="008B127B" w:rsidRDefault="004555AA" w:rsidP="00E25073">
            <w:pPr>
              <w:tabs>
                <w:tab w:val="left" w:pos="7513"/>
              </w:tabs>
              <w:jc w:val="center"/>
              <w:rPr>
                <w:b/>
                <w:bCs/>
              </w:rPr>
            </w:pPr>
            <w:bookmarkStart w:id="0" w:name="dletter"/>
            <w:bookmarkEnd w:id="0"/>
            <w:r w:rsidRPr="008B127B">
              <w:rPr>
                <w:b/>
                <w:bCs/>
              </w:rPr>
              <w:t>Circulaire administrative</w:t>
            </w:r>
          </w:p>
          <w:p w:rsidR="00FA7B4D" w:rsidRPr="004555AA" w:rsidRDefault="004555AA" w:rsidP="00E25073">
            <w:pPr>
              <w:tabs>
                <w:tab w:val="clear" w:pos="794"/>
                <w:tab w:val="clear" w:pos="1191"/>
              </w:tabs>
              <w:spacing w:before="0"/>
              <w:jc w:val="center"/>
              <w:rPr>
                <w:b/>
                <w:bCs/>
              </w:rPr>
            </w:pPr>
            <w:bookmarkStart w:id="1" w:name="dnum"/>
            <w:bookmarkEnd w:id="1"/>
            <w:proofErr w:type="spellStart"/>
            <w:r>
              <w:rPr>
                <w:b/>
                <w:bCs/>
              </w:rPr>
              <w:t>CACE</w:t>
            </w:r>
            <w:proofErr w:type="spellEnd"/>
            <w:r>
              <w:rPr>
                <w:b/>
                <w:bCs/>
              </w:rPr>
              <w:t>/564</w:t>
            </w:r>
          </w:p>
        </w:tc>
        <w:tc>
          <w:tcPr>
            <w:tcW w:w="7077" w:type="dxa"/>
          </w:tcPr>
          <w:p w:rsidR="00FA7B4D" w:rsidRPr="004555AA" w:rsidRDefault="00CB743B" w:rsidP="00FE1623">
            <w:pPr>
              <w:tabs>
                <w:tab w:val="left" w:pos="7513"/>
              </w:tabs>
              <w:jc w:val="right"/>
            </w:pPr>
            <w:r w:rsidRPr="00FF764B">
              <w:t xml:space="preserve">le </w:t>
            </w:r>
            <w:bookmarkStart w:id="2" w:name="ddate"/>
            <w:bookmarkEnd w:id="2"/>
            <w:r w:rsidR="004555AA">
              <w:t>22 mars 2012</w:t>
            </w:r>
          </w:p>
        </w:tc>
      </w:tr>
    </w:tbl>
    <w:p w:rsidR="004555AA" w:rsidRDefault="004555AA" w:rsidP="005319A9">
      <w:pPr>
        <w:pStyle w:val="Head"/>
        <w:tabs>
          <w:tab w:val="left" w:pos="7513"/>
        </w:tabs>
        <w:spacing w:before="600"/>
        <w:jc w:val="center"/>
        <w:rPr>
          <w:b/>
        </w:rPr>
      </w:pPr>
      <w:r>
        <w:rPr>
          <w:b/>
        </w:rPr>
        <w:t>Aux Administrations des Etats Membres de l'UIT, aux Membres du Secteur des</w:t>
      </w:r>
      <w:r>
        <w:rPr>
          <w:b/>
        </w:rPr>
        <w:br/>
        <w:t xml:space="preserve">radiocommunications, aux Associés de l'UIT-R participant aux travaux des </w:t>
      </w:r>
      <w:r w:rsidR="005319A9">
        <w:rPr>
          <w:b/>
        </w:rPr>
        <w:br/>
      </w:r>
      <w:r>
        <w:rPr>
          <w:b/>
        </w:rPr>
        <w:t>Commissions d'études 4, 5, 6 et 7</w:t>
      </w:r>
      <w:r w:rsidR="008B127B">
        <w:rPr>
          <w:b/>
        </w:rPr>
        <w:t xml:space="preserve"> </w:t>
      </w:r>
      <w:r>
        <w:rPr>
          <w:b/>
        </w:rPr>
        <w:t xml:space="preserve">des radiocommunications et </w:t>
      </w:r>
      <w:r w:rsidR="005319A9">
        <w:rPr>
          <w:b/>
        </w:rPr>
        <w:br/>
      </w:r>
      <w:r>
        <w:rPr>
          <w:b/>
        </w:rPr>
        <w:t xml:space="preserve">aux établissements universitaires admis à participer </w:t>
      </w:r>
      <w:r w:rsidR="005319A9">
        <w:rPr>
          <w:b/>
        </w:rPr>
        <w:br/>
      </w:r>
      <w:r>
        <w:rPr>
          <w:b/>
        </w:rPr>
        <w:t>aux travaux de l'UIT-R</w:t>
      </w:r>
    </w:p>
    <w:p w:rsidR="003203D8" w:rsidRPr="008A5BCC" w:rsidRDefault="00FE1623" w:rsidP="00A27706">
      <w:pPr>
        <w:tabs>
          <w:tab w:val="clear" w:pos="794"/>
          <w:tab w:val="clear" w:pos="1191"/>
          <w:tab w:val="clear" w:pos="1588"/>
          <w:tab w:val="clear" w:pos="1985"/>
          <w:tab w:val="left" w:pos="709"/>
        </w:tabs>
        <w:spacing w:before="720"/>
        <w:ind w:left="1440" w:hanging="1440"/>
      </w:pPr>
      <w:r>
        <w:rPr>
          <w:b/>
        </w:rPr>
        <w:t>Objet</w:t>
      </w:r>
      <w:r>
        <w:t>:</w:t>
      </w:r>
      <w:r>
        <w:tab/>
      </w:r>
      <w:r>
        <w:tab/>
      </w:r>
      <w:bookmarkStart w:id="3" w:name="dtitle1"/>
      <w:bookmarkEnd w:id="3"/>
      <w:r w:rsidR="004555AA" w:rsidRPr="008A5BCC">
        <w:t xml:space="preserve">Annonce de la création du Groupe d'action mixte </w:t>
      </w:r>
      <w:r w:rsidR="004C1115" w:rsidRPr="008A5BCC">
        <w:t xml:space="preserve">4-5-6-7 </w:t>
      </w:r>
      <w:r w:rsidR="004555AA" w:rsidRPr="008A5BCC">
        <w:t>chargé des poi</w:t>
      </w:r>
      <w:r w:rsidR="004C1115" w:rsidRPr="008A5BCC">
        <w:t>nts </w:t>
      </w:r>
      <w:r w:rsidR="00E87F57" w:rsidRPr="008A5BCC">
        <w:t>1.1 et 1.2 </w:t>
      </w:r>
      <w:r w:rsidR="004555AA" w:rsidRPr="008A5BCC">
        <w:t>de l'ordre du jour de la CMR-15</w:t>
      </w:r>
    </w:p>
    <w:p w:rsidR="004555AA" w:rsidRDefault="004555AA" w:rsidP="004555AA">
      <w:pPr>
        <w:pStyle w:val="Heading1"/>
      </w:pPr>
      <w:r>
        <w:t>1</w:t>
      </w:r>
      <w:r>
        <w:tab/>
        <w:t>Introduction</w:t>
      </w:r>
    </w:p>
    <w:p w:rsidR="004555AA" w:rsidRDefault="004555AA" w:rsidP="004555AA">
      <w:r>
        <w:t>A sa première réunion, tenue à Genève les 20 et 21</w:t>
      </w:r>
      <w:r w:rsidR="00E87F57">
        <w:t xml:space="preserve"> </w:t>
      </w:r>
      <w:r>
        <w:t>février 2012, la RPC-15 a décidé de c</w:t>
      </w:r>
      <w:r w:rsidR="008A5BCC">
        <w:t>réer le </w:t>
      </w:r>
      <w:r>
        <w:t>Groupe d'action mixte (</w:t>
      </w:r>
      <w:proofErr w:type="spellStart"/>
      <w:r>
        <w:t>GAM</w:t>
      </w:r>
      <w:proofErr w:type="spellEnd"/>
      <w:r>
        <w:t>) 4-5-6-7 qui sera chargé d'examiner les</w:t>
      </w:r>
      <w:r w:rsidR="004C1115">
        <w:t xml:space="preserve"> points 1.1 (voir la</w:t>
      </w:r>
      <w:r w:rsidR="008A5BCC">
        <w:t> </w:t>
      </w:r>
      <w:r w:rsidR="004C1115" w:rsidRPr="00E87F57">
        <w:rPr>
          <w:rStyle w:val="Hyperlink"/>
        </w:rPr>
        <w:t>Résolution </w:t>
      </w:r>
      <w:r w:rsidRPr="00272AEF">
        <w:rPr>
          <w:rStyle w:val="Hyperlink"/>
          <w:b/>
          <w:bCs/>
        </w:rPr>
        <w:t>233</w:t>
      </w:r>
      <w:r w:rsidR="00E87F57" w:rsidRPr="00272AEF">
        <w:rPr>
          <w:b/>
          <w:bCs/>
        </w:rPr>
        <w:t xml:space="preserve"> </w:t>
      </w:r>
      <w:r w:rsidRPr="00272AEF">
        <w:rPr>
          <w:b/>
          <w:bCs/>
        </w:rPr>
        <w:t>[</w:t>
      </w:r>
      <w:r w:rsidRPr="00E87F57">
        <w:rPr>
          <w:b/>
          <w:bCs/>
        </w:rPr>
        <w:t>COM6/8] (CMR-12)</w:t>
      </w:r>
      <w:r>
        <w:t xml:space="preserve">) et 1.2 (voir la </w:t>
      </w:r>
      <w:r w:rsidRPr="00E87F57">
        <w:rPr>
          <w:rStyle w:val="Hyperlink"/>
        </w:rPr>
        <w:t xml:space="preserve">Résolution </w:t>
      </w:r>
      <w:r w:rsidRPr="00272AEF">
        <w:rPr>
          <w:rStyle w:val="Hyperlink"/>
          <w:b/>
          <w:bCs/>
        </w:rPr>
        <w:t>232</w:t>
      </w:r>
      <w:r w:rsidR="00E87F57" w:rsidRPr="00272AEF">
        <w:rPr>
          <w:b/>
          <w:bCs/>
        </w:rPr>
        <w:t xml:space="preserve"> </w:t>
      </w:r>
      <w:r w:rsidRPr="00272AEF">
        <w:rPr>
          <w:b/>
          <w:bCs/>
        </w:rPr>
        <w:t>[</w:t>
      </w:r>
      <w:r w:rsidRPr="00E87F57">
        <w:rPr>
          <w:b/>
          <w:bCs/>
        </w:rPr>
        <w:t>COM5/10] (CMR-12)</w:t>
      </w:r>
      <w:r w:rsidR="008A5BCC">
        <w:t>) de </w:t>
      </w:r>
      <w:r>
        <w:t>l'ordre du jour de la CMR-15.</w:t>
      </w:r>
    </w:p>
    <w:p w:rsidR="004555AA" w:rsidRDefault="004555AA" w:rsidP="00A27706">
      <w:r>
        <w:t xml:space="preserve">La décision </w:t>
      </w:r>
      <w:r w:rsidR="004C1115">
        <w:t>relative à la création du</w:t>
      </w:r>
      <w:r>
        <w:t xml:space="preserve"> </w:t>
      </w:r>
      <w:proofErr w:type="spellStart"/>
      <w:r>
        <w:t>GAM</w:t>
      </w:r>
      <w:proofErr w:type="spellEnd"/>
      <w:r>
        <w:t xml:space="preserve"> </w:t>
      </w:r>
      <w:r>
        <w:rPr>
          <w:lang w:val="fr-CH"/>
        </w:rPr>
        <w:t>4</w:t>
      </w:r>
      <w:r>
        <w:rPr>
          <w:lang w:val="fr-CH"/>
        </w:rPr>
        <w:noBreakHyphen/>
        <w:t>5</w:t>
      </w:r>
      <w:r>
        <w:rPr>
          <w:lang w:val="fr-CH"/>
        </w:rPr>
        <w:noBreakHyphen/>
        <w:t>6</w:t>
      </w:r>
      <w:r>
        <w:rPr>
          <w:lang w:val="fr-CH"/>
        </w:rPr>
        <w:noBreakHyphen/>
        <w:t xml:space="preserve">7 </w:t>
      </w:r>
      <w:r>
        <w:t xml:space="preserve">est </w:t>
      </w:r>
      <w:r w:rsidR="000A0DD9">
        <w:t>reproduite</w:t>
      </w:r>
      <w:r>
        <w:t xml:space="preserve"> d</w:t>
      </w:r>
      <w:r w:rsidR="008A5BCC">
        <w:t>ans l'Annexe 1. Le Président du </w:t>
      </w:r>
      <w:r>
        <w:t>Groupe d'action mixte est:</w:t>
      </w:r>
    </w:p>
    <w:p w:rsidR="003D62B8" w:rsidRPr="00775D03" w:rsidRDefault="003D62B8" w:rsidP="003D62B8">
      <w:pPr>
        <w:spacing w:before="0"/>
      </w:pPr>
    </w:p>
    <w:tbl>
      <w:tblPr>
        <w:tblW w:w="0" w:type="auto"/>
        <w:tblInd w:w="250" w:type="dxa"/>
        <w:tblLayout w:type="fixed"/>
        <w:tblLook w:val="0000" w:firstRow="0" w:lastRow="0" w:firstColumn="0" w:lastColumn="0" w:noHBand="0" w:noVBand="0"/>
      </w:tblPr>
      <w:tblGrid>
        <w:gridCol w:w="3544"/>
        <w:gridCol w:w="6061"/>
      </w:tblGrid>
      <w:tr w:rsidR="003D62B8" w:rsidRPr="00775D03" w:rsidTr="003D62B8">
        <w:tc>
          <w:tcPr>
            <w:tcW w:w="3544" w:type="dxa"/>
          </w:tcPr>
          <w:p w:rsidR="003D62B8" w:rsidRPr="00764068" w:rsidRDefault="003D62B8" w:rsidP="003D62B8">
            <w:r>
              <w:t>M.</w:t>
            </w:r>
            <w:r w:rsidRPr="00764068">
              <w:t xml:space="preserve"> T. </w:t>
            </w:r>
            <w:proofErr w:type="spellStart"/>
            <w:r w:rsidRPr="00764068">
              <w:t>EWERS</w:t>
            </w:r>
            <w:proofErr w:type="spellEnd"/>
            <w:r w:rsidRPr="00764068">
              <w:br/>
            </w:r>
            <w:proofErr w:type="spellStart"/>
            <w:r w:rsidRPr="00764068">
              <w:t>Federal</w:t>
            </w:r>
            <w:proofErr w:type="spellEnd"/>
            <w:r w:rsidRPr="00764068">
              <w:t xml:space="preserve"> Network Agency</w:t>
            </w:r>
            <w:r w:rsidRPr="00764068">
              <w:br/>
            </w:r>
            <w:proofErr w:type="spellStart"/>
            <w:r w:rsidRPr="00764068">
              <w:t>Canisius</w:t>
            </w:r>
            <w:r>
              <w:t>strasse</w:t>
            </w:r>
            <w:proofErr w:type="spellEnd"/>
            <w:r w:rsidRPr="00764068">
              <w:t xml:space="preserve"> 21</w:t>
            </w:r>
            <w:r w:rsidRPr="00764068">
              <w:br/>
              <w:t>55122 MAINZ</w:t>
            </w:r>
            <w:r w:rsidRPr="00764068">
              <w:br/>
              <w:t>Germany</w:t>
            </w:r>
          </w:p>
        </w:tc>
        <w:tc>
          <w:tcPr>
            <w:tcW w:w="6061" w:type="dxa"/>
          </w:tcPr>
          <w:p w:rsidR="003D62B8" w:rsidRPr="00764068" w:rsidRDefault="001145C6" w:rsidP="003D62B8">
            <w:r>
              <w:t>Té</w:t>
            </w:r>
            <w:r w:rsidR="003D62B8" w:rsidRPr="00764068">
              <w:t>l:</w:t>
            </w:r>
            <w:r w:rsidR="003D62B8" w:rsidRPr="00764068">
              <w:tab/>
              <w:t>+49 6131 18 3110</w:t>
            </w:r>
            <w:r w:rsidR="003D62B8" w:rsidRPr="00764068">
              <w:br/>
              <w:t>Fax:</w:t>
            </w:r>
            <w:r w:rsidR="003D62B8" w:rsidRPr="00764068">
              <w:tab/>
              <w:t>+49 6131 18 5604</w:t>
            </w:r>
            <w:r w:rsidR="003D62B8" w:rsidRPr="00764068">
              <w:br/>
              <w:t>Email:</w:t>
            </w:r>
            <w:r w:rsidR="003D62B8" w:rsidRPr="00764068">
              <w:tab/>
            </w:r>
            <w:hyperlink r:id="rId10" w:history="1">
              <w:r w:rsidR="003D62B8" w:rsidRPr="00764068">
                <w:rPr>
                  <w:rStyle w:val="Hyperlink"/>
                </w:rPr>
                <w:t>thomas.ewers@bnetza.de</w:t>
              </w:r>
            </w:hyperlink>
          </w:p>
          <w:p w:rsidR="003D62B8" w:rsidRPr="00764068" w:rsidRDefault="003D62B8" w:rsidP="003D62B8"/>
        </w:tc>
      </w:tr>
    </w:tbl>
    <w:p w:rsidR="004555AA" w:rsidRDefault="004555AA" w:rsidP="003D62B8">
      <w:pPr>
        <w:spacing w:before="240"/>
      </w:pPr>
      <w:r w:rsidRPr="00DD0544">
        <w:t>La pre</w:t>
      </w:r>
      <w:r>
        <w:t xml:space="preserve">mière réunion  du </w:t>
      </w:r>
      <w:proofErr w:type="spellStart"/>
      <w:r>
        <w:t>GAM</w:t>
      </w:r>
      <w:proofErr w:type="spellEnd"/>
      <w:r>
        <w:t xml:space="preserve"> 4-5-6-7 aura lieu au siège de l'UIT à Genève du 23 au 27 juillet 2012 (voir le tableau ci-après).</w:t>
      </w:r>
    </w:p>
    <w:p w:rsidR="00E87F57" w:rsidRDefault="00E87F57" w:rsidP="00A27706"/>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68"/>
        <w:gridCol w:w="2977"/>
        <w:gridCol w:w="2801"/>
      </w:tblGrid>
      <w:tr w:rsidR="004555AA" w:rsidTr="00A27706">
        <w:trPr>
          <w:jc w:val="center"/>
        </w:trPr>
        <w:tc>
          <w:tcPr>
            <w:tcW w:w="1559" w:type="dxa"/>
            <w:tcBorders>
              <w:top w:val="single" w:sz="4" w:space="0" w:color="auto"/>
              <w:left w:val="single" w:sz="4" w:space="0" w:color="auto"/>
              <w:bottom w:val="single" w:sz="4" w:space="0" w:color="auto"/>
              <w:right w:val="single" w:sz="4" w:space="0" w:color="auto"/>
            </w:tcBorders>
            <w:hideMark/>
          </w:tcPr>
          <w:p w:rsidR="004555AA" w:rsidRDefault="004555AA" w:rsidP="00A27706">
            <w:pPr>
              <w:pStyle w:val="Tablehead"/>
              <w:rPr>
                <w:szCs w:val="22"/>
                <w:lang w:val="fr-CH"/>
              </w:rPr>
            </w:pPr>
            <w:r>
              <w:rPr>
                <w:szCs w:val="22"/>
                <w:lang w:val="fr-CH"/>
              </w:rPr>
              <w:t>Groupe</w:t>
            </w:r>
          </w:p>
        </w:tc>
        <w:tc>
          <w:tcPr>
            <w:tcW w:w="2268" w:type="dxa"/>
            <w:tcBorders>
              <w:top w:val="single" w:sz="4" w:space="0" w:color="auto"/>
              <w:left w:val="single" w:sz="4" w:space="0" w:color="auto"/>
              <w:bottom w:val="single" w:sz="4" w:space="0" w:color="auto"/>
              <w:right w:val="single" w:sz="4" w:space="0" w:color="auto"/>
            </w:tcBorders>
            <w:hideMark/>
          </w:tcPr>
          <w:p w:rsidR="004555AA" w:rsidRDefault="004555AA" w:rsidP="00A27706">
            <w:pPr>
              <w:pStyle w:val="Tablehead"/>
              <w:rPr>
                <w:szCs w:val="22"/>
                <w:lang w:val="fr-CH"/>
              </w:rPr>
            </w:pPr>
            <w:r>
              <w:rPr>
                <w:szCs w:val="22"/>
                <w:lang w:val="fr-CH"/>
              </w:rPr>
              <w:t>Date de la réunion</w:t>
            </w:r>
          </w:p>
        </w:tc>
        <w:tc>
          <w:tcPr>
            <w:tcW w:w="2977" w:type="dxa"/>
            <w:tcBorders>
              <w:top w:val="single" w:sz="4" w:space="0" w:color="auto"/>
              <w:left w:val="single" w:sz="4" w:space="0" w:color="auto"/>
              <w:bottom w:val="single" w:sz="4" w:space="0" w:color="auto"/>
              <w:right w:val="single" w:sz="4" w:space="0" w:color="auto"/>
            </w:tcBorders>
            <w:hideMark/>
          </w:tcPr>
          <w:p w:rsidR="004555AA" w:rsidRDefault="004555AA" w:rsidP="00A27706">
            <w:pPr>
              <w:pStyle w:val="Tablehead"/>
              <w:rPr>
                <w:szCs w:val="22"/>
                <w:lang w:val="fr-CH"/>
              </w:rPr>
            </w:pPr>
            <w:r>
              <w:rPr>
                <w:szCs w:val="22"/>
                <w:lang w:val="fr-CH"/>
              </w:rPr>
              <w:t>Date limite des contributions</w:t>
            </w:r>
          </w:p>
        </w:tc>
        <w:tc>
          <w:tcPr>
            <w:tcW w:w="2801" w:type="dxa"/>
            <w:tcBorders>
              <w:top w:val="single" w:sz="4" w:space="0" w:color="auto"/>
              <w:left w:val="single" w:sz="4" w:space="0" w:color="auto"/>
              <w:bottom w:val="single" w:sz="4" w:space="0" w:color="auto"/>
              <w:right w:val="single" w:sz="4" w:space="0" w:color="auto"/>
            </w:tcBorders>
            <w:hideMark/>
          </w:tcPr>
          <w:p w:rsidR="004555AA" w:rsidRDefault="004555AA" w:rsidP="00A27706">
            <w:pPr>
              <w:pStyle w:val="Tablehead"/>
              <w:rPr>
                <w:szCs w:val="22"/>
                <w:lang w:val="fr-CH"/>
              </w:rPr>
            </w:pPr>
            <w:r>
              <w:rPr>
                <w:szCs w:val="22"/>
                <w:lang w:val="fr-CH"/>
              </w:rPr>
              <w:t>Séance d'ouverture</w:t>
            </w:r>
          </w:p>
        </w:tc>
      </w:tr>
      <w:tr w:rsidR="004555AA" w:rsidTr="00A27706">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555AA" w:rsidRDefault="004555AA" w:rsidP="00A27706">
            <w:pPr>
              <w:pStyle w:val="Tabletext"/>
              <w:jc w:val="center"/>
              <w:rPr>
                <w:szCs w:val="22"/>
                <w:lang w:val="fr-CH"/>
              </w:rPr>
            </w:pPr>
            <w:proofErr w:type="spellStart"/>
            <w:r>
              <w:rPr>
                <w:szCs w:val="22"/>
                <w:lang w:val="fr-CH"/>
              </w:rPr>
              <w:t>GAM</w:t>
            </w:r>
            <w:proofErr w:type="spellEnd"/>
            <w:r>
              <w:rPr>
                <w:szCs w:val="22"/>
                <w:lang w:val="fr-CH"/>
              </w:rPr>
              <w:t xml:space="preserve"> </w:t>
            </w:r>
            <w:r>
              <w:rPr>
                <w:lang w:val="fr-CH"/>
              </w:rPr>
              <w:t>4</w:t>
            </w:r>
            <w:r>
              <w:rPr>
                <w:lang w:val="fr-CH"/>
              </w:rPr>
              <w:noBreakHyphen/>
              <w:t>5</w:t>
            </w:r>
            <w:r>
              <w:rPr>
                <w:lang w:val="fr-CH"/>
              </w:rPr>
              <w:noBreakHyphen/>
              <w:t>6</w:t>
            </w:r>
            <w:r>
              <w:rPr>
                <w:lang w:val="fr-CH"/>
              </w:rPr>
              <w:noBreakHyphen/>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555AA" w:rsidRDefault="004555AA" w:rsidP="00A27706">
            <w:pPr>
              <w:pStyle w:val="Tabletext"/>
              <w:jc w:val="center"/>
              <w:rPr>
                <w:szCs w:val="22"/>
                <w:lang w:val="fr-CH"/>
              </w:rPr>
            </w:pPr>
            <w:r>
              <w:rPr>
                <w:lang w:val="en-US"/>
              </w:rPr>
              <w:t xml:space="preserve">23-27 </w:t>
            </w:r>
            <w:proofErr w:type="spellStart"/>
            <w:r>
              <w:rPr>
                <w:lang w:val="en-US"/>
              </w:rPr>
              <w:t>juillet</w:t>
            </w:r>
            <w:proofErr w:type="spellEnd"/>
            <w:r>
              <w:rPr>
                <w:lang w:val="en-US"/>
              </w:rPr>
              <w:t xml:space="preserve"> 2012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555AA" w:rsidRDefault="004555AA" w:rsidP="00A27706">
            <w:pPr>
              <w:pStyle w:val="Tabletext"/>
              <w:jc w:val="center"/>
              <w:rPr>
                <w:szCs w:val="22"/>
                <w:lang w:val="fr-CH"/>
              </w:rPr>
            </w:pPr>
            <w:r>
              <w:rPr>
                <w:szCs w:val="22"/>
                <w:lang w:val="fr-CH"/>
              </w:rPr>
              <w:t>Lundi 16 juillet</w:t>
            </w:r>
            <w:r w:rsidRPr="00071472">
              <w:t xml:space="preserve"> 2012</w:t>
            </w:r>
            <w:r>
              <w:rPr>
                <w:szCs w:val="22"/>
                <w:lang w:val="fr-CH"/>
              </w:rPr>
              <w:t xml:space="preserve"> </w:t>
            </w:r>
          </w:p>
        </w:tc>
        <w:tc>
          <w:tcPr>
            <w:tcW w:w="2801" w:type="dxa"/>
            <w:tcBorders>
              <w:top w:val="single" w:sz="4" w:space="0" w:color="auto"/>
              <w:left w:val="single" w:sz="4" w:space="0" w:color="auto"/>
              <w:bottom w:val="single" w:sz="4" w:space="0" w:color="auto"/>
              <w:right w:val="single" w:sz="4" w:space="0" w:color="auto"/>
            </w:tcBorders>
            <w:vAlign w:val="center"/>
            <w:hideMark/>
          </w:tcPr>
          <w:p w:rsidR="004555AA" w:rsidRDefault="004555AA" w:rsidP="00A27706">
            <w:pPr>
              <w:pStyle w:val="Tabletext"/>
              <w:jc w:val="center"/>
              <w:rPr>
                <w:szCs w:val="22"/>
                <w:lang w:val="fr-CH"/>
              </w:rPr>
            </w:pPr>
            <w:r>
              <w:rPr>
                <w:szCs w:val="22"/>
                <w:lang w:val="fr-CH"/>
              </w:rPr>
              <w:t>23 juillet 2012</w:t>
            </w:r>
            <w:r>
              <w:rPr>
                <w:szCs w:val="22"/>
                <w:lang w:val="fr-CH"/>
              </w:rPr>
              <w:br/>
              <w:t xml:space="preserve">à 10 h 30 </w:t>
            </w:r>
          </w:p>
        </w:tc>
      </w:tr>
    </w:tbl>
    <w:p w:rsidR="004555AA" w:rsidRDefault="004555AA" w:rsidP="00E87F57">
      <w:pPr>
        <w:pStyle w:val="Heading1"/>
      </w:pPr>
      <w:r>
        <w:lastRenderedPageBreak/>
        <w:t>2</w:t>
      </w:r>
      <w:r>
        <w:tab/>
        <w:t>Programme de la réunion</w:t>
      </w:r>
    </w:p>
    <w:p w:rsidR="004555AA" w:rsidRDefault="004555AA" w:rsidP="00E87F57">
      <w:pPr>
        <w:keepNext/>
        <w:keepLines/>
      </w:pPr>
      <w:r>
        <w:t xml:space="preserve">Un projet d'ordre du jour </w:t>
      </w:r>
      <w:r w:rsidR="00A27706">
        <w:t>de la réunion est reproduit dans l'Annexe </w:t>
      </w:r>
      <w:r>
        <w:t>2.</w:t>
      </w:r>
      <w:r w:rsidR="00A27706">
        <w:t xml:space="preserve"> </w:t>
      </w:r>
      <w:r>
        <w:t>Les t</w:t>
      </w:r>
      <w:r w:rsidR="00A27706">
        <w:t>ravaux du Groupe d'action mixte </w:t>
      </w:r>
      <w:r>
        <w:rPr>
          <w:lang w:val="fr-CH"/>
        </w:rPr>
        <w:t>4</w:t>
      </w:r>
      <w:r>
        <w:rPr>
          <w:lang w:val="fr-CH"/>
        </w:rPr>
        <w:noBreakHyphen/>
        <w:t>5</w:t>
      </w:r>
      <w:r>
        <w:rPr>
          <w:lang w:val="fr-CH"/>
        </w:rPr>
        <w:noBreakHyphen/>
        <w:t>6</w:t>
      </w:r>
      <w:r>
        <w:rPr>
          <w:lang w:val="fr-CH"/>
        </w:rPr>
        <w:noBreakHyphen/>
        <w:t xml:space="preserve">7 </w:t>
      </w:r>
      <w:r>
        <w:t xml:space="preserve">se dérouleront en anglais. </w:t>
      </w:r>
    </w:p>
    <w:p w:rsidR="004555AA" w:rsidRDefault="004555AA" w:rsidP="00E87F57">
      <w:pPr>
        <w:pStyle w:val="Heading1"/>
      </w:pPr>
      <w:r>
        <w:t>3</w:t>
      </w:r>
      <w:r>
        <w:tab/>
        <w:t>Contributions</w:t>
      </w:r>
    </w:p>
    <w:p w:rsidR="004555AA" w:rsidRDefault="004555AA" w:rsidP="00E87F57">
      <w:pPr>
        <w:keepNext/>
        <w:keepLines/>
      </w:pPr>
      <w:r>
        <w:t>Les participants sont invités à soumettre des contributions compte tenu des t</w:t>
      </w:r>
      <w:r w:rsidR="00A27706">
        <w:t>ravaux du Groupe d'action mixte </w:t>
      </w:r>
      <w:r w:rsidR="00AA47FC">
        <w:t>4</w:t>
      </w:r>
      <w:r w:rsidR="00AA47FC">
        <w:noBreakHyphen/>
        <w:t>5</w:t>
      </w:r>
      <w:r w:rsidR="00AA47FC">
        <w:noBreakHyphen/>
      </w:r>
      <w:r>
        <w:t>6</w:t>
      </w:r>
      <w:r w:rsidR="00AA47FC">
        <w:noBreakHyphen/>
      </w:r>
      <w:r>
        <w:t>7. Ces contributions seront traitées conformément aux dispositions de la Résolution UIT</w:t>
      </w:r>
      <w:r>
        <w:noBreakHyphen/>
        <w:t>R 1</w:t>
      </w:r>
      <w:r>
        <w:noBreakHyphen/>
        <w:t>6.</w:t>
      </w:r>
    </w:p>
    <w:p w:rsidR="004555AA" w:rsidRDefault="004555AA" w:rsidP="00391634">
      <w:pPr>
        <w:ind w:right="-284"/>
      </w:pPr>
      <w:r w:rsidRPr="001C68BD">
        <w:t xml:space="preserve">Les membres sont encouragés à soumettre les contributions (y compris les révisions, les Addenda et les </w:t>
      </w:r>
      <w:proofErr w:type="spellStart"/>
      <w:r w:rsidRPr="001C68BD">
        <w:t>Corrigenda</w:t>
      </w:r>
      <w:proofErr w:type="spellEnd"/>
      <w:r w:rsidRPr="001C68BD">
        <w:t xml:space="preserve"> aux contributions), de manière à ce qu'elles soient reç</w:t>
      </w:r>
      <w:r w:rsidR="008A5BCC">
        <w:t>ues douze jours civils avant le </w:t>
      </w:r>
      <w:r w:rsidRPr="001C68BD">
        <w:t xml:space="preserve">début de la réunion. Les contributions doivent être reçues au plus tard sept jours civils (16 heures </w:t>
      </w:r>
      <w:proofErr w:type="spellStart"/>
      <w:r w:rsidRPr="001C68BD">
        <w:t>UTC</w:t>
      </w:r>
      <w:proofErr w:type="spellEnd"/>
      <w:r w:rsidRPr="001C68BD">
        <w:t>) avant le début de la réunion.</w:t>
      </w:r>
      <w:r>
        <w:t xml:space="preserve"> </w:t>
      </w:r>
      <w:r w:rsidRPr="00726A98">
        <w:rPr>
          <w:b/>
          <w:bCs/>
        </w:rPr>
        <w:t xml:space="preserve">Le délai de soumission des contributions est </w:t>
      </w:r>
      <w:r w:rsidR="00A27706">
        <w:rPr>
          <w:b/>
          <w:bCs/>
        </w:rPr>
        <w:t>indiqué dans le </w:t>
      </w:r>
      <w:r>
        <w:rPr>
          <w:b/>
          <w:bCs/>
        </w:rPr>
        <w:t>tableau ci-dessus</w:t>
      </w:r>
      <w:r>
        <w:t>. Les contributions reçues après cette date ne pourront pas être ac</w:t>
      </w:r>
      <w:r w:rsidR="00A27706">
        <w:t>ceptées. La </w:t>
      </w:r>
      <w:r>
        <w:t>Résolution UIT-R 1</w:t>
      </w:r>
      <w:r>
        <w:noBreakHyphen/>
        <w:t xml:space="preserve">6 dispose que les contributions qui ne sont pas </w:t>
      </w:r>
      <w:r w:rsidR="008A5BCC">
        <w:t>disponibles pour les </w:t>
      </w:r>
      <w:r>
        <w:t>participants à l'ouverture de la réunion ne seront pas examinées.</w:t>
      </w:r>
    </w:p>
    <w:p w:rsidR="004555AA" w:rsidRDefault="004555AA" w:rsidP="00A27706">
      <w:r>
        <w:t>Les participants sont priés de s</w:t>
      </w:r>
      <w:r w:rsidR="00A27706">
        <w:t>oumettre l</w:t>
      </w:r>
      <w:r>
        <w:t>es contributions par courrier électronique à:</w:t>
      </w:r>
      <w:r w:rsidR="00A27706">
        <w:t xml:space="preserve"> </w:t>
      </w:r>
      <w:hyperlink r:id="rId11" w:history="1">
        <w:r w:rsidRPr="00A27706">
          <w:rPr>
            <w:rStyle w:val="Hyperlink"/>
          </w:rPr>
          <w:t>rjtg4567@itu.int</w:t>
        </w:r>
      </w:hyperlink>
      <w:r w:rsidR="00A27706">
        <w:t xml:space="preserve">. </w:t>
      </w:r>
      <w:r w:rsidRPr="00A27706">
        <w:t>Il convient également d'envoyer un exemplaire au Président du Groupe d'action mixte et aux Présidents et Vice</w:t>
      </w:r>
      <w:r w:rsidRPr="00A27706">
        <w:noBreakHyphen/>
        <w:t>Présidents des Commissions d'études 4, 5, 6 et 7. Pour les adresses pertinentes, voir</w:t>
      </w:r>
      <w:r w:rsidRPr="00DE1C8A">
        <w:t>:</w:t>
      </w:r>
    </w:p>
    <w:p w:rsidR="004555AA" w:rsidRPr="00B50C72" w:rsidRDefault="003041B6" w:rsidP="000A0DD9">
      <w:pPr>
        <w:jc w:val="center"/>
      </w:pPr>
      <w:hyperlink r:id="rId12" w:history="1">
        <w:r w:rsidR="004555AA" w:rsidRPr="00B50C72">
          <w:rPr>
            <w:rStyle w:val="Hyperlink"/>
          </w:rPr>
          <w:t>http://www.itu.int/cgi-bin/htsh/compass/cvc.param.sh?acvty_code=sg4</w:t>
        </w:r>
      </w:hyperlink>
    </w:p>
    <w:p w:rsidR="004555AA" w:rsidRPr="004555AA" w:rsidRDefault="003041B6" w:rsidP="000A0DD9">
      <w:pPr>
        <w:jc w:val="center"/>
      </w:pPr>
      <w:hyperlink r:id="rId13" w:history="1">
        <w:r w:rsidR="004555AA" w:rsidRPr="004555AA">
          <w:rPr>
            <w:rStyle w:val="Hyperlink"/>
          </w:rPr>
          <w:t>http://www.itu.int/cgi-bin/htsh/compass/cvc.param.sh?acvty_code=sg5</w:t>
        </w:r>
      </w:hyperlink>
    </w:p>
    <w:p w:rsidR="004555AA" w:rsidRPr="004555AA" w:rsidRDefault="003041B6" w:rsidP="000A0DD9">
      <w:pPr>
        <w:jc w:val="center"/>
      </w:pPr>
      <w:hyperlink r:id="rId14" w:history="1">
        <w:r w:rsidR="004555AA" w:rsidRPr="004555AA">
          <w:rPr>
            <w:rStyle w:val="Hyperlink"/>
          </w:rPr>
          <w:t>http://www.itu.int/cgi-bin/htsh/compass/cvc.param.sh?acvty_code=sg6</w:t>
        </w:r>
      </w:hyperlink>
    </w:p>
    <w:p w:rsidR="004555AA" w:rsidRDefault="003041B6" w:rsidP="000A0DD9">
      <w:pPr>
        <w:jc w:val="center"/>
      </w:pPr>
      <w:hyperlink r:id="rId15" w:history="1">
        <w:r w:rsidR="004555AA" w:rsidRPr="008009B4">
          <w:rPr>
            <w:rStyle w:val="Hyperlink"/>
          </w:rPr>
          <w:t>http://www.itu.int/cgi-bin/htsh/compass/cvc.param.sh?acvty_code=sg7</w:t>
        </w:r>
      </w:hyperlink>
    </w:p>
    <w:p w:rsidR="004555AA" w:rsidRPr="00A3326D" w:rsidRDefault="004555AA" w:rsidP="007F7A55">
      <w:pPr>
        <w:pStyle w:val="Heading1"/>
      </w:pPr>
      <w:r w:rsidRPr="00A3326D">
        <w:t>4</w:t>
      </w:r>
      <w:r w:rsidRPr="00A3326D">
        <w:tab/>
        <w:t>Documents</w:t>
      </w:r>
    </w:p>
    <w:p w:rsidR="004555AA" w:rsidRDefault="004555AA" w:rsidP="00AA47FC">
      <w:r>
        <w:rPr>
          <w:lang w:val="fr-CH"/>
        </w:rPr>
        <w:t xml:space="preserve">Les contributions seront publiées telles qu'elles ont été reçues sur une page web du </w:t>
      </w:r>
      <w:proofErr w:type="spellStart"/>
      <w:r>
        <w:rPr>
          <w:lang w:val="fr-CH"/>
        </w:rPr>
        <w:t>GAM</w:t>
      </w:r>
      <w:proofErr w:type="spellEnd"/>
      <w:r>
        <w:rPr>
          <w:lang w:val="fr-CH"/>
        </w:rPr>
        <w:t xml:space="preserve"> 4</w:t>
      </w:r>
      <w:r w:rsidR="00AA47FC">
        <w:rPr>
          <w:lang w:val="fr-CH"/>
        </w:rPr>
        <w:noBreakHyphen/>
      </w:r>
      <w:r>
        <w:rPr>
          <w:lang w:val="fr-CH"/>
        </w:rPr>
        <w:t>5</w:t>
      </w:r>
      <w:r w:rsidR="00AA47FC">
        <w:rPr>
          <w:lang w:val="fr-CH"/>
        </w:rPr>
        <w:noBreakHyphen/>
      </w:r>
      <w:r>
        <w:rPr>
          <w:lang w:val="fr-CH"/>
        </w:rPr>
        <w:t>6</w:t>
      </w:r>
      <w:r w:rsidR="00AA47FC">
        <w:rPr>
          <w:lang w:val="fr-CH"/>
        </w:rPr>
        <w:noBreakHyphen/>
      </w:r>
      <w:r>
        <w:rPr>
          <w:lang w:val="fr-CH"/>
        </w:rPr>
        <w:t>7 créée à cet effet, dans un délai d'un jour ouvrable. Les versions offi</w:t>
      </w:r>
      <w:r w:rsidR="008A5BCC">
        <w:rPr>
          <w:lang w:val="fr-CH"/>
        </w:rPr>
        <w:t>cielles seront mises en ligne à </w:t>
      </w:r>
      <w:r>
        <w:rPr>
          <w:lang w:val="fr-CH"/>
        </w:rPr>
        <w:t xml:space="preserve">l'adresse </w:t>
      </w:r>
      <w:hyperlink r:id="rId16" w:history="1">
        <w:r w:rsidR="007F7A55" w:rsidRPr="008C004D">
          <w:rPr>
            <w:rStyle w:val="Hyperlink"/>
          </w:rPr>
          <w:t>http://www.itu.int/md/R12-JTG4567-C/en</w:t>
        </w:r>
      </w:hyperlink>
      <w:r>
        <w:t>, dans un délai de trois jours ouvrables.</w:t>
      </w:r>
    </w:p>
    <w:p w:rsidR="004555AA" w:rsidRDefault="004555AA" w:rsidP="000A0DD9">
      <w:pPr>
        <w:rPr>
          <w:lang w:val="fr-CH"/>
        </w:rPr>
      </w:pPr>
      <w:r>
        <w:t>En accord avec son Prés</w:t>
      </w:r>
      <w:r w:rsidR="000A0DD9">
        <w:t>ident, le Groupe d'action mixte 4</w:t>
      </w:r>
      <w:r w:rsidR="000A0DD9">
        <w:rPr>
          <w:lang w:val="fr-CH"/>
        </w:rPr>
        <w:noBreakHyphen/>
        <w:t>5</w:t>
      </w:r>
      <w:r w:rsidR="000A0DD9">
        <w:rPr>
          <w:lang w:val="fr-CH"/>
        </w:rPr>
        <w:noBreakHyphen/>
        <w:t>6</w:t>
      </w:r>
      <w:r w:rsidR="000A0DD9">
        <w:rPr>
          <w:lang w:val="fr-CH"/>
        </w:rPr>
        <w:noBreakHyphen/>
        <w:t xml:space="preserve">7 </w:t>
      </w:r>
      <w:r>
        <w:t xml:space="preserve">prendra de nouvelles mesures pour travailler dans un environnement entièrement électronique. </w:t>
      </w:r>
      <w:r w:rsidRPr="00E87F57">
        <w:rPr>
          <w:b/>
          <w:bCs/>
        </w:rPr>
        <w:t>La</w:t>
      </w:r>
      <w:r w:rsidR="008A5BCC">
        <w:rPr>
          <w:b/>
          <w:bCs/>
        </w:rPr>
        <w:t xml:space="preserve"> réunion sera donc une réunion </w:t>
      </w:r>
      <w:r w:rsidRPr="00E87F57">
        <w:rPr>
          <w:b/>
          <w:bCs/>
        </w:rPr>
        <w:t>totalement sans papier</w:t>
      </w:r>
      <w:r w:rsidRPr="00B8278C">
        <w:t xml:space="preserve"> </w:t>
      </w:r>
      <w:r>
        <w:t>(aucun exemplaire papier</w:t>
      </w:r>
      <w:r w:rsidR="007F7A55">
        <w:t xml:space="preserve"> de</w:t>
      </w:r>
      <w:r w:rsidR="00272AEF">
        <w:t>s</w:t>
      </w:r>
      <w:r w:rsidR="007F7A55">
        <w:t xml:space="preserve"> documents</w:t>
      </w:r>
      <w:r w:rsidR="008A5BCC">
        <w:t xml:space="preserve"> ne sera distribué pendant la </w:t>
      </w:r>
      <w:r>
        <w:t>réunion). Des équipements de réseau local hertzien seront à la di</w:t>
      </w:r>
      <w:r w:rsidR="008A5BCC">
        <w:t>sposition des délégués dans les </w:t>
      </w:r>
      <w:r>
        <w:t xml:space="preserve">salles de réunion. Des imprimantes sont mises à la disposition des délégués qui souhaitent imprimer des documents, au cybercafé, au deuxième sous-sol de la Tour et aux premier et deuxième étages du bâtiment </w:t>
      </w:r>
      <w:proofErr w:type="spellStart"/>
      <w:r>
        <w:t>Montbrillant</w:t>
      </w:r>
      <w:proofErr w:type="spellEnd"/>
      <w:r>
        <w:t>. De plus, le Service d'assistance informatique (</w:t>
      </w:r>
      <w:hyperlink r:id="rId17" w:history="1">
        <w:r w:rsidR="00455928" w:rsidRPr="00E9788B">
          <w:rPr>
            <w:rStyle w:val="Hyperlink"/>
          </w:rPr>
          <w:t>S</w:t>
        </w:r>
        <w:r w:rsidR="00E87F57" w:rsidRPr="00E9788B">
          <w:rPr>
            <w:rStyle w:val="Hyperlink"/>
          </w:rPr>
          <w:t>ervice</w:t>
        </w:r>
        <w:r w:rsidR="00455928" w:rsidRPr="00E9788B">
          <w:rPr>
            <w:rStyle w:val="Hyperlink"/>
          </w:rPr>
          <w:t>D</w:t>
        </w:r>
        <w:r w:rsidR="00E87F57" w:rsidRPr="00E9788B">
          <w:rPr>
            <w:rStyle w:val="Hyperlink"/>
          </w:rPr>
          <w:t>esk</w:t>
        </w:r>
        <w:r w:rsidRPr="00E9788B">
          <w:rPr>
            <w:rStyle w:val="Hyperlink"/>
          </w:rPr>
          <w:t>@itu.int</w:t>
        </w:r>
      </w:hyperlink>
      <w:r>
        <w:t>) a préparé un certain nombre d'ordinateurs portables pour les personnes qui n'en ont pas.</w:t>
      </w:r>
    </w:p>
    <w:p w:rsidR="004555AA" w:rsidRPr="0097276B" w:rsidRDefault="004555AA" w:rsidP="00E87F57">
      <w:pPr>
        <w:pStyle w:val="Heading1"/>
      </w:pPr>
      <w:r w:rsidRPr="0097276B">
        <w:t>5</w:t>
      </w:r>
      <w:r w:rsidRPr="0097276B">
        <w:tab/>
        <w:t>Participation/Demande de visa</w:t>
      </w:r>
    </w:p>
    <w:p w:rsidR="004555AA" w:rsidRDefault="004555AA" w:rsidP="00E87F57">
      <w:pPr>
        <w:keepNext/>
        <w:keepLines/>
      </w:pPr>
      <w:r>
        <w:t>L'inscription des délégués/participants pour la réunion s'effectuera en ligne sur le site web de l'UIT</w:t>
      </w:r>
      <w:r>
        <w:noBreakHyphen/>
        <w:t xml:space="preserve">R. Il a été demandé à chacun des </w:t>
      </w:r>
      <w:r>
        <w:rPr>
          <w:lang w:val="fr-CH"/>
        </w:rPr>
        <w:t xml:space="preserve">Etats Membres, Membres de Secteur, Associés et établissements universitaires de désigner un coordonnateur qui sera chargé du traitement de toutes les demandes d'inscription relevant de son administration/organisation. Les personnes souhaitant assister à la réunion devront prendre contact directement avec le coordonnateur désigné pour toutes les activités des </w:t>
      </w:r>
      <w:r>
        <w:rPr>
          <w:lang w:val="fr-CH" w:eastAsia="ko-KR"/>
        </w:rPr>
        <w:t>Commissions d'études,</w:t>
      </w:r>
      <w:r>
        <w:rPr>
          <w:lang w:val="fr-CH"/>
        </w:rPr>
        <w:t xml:space="preserve"> pour l'organisation qu'e</w:t>
      </w:r>
      <w:r w:rsidR="008A5BCC">
        <w:rPr>
          <w:lang w:val="fr-CH"/>
        </w:rPr>
        <w:t>lles représentent. La liste des </w:t>
      </w:r>
      <w:r>
        <w:rPr>
          <w:lang w:val="fr-CH"/>
        </w:rPr>
        <w:t xml:space="preserve">coordonnateurs désignés ainsi que des renseignements détaillés concernant la demande de visa sont disponibles sur la page web </w:t>
      </w:r>
      <w:r>
        <w:rPr>
          <w:b/>
          <w:bCs/>
          <w:szCs w:val="24"/>
        </w:rPr>
        <w:t>Informations destinées aux</w:t>
      </w:r>
      <w:r>
        <w:rPr>
          <w:szCs w:val="24"/>
        </w:rPr>
        <w:t xml:space="preserve"> </w:t>
      </w:r>
      <w:r>
        <w:rPr>
          <w:b/>
          <w:bCs/>
          <w:szCs w:val="24"/>
        </w:rPr>
        <w:t xml:space="preserve">Membres et inscription des délégués </w:t>
      </w:r>
      <w:r>
        <w:rPr>
          <w:b/>
          <w:bCs/>
          <w:lang w:val="fr-CH"/>
        </w:rPr>
        <w:t>de l'UIT</w:t>
      </w:r>
      <w:r>
        <w:rPr>
          <w:b/>
          <w:bCs/>
          <w:lang w:val="fr-CH"/>
        </w:rPr>
        <w:noBreakHyphen/>
        <w:t>R</w:t>
      </w:r>
      <w:r>
        <w:rPr>
          <w:lang w:val="fr-CH"/>
        </w:rPr>
        <w:t xml:space="preserve"> à l'adresse:</w:t>
      </w:r>
    </w:p>
    <w:p w:rsidR="004555AA" w:rsidRDefault="003041B6" w:rsidP="004555AA">
      <w:pPr>
        <w:spacing w:line="480" w:lineRule="auto"/>
        <w:jc w:val="center"/>
        <w:rPr>
          <w:lang w:val="fr-CH"/>
        </w:rPr>
      </w:pPr>
      <w:hyperlink r:id="rId18" w:history="1">
        <w:r w:rsidR="00E87F57">
          <w:rPr>
            <w:rStyle w:val="Hyperlink"/>
            <w:szCs w:val="24"/>
          </w:rPr>
          <w:t>http://www.itu.int/ITU-R/go/delegate-reg-info/fr</w:t>
        </w:r>
      </w:hyperlink>
      <w:r w:rsidR="00E87F57">
        <w:rPr>
          <w:lang w:val="fr-CH"/>
        </w:rPr>
        <w:t>.</w:t>
      </w:r>
    </w:p>
    <w:p w:rsidR="004555AA" w:rsidRDefault="004555AA" w:rsidP="007F7A55">
      <w:r>
        <w:t>Le Bureau d'enregistrement des délégués ouvrira à 8</w:t>
      </w:r>
      <w:r w:rsidR="007F7A55">
        <w:t> h </w:t>
      </w:r>
      <w:r>
        <w:t>30 le premier jo</w:t>
      </w:r>
      <w:r w:rsidR="008A5BCC">
        <w:t>ur de la réunion, à l'entrée du </w:t>
      </w:r>
      <w:r>
        <w:t xml:space="preserve">bâtiment </w:t>
      </w:r>
      <w:proofErr w:type="spellStart"/>
      <w:r>
        <w:t>Montbrillant</w:t>
      </w:r>
      <w:proofErr w:type="spellEnd"/>
      <w:r>
        <w:t>. Vous voudrez bien noter que chaque délégué/participant devra présenter la confirmation de l'inscription qui lui a été envoyée par courrier électronique ainsi qu'une pièce d'identité avec photo pour pouvoir recevoir un badge.</w:t>
      </w:r>
    </w:p>
    <w:p w:rsidR="004555AA" w:rsidRDefault="004555AA" w:rsidP="007F7A55">
      <w:r>
        <w:t xml:space="preserve">En ce qui concerne les réservations d'hôtel, pour les réunions tenues à Genève, veuillez consulter l'adresse: </w:t>
      </w:r>
      <w:hyperlink r:id="rId19" w:history="1">
        <w:r>
          <w:rPr>
            <w:rStyle w:val="Hyperlink"/>
            <w:szCs w:val="24"/>
          </w:rPr>
          <w:t>http://www.itu.int/travel/index.html</w:t>
        </w:r>
      </w:hyperlink>
      <w:r>
        <w:t>.</w:t>
      </w:r>
    </w:p>
    <w:p w:rsidR="005319A9" w:rsidRDefault="005319A9" w:rsidP="007F7A55"/>
    <w:p w:rsidR="004555AA" w:rsidRPr="00FE1623" w:rsidRDefault="004555AA" w:rsidP="004555AA">
      <w:pPr>
        <w:tabs>
          <w:tab w:val="center" w:pos="7088"/>
        </w:tabs>
        <w:spacing w:before="720"/>
      </w:pPr>
      <w:r>
        <w:tab/>
      </w:r>
      <w:r>
        <w:tab/>
      </w:r>
      <w:r>
        <w:tab/>
      </w:r>
      <w:r>
        <w:tab/>
      </w:r>
      <w:r>
        <w:tab/>
        <w:t xml:space="preserve">François </w:t>
      </w:r>
      <w:proofErr w:type="spellStart"/>
      <w:r>
        <w:t>Rancy</w:t>
      </w:r>
      <w:proofErr w:type="spellEnd"/>
      <w:r>
        <w:br/>
      </w:r>
      <w:r>
        <w:tab/>
      </w:r>
      <w:r>
        <w:tab/>
      </w:r>
      <w:r>
        <w:tab/>
      </w:r>
      <w:r>
        <w:tab/>
      </w:r>
      <w:r>
        <w:tab/>
        <w:t>Directeur du Bureau des radiocommunications</w:t>
      </w:r>
    </w:p>
    <w:p w:rsidR="004555AA" w:rsidRDefault="004555AA" w:rsidP="004555AA"/>
    <w:p w:rsidR="00AA47FC" w:rsidRDefault="00AA47FC" w:rsidP="004555AA"/>
    <w:p w:rsidR="004555AA" w:rsidRPr="000F079D" w:rsidRDefault="004555AA" w:rsidP="004555AA">
      <w:r w:rsidRPr="000F079D">
        <w:rPr>
          <w:b/>
          <w:bCs/>
        </w:rPr>
        <w:t>Annexes:</w:t>
      </w:r>
      <w:r>
        <w:t xml:space="preserve"> 2</w:t>
      </w:r>
    </w:p>
    <w:p w:rsidR="004555AA" w:rsidRPr="00C04ECE" w:rsidRDefault="004555AA" w:rsidP="004555AA">
      <w:pPr>
        <w:tabs>
          <w:tab w:val="left" w:pos="284"/>
          <w:tab w:val="left" w:pos="568"/>
        </w:tabs>
        <w:spacing w:before="240" w:after="120"/>
        <w:rPr>
          <w:sz w:val="18"/>
          <w:szCs w:val="18"/>
        </w:rPr>
      </w:pPr>
      <w:r w:rsidRPr="00E87F57">
        <w:rPr>
          <w:sz w:val="18"/>
          <w:szCs w:val="18"/>
          <w:u w:val="single"/>
        </w:rPr>
        <w:t>Distribution</w:t>
      </w:r>
      <w:r w:rsidRPr="00C04ECE">
        <w:rPr>
          <w:sz w:val="18"/>
          <w:szCs w:val="18"/>
        </w:rPr>
        <w:t>:</w:t>
      </w:r>
    </w:p>
    <w:p w:rsidR="004555AA" w:rsidRDefault="004555AA" w:rsidP="004555AA">
      <w:pPr>
        <w:tabs>
          <w:tab w:val="left" w:pos="284"/>
          <w:tab w:val="left" w:pos="568"/>
        </w:tabs>
        <w:spacing w:before="0"/>
        <w:ind w:left="284" w:hanging="284"/>
        <w:rPr>
          <w:sz w:val="18"/>
          <w:szCs w:val="18"/>
        </w:rPr>
      </w:pPr>
      <w:r w:rsidRPr="008C5D1D">
        <w:rPr>
          <w:sz w:val="18"/>
          <w:szCs w:val="18"/>
        </w:rPr>
        <w:t>–</w:t>
      </w:r>
      <w:r w:rsidRPr="008C5D1D">
        <w:rPr>
          <w:sz w:val="18"/>
          <w:szCs w:val="18"/>
        </w:rPr>
        <w:tab/>
        <w:t xml:space="preserve">Administrations des </w:t>
      </w:r>
      <w:r>
        <w:rPr>
          <w:sz w:val="18"/>
          <w:szCs w:val="18"/>
        </w:rPr>
        <w:t xml:space="preserve">Membres de l'UIT et Membres du Secteur des </w:t>
      </w:r>
      <w:r w:rsidRPr="005A0FE1">
        <w:rPr>
          <w:sz w:val="18"/>
          <w:szCs w:val="18"/>
          <w:lang w:val="fr-CH"/>
        </w:rPr>
        <w:t>radiocommunications</w:t>
      </w:r>
      <w:r>
        <w:rPr>
          <w:sz w:val="18"/>
          <w:szCs w:val="18"/>
        </w:rPr>
        <w:t xml:space="preserve"> participant aux travaux </w:t>
      </w:r>
      <w:r>
        <w:rPr>
          <w:sz w:val="18"/>
          <w:szCs w:val="18"/>
        </w:rPr>
        <w:br/>
        <w:t xml:space="preserve">des Commissions d'études 4, 5, 6 et 7 des </w:t>
      </w:r>
      <w:r w:rsidRPr="005A0FE1">
        <w:rPr>
          <w:sz w:val="18"/>
          <w:szCs w:val="18"/>
          <w:lang w:val="fr-CH"/>
        </w:rPr>
        <w:t>radiocommunications</w:t>
      </w:r>
    </w:p>
    <w:p w:rsidR="004555AA" w:rsidRDefault="004555AA" w:rsidP="004555AA">
      <w:pPr>
        <w:tabs>
          <w:tab w:val="left" w:pos="284"/>
          <w:tab w:val="left" w:pos="568"/>
        </w:tabs>
        <w:spacing w:before="0"/>
        <w:ind w:left="284" w:hanging="284"/>
        <w:rPr>
          <w:sz w:val="18"/>
          <w:szCs w:val="18"/>
          <w:lang w:val="fr-CH"/>
        </w:rPr>
      </w:pPr>
      <w:r w:rsidRPr="008C5D1D">
        <w:rPr>
          <w:sz w:val="18"/>
          <w:szCs w:val="18"/>
        </w:rPr>
        <w:t>–</w:t>
      </w:r>
      <w:r w:rsidRPr="008C5D1D">
        <w:rPr>
          <w:sz w:val="18"/>
          <w:szCs w:val="18"/>
        </w:rPr>
        <w:tab/>
      </w:r>
      <w:r>
        <w:rPr>
          <w:sz w:val="18"/>
          <w:szCs w:val="18"/>
        </w:rPr>
        <w:t>Associés de l'UIT</w:t>
      </w:r>
      <w:r>
        <w:rPr>
          <w:sz w:val="18"/>
          <w:szCs w:val="18"/>
        </w:rPr>
        <w:noBreakHyphen/>
        <w:t xml:space="preserve">R participant aux travaux des Commissions d'études 4, 5, 6 et 7 des </w:t>
      </w:r>
      <w:r w:rsidRPr="005A0FE1">
        <w:rPr>
          <w:sz w:val="18"/>
          <w:szCs w:val="18"/>
          <w:lang w:val="fr-CH"/>
        </w:rPr>
        <w:t>radiocommunications</w:t>
      </w:r>
    </w:p>
    <w:p w:rsidR="004555AA" w:rsidRDefault="004555AA" w:rsidP="004555AA">
      <w:pPr>
        <w:tabs>
          <w:tab w:val="left" w:pos="284"/>
        </w:tabs>
        <w:spacing w:before="0"/>
        <w:ind w:left="284" w:hanging="284"/>
        <w:rPr>
          <w:sz w:val="18"/>
          <w:szCs w:val="18"/>
        </w:rPr>
      </w:pPr>
      <w:r w:rsidRPr="008C5D1D">
        <w:rPr>
          <w:sz w:val="18"/>
          <w:szCs w:val="18"/>
        </w:rPr>
        <w:t>–</w:t>
      </w:r>
      <w:r w:rsidRPr="008C5D1D">
        <w:rPr>
          <w:sz w:val="18"/>
          <w:szCs w:val="18"/>
        </w:rPr>
        <w:tab/>
      </w:r>
      <w:r>
        <w:rPr>
          <w:sz w:val="18"/>
          <w:szCs w:val="18"/>
        </w:rPr>
        <w:t>Etablissements universitaires admis à participer aux travaux de l'UIT-R</w:t>
      </w:r>
    </w:p>
    <w:p w:rsidR="004555AA" w:rsidRDefault="004555AA" w:rsidP="004555AA">
      <w:pPr>
        <w:tabs>
          <w:tab w:val="left" w:pos="284"/>
          <w:tab w:val="left" w:pos="568"/>
        </w:tabs>
        <w:spacing w:before="0"/>
        <w:ind w:left="284" w:hanging="284"/>
        <w:rPr>
          <w:sz w:val="18"/>
          <w:szCs w:val="18"/>
        </w:rPr>
      </w:pPr>
      <w:r w:rsidRPr="008C5D1D">
        <w:rPr>
          <w:sz w:val="18"/>
          <w:szCs w:val="18"/>
        </w:rPr>
        <w:t>–</w:t>
      </w:r>
      <w:r w:rsidRPr="008C5D1D">
        <w:rPr>
          <w:sz w:val="18"/>
          <w:szCs w:val="18"/>
        </w:rPr>
        <w:tab/>
      </w:r>
      <w:r w:rsidRPr="005A0FE1">
        <w:rPr>
          <w:sz w:val="18"/>
          <w:szCs w:val="18"/>
        </w:rPr>
        <w:t xml:space="preserve">Présidents et Vice-Présidents des Commissions d'études </w:t>
      </w:r>
      <w:r>
        <w:rPr>
          <w:sz w:val="18"/>
          <w:szCs w:val="18"/>
        </w:rPr>
        <w:t xml:space="preserve">4, 5, 6 et 7 </w:t>
      </w:r>
      <w:r w:rsidRPr="005A0FE1">
        <w:rPr>
          <w:sz w:val="18"/>
          <w:szCs w:val="18"/>
        </w:rPr>
        <w:t>des radiocommunications</w:t>
      </w:r>
    </w:p>
    <w:p w:rsidR="004555AA" w:rsidRDefault="004555AA" w:rsidP="004555AA">
      <w:pPr>
        <w:tabs>
          <w:tab w:val="left" w:pos="284"/>
          <w:tab w:val="left" w:pos="568"/>
        </w:tabs>
        <w:spacing w:before="0" w:after="120"/>
        <w:ind w:left="284" w:hanging="284"/>
        <w:rPr>
          <w:sz w:val="18"/>
          <w:szCs w:val="18"/>
          <w:lang w:val="fr-CH"/>
        </w:rPr>
      </w:pPr>
      <w:r w:rsidRPr="008C5D1D">
        <w:rPr>
          <w:sz w:val="18"/>
          <w:szCs w:val="18"/>
        </w:rPr>
        <w:t>–</w:t>
      </w:r>
      <w:r w:rsidRPr="008C5D1D">
        <w:rPr>
          <w:sz w:val="18"/>
          <w:szCs w:val="18"/>
        </w:rPr>
        <w:tab/>
      </w:r>
      <w:r w:rsidRPr="005A0FE1">
        <w:rPr>
          <w:iCs/>
          <w:sz w:val="18"/>
          <w:szCs w:val="18"/>
        </w:rPr>
        <w:t>Secrétaire général</w:t>
      </w:r>
      <w:r>
        <w:rPr>
          <w:sz w:val="18"/>
          <w:szCs w:val="18"/>
        </w:rPr>
        <w:t xml:space="preserve"> de l'UIT, Directeur du Bureau de la normalisation des </w:t>
      </w:r>
      <w:r w:rsidRPr="005A0FE1">
        <w:rPr>
          <w:sz w:val="18"/>
          <w:szCs w:val="18"/>
          <w:lang w:val="fr-CH"/>
        </w:rPr>
        <w:t>télécommunication</w:t>
      </w:r>
      <w:r>
        <w:rPr>
          <w:sz w:val="18"/>
          <w:szCs w:val="18"/>
          <w:lang w:val="fr-CH"/>
        </w:rPr>
        <w:t xml:space="preserve">s, </w:t>
      </w:r>
      <w:r>
        <w:rPr>
          <w:sz w:val="18"/>
          <w:szCs w:val="18"/>
          <w:lang w:val="fr-CH"/>
        </w:rPr>
        <w:br/>
        <w:t xml:space="preserve">Directeur du Bureau de </w:t>
      </w:r>
      <w:r w:rsidRPr="005A0FE1">
        <w:rPr>
          <w:sz w:val="18"/>
          <w:szCs w:val="18"/>
          <w:lang w:val="fr-CH"/>
        </w:rPr>
        <w:t>développement</w:t>
      </w:r>
      <w:r>
        <w:rPr>
          <w:sz w:val="18"/>
          <w:szCs w:val="18"/>
          <w:lang w:val="fr-CH"/>
        </w:rPr>
        <w:t xml:space="preserve"> des </w:t>
      </w:r>
      <w:r w:rsidRPr="005A0FE1">
        <w:rPr>
          <w:sz w:val="18"/>
          <w:szCs w:val="18"/>
          <w:lang w:val="fr-CH"/>
        </w:rPr>
        <w:t>télécommunication</w:t>
      </w:r>
      <w:r>
        <w:rPr>
          <w:sz w:val="18"/>
          <w:szCs w:val="18"/>
          <w:lang w:val="fr-CH"/>
        </w:rPr>
        <w:t>s</w:t>
      </w:r>
    </w:p>
    <w:p w:rsidR="004555AA" w:rsidRDefault="004555AA" w:rsidP="004555AA">
      <w:pPr>
        <w:pStyle w:val="AnnexNotitle"/>
        <w:rPr>
          <w:lang w:val="fr-CH"/>
        </w:rPr>
        <w:sectPr w:rsidR="004555AA" w:rsidSect="00864938">
          <w:headerReference w:type="default" r:id="rId20"/>
          <w:footerReference w:type="default" r:id="rId21"/>
          <w:footerReference w:type="first" r:id="rId22"/>
          <w:pgSz w:w="11907" w:h="16834" w:code="9"/>
          <w:pgMar w:top="1418" w:right="1134" w:bottom="1418" w:left="1134" w:header="720" w:footer="720" w:gutter="0"/>
          <w:paperSrc w:first="15" w:other="15"/>
          <w:cols w:space="720"/>
          <w:titlePg/>
          <w:docGrid w:linePitch="326"/>
        </w:sectPr>
      </w:pPr>
    </w:p>
    <w:p w:rsidR="00E87F57" w:rsidRPr="00391634" w:rsidRDefault="004555AA" w:rsidP="003041B6">
      <w:pPr>
        <w:pStyle w:val="AnnexNo"/>
        <w:spacing w:before="0"/>
        <w:rPr>
          <w:rFonts w:asciiTheme="majorBidi" w:hAnsiTheme="majorBidi" w:cstheme="majorBidi"/>
        </w:rPr>
      </w:pPr>
      <w:r w:rsidRPr="004555AA">
        <w:rPr>
          <w:lang w:val="fr-FR"/>
        </w:rPr>
        <w:t>Annex</w:t>
      </w:r>
      <w:bookmarkStart w:id="4" w:name="_GoBack"/>
      <w:bookmarkEnd w:id="4"/>
      <w:r w:rsidRPr="004555AA">
        <w:rPr>
          <w:lang w:val="fr-FR"/>
        </w:rPr>
        <w:t>e 1</w:t>
      </w:r>
      <w:r w:rsidR="008A5BCC">
        <w:rPr>
          <w:lang w:val="fr-FR"/>
        </w:rPr>
        <w:br/>
      </w:r>
      <w:r w:rsidR="008A5BCC">
        <w:rPr>
          <w:lang w:val="fr-FR"/>
        </w:rPr>
        <w:br/>
      </w:r>
      <w:proofErr w:type="spellStart"/>
      <w:r w:rsidR="008A5BCC" w:rsidRPr="00391634">
        <w:rPr>
          <w:rFonts w:asciiTheme="majorBidi" w:hAnsiTheme="majorBidi" w:cstheme="majorBidi"/>
          <w:caps w:val="0"/>
        </w:rPr>
        <w:t>Décision</w:t>
      </w:r>
      <w:proofErr w:type="spellEnd"/>
      <w:r w:rsidR="008A5BCC" w:rsidRPr="00391634">
        <w:rPr>
          <w:rFonts w:asciiTheme="majorBidi" w:hAnsiTheme="majorBidi" w:cstheme="majorBidi"/>
          <w:caps w:val="0"/>
        </w:rPr>
        <w:t xml:space="preserve"> de la </w:t>
      </w:r>
      <w:proofErr w:type="spellStart"/>
      <w:r w:rsidR="008A5BCC" w:rsidRPr="00391634">
        <w:rPr>
          <w:rStyle w:val="h21"/>
          <w:rFonts w:asciiTheme="majorBidi" w:hAnsiTheme="majorBidi" w:cstheme="majorBidi"/>
          <w:b w:val="0"/>
          <w:bCs w:val="0"/>
          <w:caps w:val="0"/>
          <w:color w:val="auto"/>
          <w:sz w:val="28"/>
          <w:szCs w:val="28"/>
        </w:rPr>
        <w:t>Réunion</w:t>
      </w:r>
      <w:proofErr w:type="spellEnd"/>
      <w:r w:rsidR="008A5BCC" w:rsidRPr="00391634">
        <w:rPr>
          <w:rStyle w:val="h21"/>
          <w:rFonts w:asciiTheme="majorBidi" w:hAnsiTheme="majorBidi" w:cstheme="majorBidi"/>
          <w:b w:val="0"/>
          <w:bCs w:val="0"/>
          <w:caps w:val="0"/>
          <w:color w:val="auto"/>
          <w:sz w:val="28"/>
          <w:szCs w:val="28"/>
        </w:rPr>
        <w:t xml:space="preserve"> de </w:t>
      </w:r>
      <w:proofErr w:type="spellStart"/>
      <w:r w:rsidR="008A5BCC" w:rsidRPr="00391634">
        <w:rPr>
          <w:rStyle w:val="h21"/>
          <w:rFonts w:asciiTheme="majorBidi" w:hAnsiTheme="majorBidi" w:cstheme="majorBidi"/>
          <w:b w:val="0"/>
          <w:bCs w:val="0"/>
          <w:caps w:val="0"/>
          <w:color w:val="auto"/>
          <w:sz w:val="28"/>
          <w:szCs w:val="28"/>
        </w:rPr>
        <w:t>Préparation</w:t>
      </w:r>
      <w:proofErr w:type="spellEnd"/>
      <w:r w:rsidR="008A5BCC" w:rsidRPr="00391634">
        <w:rPr>
          <w:rStyle w:val="h21"/>
          <w:rFonts w:asciiTheme="majorBidi" w:hAnsiTheme="majorBidi" w:cstheme="majorBidi"/>
          <w:b w:val="0"/>
          <w:bCs w:val="0"/>
          <w:caps w:val="0"/>
          <w:color w:val="auto"/>
          <w:sz w:val="28"/>
          <w:szCs w:val="28"/>
        </w:rPr>
        <w:t xml:space="preserve"> à la </w:t>
      </w:r>
      <w:proofErr w:type="spellStart"/>
      <w:r w:rsidR="008A5BCC" w:rsidRPr="00391634">
        <w:rPr>
          <w:rStyle w:val="h21"/>
          <w:rFonts w:asciiTheme="majorBidi" w:hAnsiTheme="majorBidi" w:cstheme="majorBidi"/>
          <w:b w:val="0"/>
          <w:bCs w:val="0"/>
          <w:caps w:val="0"/>
          <w:color w:val="auto"/>
          <w:sz w:val="28"/>
          <w:szCs w:val="28"/>
        </w:rPr>
        <w:t>Conférence</w:t>
      </w:r>
      <w:proofErr w:type="spellEnd"/>
      <w:r w:rsidR="00391634" w:rsidRPr="00391634">
        <w:rPr>
          <w:rStyle w:val="h21"/>
          <w:rFonts w:asciiTheme="majorBidi" w:hAnsiTheme="majorBidi" w:cstheme="majorBidi"/>
          <w:caps w:val="0"/>
          <w:color w:val="auto"/>
          <w:sz w:val="27"/>
          <w:szCs w:val="27"/>
        </w:rPr>
        <w:t xml:space="preserve"> </w:t>
      </w:r>
      <w:r w:rsidR="00E87F57" w:rsidRPr="00391634">
        <w:rPr>
          <w:rFonts w:asciiTheme="majorBidi" w:hAnsiTheme="majorBidi" w:cstheme="majorBidi"/>
        </w:rPr>
        <w:t>RPC15-1</w:t>
      </w:r>
    </w:p>
    <w:p w:rsidR="004555AA" w:rsidRDefault="007F7A55" w:rsidP="00E87F57">
      <w:pPr>
        <w:pStyle w:val="AnnexNotitle"/>
        <w:spacing w:before="240"/>
      </w:pPr>
      <w:r>
        <w:t xml:space="preserve">Mandat </w:t>
      </w:r>
      <w:r w:rsidR="004555AA" w:rsidRPr="00FC299C">
        <w:t>du Groupe d'action mixte 4-5-6-7</w:t>
      </w:r>
    </w:p>
    <w:p w:rsidR="004555AA" w:rsidRPr="00391634" w:rsidRDefault="004555AA" w:rsidP="00391634">
      <w:pPr>
        <w:spacing w:before="240"/>
        <w:jc w:val="center"/>
        <w:rPr>
          <w:b/>
          <w:bCs/>
          <w:sz w:val="28"/>
          <w:szCs w:val="28"/>
        </w:rPr>
      </w:pPr>
      <w:r w:rsidRPr="00391634">
        <w:rPr>
          <w:b/>
          <w:bCs/>
          <w:sz w:val="28"/>
          <w:szCs w:val="28"/>
        </w:rPr>
        <w:t>Points 1.1 et 1.2 de l'ordre du jour de la CMR-15</w:t>
      </w:r>
    </w:p>
    <w:p w:rsidR="004555AA" w:rsidRPr="00FC299C" w:rsidRDefault="004555AA" w:rsidP="004555AA">
      <w:pPr>
        <w:pStyle w:val="Normalaftertitle0"/>
        <w:rPr>
          <w:lang w:val="fr-FR"/>
        </w:rPr>
      </w:pPr>
      <w:r w:rsidRPr="00FC299C">
        <w:rPr>
          <w:lang w:val="fr-FR"/>
        </w:rPr>
        <w:t>La première session de la Réunion de préparation à la Conférence pour la CMR</w:t>
      </w:r>
      <w:r w:rsidRPr="00FC299C">
        <w:rPr>
          <w:lang w:val="fr-FR"/>
        </w:rPr>
        <w:noBreakHyphen/>
        <w:t>15 (RPC15</w:t>
      </w:r>
      <w:r w:rsidRPr="00FC299C">
        <w:rPr>
          <w:lang w:val="fr-FR"/>
        </w:rPr>
        <w:noBreakHyphen/>
        <w:t>1),</w:t>
      </w:r>
    </w:p>
    <w:p w:rsidR="004555AA" w:rsidRPr="00FC299C" w:rsidRDefault="004555AA" w:rsidP="004555AA">
      <w:pPr>
        <w:pStyle w:val="Call"/>
      </w:pPr>
      <w:proofErr w:type="gramStart"/>
      <w:r w:rsidRPr="00FC299C">
        <w:t>considérant</w:t>
      </w:r>
      <w:proofErr w:type="gramEnd"/>
    </w:p>
    <w:p w:rsidR="004555AA" w:rsidRPr="00FC299C" w:rsidRDefault="004555AA" w:rsidP="004555AA">
      <w:pPr>
        <w:rPr>
          <w:bCs/>
          <w:i/>
          <w:iCs/>
        </w:rPr>
      </w:pPr>
      <w:r w:rsidRPr="00872888">
        <w:t>a)</w:t>
      </w:r>
      <w:r w:rsidRPr="00FC299C">
        <w:tab/>
        <w:t xml:space="preserve">que, par sa Résolution </w:t>
      </w:r>
      <w:r w:rsidRPr="00FC299C">
        <w:rPr>
          <w:b/>
          <w:bCs/>
        </w:rPr>
        <w:t>807 [</w:t>
      </w:r>
      <w:r w:rsidRPr="00FC299C">
        <w:rPr>
          <w:rStyle w:val="href"/>
          <w:b/>
          <w:bCs/>
        </w:rPr>
        <w:t>COM6/6]</w:t>
      </w:r>
      <w:r w:rsidRPr="00FC299C">
        <w:rPr>
          <w:b/>
          <w:bCs/>
        </w:rPr>
        <w:t xml:space="preserve"> (CMR-12)</w:t>
      </w:r>
      <w:r w:rsidRPr="00FC299C">
        <w:t>,</w:t>
      </w:r>
      <w:r w:rsidRPr="00FC299C">
        <w:rPr>
          <w:b/>
          <w:bCs/>
        </w:rPr>
        <w:t xml:space="preserve"> </w:t>
      </w:r>
      <w:r w:rsidRPr="00FC299C">
        <w:t>la CMR-12 a recommandé au Conseil d'inscrire à l'ordre du jour de la CMR-15 le point 1.1</w:t>
      </w:r>
      <w:r w:rsidRPr="00FC299C">
        <w:rPr>
          <w:b/>
          <w:bCs/>
        </w:rPr>
        <w:t xml:space="preserve"> </w:t>
      </w:r>
      <w:r w:rsidRPr="00FC299C">
        <w:t>"</w:t>
      </w:r>
      <w:r w:rsidRPr="00FC299C">
        <w:rPr>
          <w:i/>
          <w:iCs/>
        </w:rPr>
        <w:t xml:space="preserve">envisager des attributions de fréquences additionnelles au </w:t>
      </w:r>
      <w:r w:rsidRPr="00FC299C">
        <w:rPr>
          <w:i/>
          <w:iCs/>
          <w:szCs w:val="24"/>
        </w:rPr>
        <w:t>service</w:t>
      </w:r>
      <w:r w:rsidRPr="00FC299C">
        <w:rPr>
          <w:i/>
          <w:iCs/>
        </w:rPr>
        <w:t xml:space="preserve"> mobile à titre primaire et identifier des bandes de fréquences additionnelles pour les Télécommunications mobiles internationales (</w:t>
      </w:r>
      <w:proofErr w:type="spellStart"/>
      <w:r w:rsidRPr="00FC299C">
        <w:rPr>
          <w:i/>
          <w:iCs/>
        </w:rPr>
        <w:t>IMT</w:t>
      </w:r>
      <w:proofErr w:type="spellEnd"/>
      <w:r w:rsidRPr="00FC299C">
        <w:rPr>
          <w:i/>
          <w:iCs/>
        </w:rPr>
        <w:t xml:space="preserve">) ainsi que les dispositions réglementaires correspondantes, afin de faciliter le développement des applications mobiles à large bande de Terre, conformément à la Résolution </w:t>
      </w:r>
      <w:r w:rsidRPr="00FC299C">
        <w:rPr>
          <w:b/>
          <w:bCs/>
          <w:i/>
          <w:iCs/>
        </w:rPr>
        <w:t>233</w:t>
      </w:r>
      <w:r w:rsidRPr="00FC299C">
        <w:rPr>
          <w:i/>
          <w:iCs/>
        </w:rPr>
        <w:t xml:space="preserve"> </w:t>
      </w:r>
      <w:r w:rsidRPr="00251506">
        <w:rPr>
          <w:b/>
          <w:bCs/>
          <w:i/>
          <w:iCs/>
        </w:rPr>
        <w:t>[</w:t>
      </w:r>
      <w:r w:rsidRPr="00FC299C">
        <w:rPr>
          <w:b/>
          <w:bCs/>
          <w:i/>
          <w:iCs/>
        </w:rPr>
        <w:t>COM6/8] (CMR</w:t>
      </w:r>
      <w:r w:rsidRPr="00FC299C">
        <w:rPr>
          <w:b/>
          <w:bCs/>
          <w:i/>
          <w:iCs/>
        </w:rPr>
        <w:noBreakHyphen/>
        <w:t>12)</w:t>
      </w:r>
      <w:r w:rsidRPr="00FC299C">
        <w:t>"</w:t>
      </w:r>
      <w:r w:rsidRPr="00FC299C">
        <w:rPr>
          <w:bCs/>
          <w:i/>
          <w:iCs/>
        </w:rPr>
        <w:t>;</w:t>
      </w:r>
    </w:p>
    <w:p w:rsidR="004555AA" w:rsidRPr="00FC299C" w:rsidRDefault="004555AA" w:rsidP="004555AA">
      <w:pPr>
        <w:rPr>
          <w:i/>
          <w:iCs/>
        </w:rPr>
      </w:pPr>
      <w:r w:rsidRPr="00872888">
        <w:t>b)</w:t>
      </w:r>
      <w:r w:rsidRPr="00FC299C">
        <w:tab/>
        <w:t xml:space="preserve">que, par sa Résolution </w:t>
      </w:r>
      <w:r w:rsidRPr="00FC299C">
        <w:rPr>
          <w:b/>
          <w:bCs/>
        </w:rPr>
        <w:t>807 [</w:t>
      </w:r>
      <w:r w:rsidRPr="00FC299C">
        <w:rPr>
          <w:rStyle w:val="href"/>
          <w:b/>
          <w:bCs/>
        </w:rPr>
        <w:t>COM6/6]</w:t>
      </w:r>
      <w:r w:rsidRPr="00FC299C">
        <w:rPr>
          <w:b/>
          <w:bCs/>
        </w:rPr>
        <w:t xml:space="preserve"> (CMR-12)</w:t>
      </w:r>
      <w:r w:rsidRPr="00FC299C">
        <w:t>,</w:t>
      </w:r>
      <w:r w:rsidRPr="00FC299C">
        <w:rPr>
          <w:b/>
          <w:bCs/>
        </w:rPr>
        <w:t xml:space="preserve"> </w:t>
      </w:r>
      <w:r w:rsidRPr="00FC299C">
        <w:t>la CMR-12 a recommandé au Conseil d'inscrire à l'ordre du jour de la CMR-15 le point 1.2 "</w:t>
      </w:r>
      <w:r w:rsidRPr="00FC299C">
        <w:rPr>
          <w:i/>
          <w:iCs/>
        </w:rPr>
        <w:t xml:space="preserve">examiner les résultats des études de l'UIT-R, conformément à la Résolution </w:t>
      </w:r>
      <w:r w:rsidRPr="00FC299C">
        <w:rPr>
          <w:b/>
          <w:bCs/>
          <w:i/>
          <w:iCs/>
        </w:rPr>
        <w:t>232 [COM5/10] (CMR-12)</w:t>
      </w:r>
      <w:r w:rsidRPr="00FC299C">
        <w:rPr>
          <w:i/>
          <w:iCs/>
        </w:rPr>
        <w:t>, sur l'utilisation de la bande de fréquences 694-790 MHz par le service mobile, sauf mobile aéronautique, dans la Région 1 et prendre les mesures appropriées</w:t>
      </w:r>
      <w:r w:rsidRPr="00FC299C">
        <w:t xml:space="preserve">", </w:t>
      </w:r>
    </w:p>
    <w:p w:rsidR="004555AA" w:rsidRPr="00FC299C" w:rsidRDefault="004555AA" w:rsidP="004555AA">
      <w:pPr>
        <w:pStyle w:val="Call"/>
      </w:pPr>
      <w:proofErr w:type="gramStart"/>
      <w:r w:rsidRPr="00FC299C">
        <w:t>décide</w:t>
      </w:r>
      <w:proofErr w:type="gramEnd"/>
    </w:p>
    <w:p w:rsidR="004555AA" w:rsidRPr="00FC299C" w:rsidRDefault="004555AA" w:rsidP="004555AA">
      <w:r w:rsidRPr="00FC299C">
        <w:t>1</w:t>
      </w:r>
      <w:r w:rsidRPr="00FC299C">
        <w:tab/>
        <w:t xml:space="preserve">de créer le Groupe d'action mixte </w:t>
      </w:r>
      <w:proofErr w:type="spellStart"/>
      <w:r w:rsidRPr="00FC299C">
        <w:t>GAM</w:t>
      </w:r>
      <w:proofErr w:type="spellEnd"/>
      <w:r w:rsidRPr="00FC299C">
        <w:t xml:space="preserve"> 4-5-6-7 en tant que groupe responsable chargé des points 1.1 et 1.2 de l'ordre du jour de la CMR-15, avec le mandat suivant; </w:t>
      </w:r>
    </w:p>
    <w:p w:rsidR="004555AA" w:rsidRPr="00FC299C" w:rsidRDefault="004555AA" w:rsidP="004555AA">
      <w:r w:rsidRPr="00FC299C">
        <w:t>2</w:t>
      </w:r>
      <w:r w:rsidRPr="00FC299C">
        <w:tab/>
        <w:t xml:space="preserve">que le </w:t>
      </w:r>
      <w:proofErr w:type="spellStart"/>
      <w:r w:rsidRPr="00FC299C">
        <w:t>GAM</w:t>
      </w:r>
      <w:proofErr w:type="spellEnd"/>
      <w:r w:rsidRPr="00FC299C">
        <w:t xml:space="preserve"> 4-5-6-7 est chargé d'élaborer le projet de texte pour le Rapport de la RPC pour ce qui est des points 1.1 et 1.2 de l'ordre du jour de la CMR-15 et qu'il soumettra ce texte directement à la RPC-15 conformément au § 2.9 de la Résolution UIT-R 1-6 et à la Résolution UIT</w:t>
      </w:r>
      <w:r w:rsidRPr="00FC299C">
        <w:noBreakHyphen/>
        <w:t>R 2-6;</w:t>
      </w:r>
    </w:p>
    <w:p w:rsidR="004555AA" w:rsidRPr="00FC299C" w:rsidRDefault="004555AA" w:rsidP="004555AA">
      <w:r w:rsidRPr="00FC299C">
        <w:t>3</w:t>
      </w:r>
      <w:r w:rsidRPr="00FC299C">
        <w:tab/>
        <w:t xml:space="preserve">que, pour procéder aux études de partage et élaborer le projet de texte pour la RPC, le </w:t>
      </w:r>
      <w:proofErr w:type="spellStart"/>
      <w:r w:rsidRPr="00FC299C">
        <w:t>GAM</w:t>
      </w:r>
      <w:proofErr w:type="spellEnd"/>
      <w:r>
        <w:t> </w:t>
      </w:r>
      <w:r w:rsidRPr="00FC299C">
        <w:t xml:space="preserve">4-5-6-7 doit tenir compte, conformément aux Résolutions </w:t>
      </w:r>
      <w:r w:rsidRPr="00FC299C">
        <w:rPr>
          <w:rFonts w:ascii="Times New Roman Bold" w:hAnsi="Times New Roman Bold" w:cs="Times New Roman Bold"/>
          <w:b/>
          <w:bCs/>
        </w:rPr>
        <w:t>232 [</w:t>
      </w:r>
      <w:r w:rsidRPr="00FC299C">
        <w:rPr>
          <w:b/>
          <w:bCs/>
        </w:rPr>
        <w:t>COM5/10</w:t>
      </w:r>
      <w:r w:rsidRPr="00FC299C">
        <w:rPr>
          <w:rFonts w:ascii="Times New Roman Bold" w:hAnsi="Times New Roman Bold" w:cs="Times New Roman Bold"/>
          <w:b/>
          <w:bCs/>
        </w:rPr>
        <w:t>]</w:t>
      </w:r>
      <w:r w:rsidRPr="00FC299C">
        <w:rPr>
          <w:b/>
          <w:bCs/>
        </w:rPr>
        <w:t xml:space="preserve"> (CMR-12)</w:t>
      </w:r>
      <w:r w:rsidRPr="00FC299C">
        <w:t xml:space="preserve"> et </w:t>
      </w:r>
      <w:r w:rsidRPr="00FC299C">
        <w:rPr>
          <w:rFonts w:ascii="Times New Roman Bold" w:hAnsi="Times New Roman Bold" w:cs="Times New Roman Bold"/>
          <w:b/>
          <w:bCs/>
        </w:rPr>
        <w:t>233 [</w:t>
      </w:r>
      <w:r w:rsidRPr="00FC299C">
        <w:rPr>
          <w:b/>
          <w:bCs/>
        </w:rPr>
        <w:t>COM6/8</w:t>
      </w:r>
      <w:r w:rsidRPr="00FC299C">
        <w:rPr>
          <w:rFonts w:ascii="Times New Roman Bold" w:hAnsi="Times New Roman Bold" w:cs="Times New Roman Bold"/>
          <w:b/>
          <w:bCs/>
        </w:rPr>
        <w:t>]</w:t>
      </w:r>
      <w:r w:rsidRPr="00FC299C">
        <w:rPr>
          <w:b/>
          <w:bCs/>
        </w:rPr>
        <w:t xml:space="preserve"> (CMR-12)</w:t>
      </w:r>
      <w:r w:rsidRPr="00FC299C">
        <w:t>, des résultats des études du Groupe de travail 5D sur les besoins de spectre pour le service mobile, y compris les gammes de fréquences appropriées et d'autres besoins particuliers ainsi que des résultats des études des Groupes de travail concernés sur les caractéristiques techniques et opérationnelles, les besoins de spectre, les objectifs de qualité de fonctionnement ou les besoins de protection d'autres services;</w:t>
      </w:r>
    </w:p>
    <w:p w:rsidR="004555AA" w:rsidRPr="00FC299C" w:rsidRDefault="004555AA" w:rsidP="004555AA">
      <w:r w:rsidRPr="00FC299C">
        <w:t>4</w:t>
      </w:r>
      <w:r w:rsidRPr="00FC299C">
        <w:tab/>
        <w:t xml:space="preserve">que le </w:t>
      </w:r>
      <w:proofErr w:type="spellStart"/>
      <w:r w:rsidRPr="00FC299C">
        <w:t>GAM</w:t>
      </w:r>
      <w:proofErr w:type="spellEnd"/>
      <w:r w:rsidRPr="00FC299C">
        <w:t xml:space="preserve"> 4-5-6-7 peut élaborer, au besoin, des </w:t>
      </w:r>
      <w:r w:rsidR="00391634">
        <w:t>projets de Recommandation ou de </w:t>
      </w:r>
      <w:r w:rsidRPr="00FC299C">
        <w:t>Rapport UIT</w:t>
      </w:r>
      <w:r w:rsidRPr="00FC299C">
        <w:noBreakHyphen/>
        <w:t>R sur les résultats des études de partage du spectre</w:t>
      </w:r>
      <w:r w:rsidR="00391634">
        <w:t xml:space="preserve"> et de compatibilité, en vue de </w:t>
      </w:r>
      <w:r w:rsidRPr="00FC299C">
        <w:t>leur soumission ultérieure aux commissions d'études pertinentes p</w:t>
      </w:r>
      <w:r w:rsidR="00391634">
        <w:t>our adoption, conformément à la </w:t>
      </w:r>
      <w:r w:rsidRPr="00FC299C">
        <w:t>Résolution UIT-R 1-6;</w:t>
      </w:r>
    </w:p>
    <w:p w:rsidR="004555AA" w:rsidRPr="00FC299C" w:rsidRDefault="004555AA" w:rsidP="004555AA">
      <w:r w:rsidRPr="00FC299C">
        <w:t>5</w:t>
      </w:r>
      <w:r w:rsidRPr="00FC299C">
        <w:tab/>
        <w:t xml:space="preserve">que les études relatives à la disposition des voies, dont il est question aux points 2 et 3 du </w:t>
      </w:r>
      <w:r w:rsidRPr="00FC299C">
        <w:rPr>
          <w:i/>
          <w:iCs/>
        </w:rPr>
        <w:t>invite l'UIT</w:t>
      </w:r>
      <w:r w:rsidRPr="00FC299C">
        <w:rPr>
          <w:i/>
          <w:iCs/>
        </w:rPr>
        <w:noBreakHyphen/>
        <w:t>R</w:t>
      </w:r>
      <w:r w:rsidRPr="00FC299C">
        <w:t xml:space="preserve"> de la Résolution </w:t>
      </w:r>
      <w:r w:rsidRPr="00FC299C">
        <w:rPr>
          <w:rFonts w:ascii="Times New Roman Bold" w:hAnsi="Times New Roman Bold" w:cs="Times New Roman Bold"/>
          <w:b/>
          <w:bCs/>
        </w:rPr>
        <w:t>232 [</w:t>
      </w:r>
      <w:r w:rsidRPr="00FC299C">
        <w:rPr>
          <w:b/>
          <w:bCs/>
        </w:rPr>
        <w:t>COM5/10]</w:t>
      </w:r>
      <w:r w:rsidRPr="00FC299C">
        <w:t xml:space="preserve"> </w:t>
      </w:r>
      <w:r w:rsidRPr="00FC299C">
        <w:rPr>
          <w:b/>
          <w:bCs/>
        </w:rPr>
        <w:t>(CMR-12)</w:t>
      </w:r>
      <w:r w:rsidRPr="00FC299C">
        <w:t xml:space="preserve"> doivent être réalisées au sein du Groupe de travail 5D;</w:t>
      </w:r>
    </w:p>
    <w:p w:rsidR="004555AA" w:rsidRPr="00FC299C" w:rsidRDefault="004555AA" w:rsidP="004555AA">
      <w:r w:rsidRPr="00FC299C">
        <w:t>6</w:t>
      </w:r>
      <w:r w:rsidRPr="00FC299C">
        <w:tab/>
        <w:t xml:space="preserve">que, pour ses travaux, le </w:t>
      </w:r>
      <w:proofErr w:type="spellStart"/>
      <w:r w:rsidRPr="00FC299C">
        <w:t>GAM</w:t>
      </w:r>
      <w:proofErr w:type="spellEnd"/>
      <w:r w:rsidRPr="00FC299C">
        <w:t xml:space="preserve"> 4-5-6-7 doit utiliser autant que faire se peut les moyens de communication modernes, y compris la participation à distance, dans la mesure où cela est pratiquement réalisable;</w:t>
      </w:r>
    </w:p>
    <w:p w:rsidR="004555AA" w:rsidRPr="00FC299C" w:rsidRDefault="004555AA" w:rsidP="004555AA">
      <w:r w:rsidRPr="00FC299C">
        <w:t>7</w:t>
      </w:r>
      <w:r w:rsidRPr="00FC299C">
        <w:tab/>
        <w:t xml:space="preserve">que les réunions du </w:t>
      </w:r>
      <w:proofErr w:type="spellStart"/>
      <w:r w:rsidRPr="00FC299C">
        <w:t>GAM</w:t>
      </w:r>
      <w:proofErr w:type="spellEnd"/>
      <w:r w:rsidRPr="00FC299C">
        <w:t xml:space="preserve"> 4-5-6-7 devraient, dans la mesure du possible, être programmées de manière à éviter tout chevauchement avec les réunions régulières des Groupes de travail concernés des Commissions d'études 4, 5, 6 et 7, mais que les dates retenues devraient être proches de celles des réunions de ces Groupes de travail et que le lieu dev</w:t>
      </w:r>
      <w:r w:rsidR="00391634">
        <w:t>rait être le même que celui des </w:t>
      </w:r>
      <w:r w:rsidRPr="00FC299C">
        <w:t>réunions de ces Groupes de travail afin de faciliter la participation</w:t>
      </w:r>
      <w:r w:rsidR="00391634">
        <w:t xml:space="preserve"> des délégations, dans toute la </w:t>
      </w:r>
      <w:r w:rsidRPr="00FC299C">
        <w:t>mesure pratiquement réalisable,</w:t>
      </w:r>
    </w:p>
    <w:p w:rsidR="004555AA" w:rsidRPr="00FC299C" w:rsidRDefault="004555AA" w:rsidP="004555AA">
      <w:pPr>
        <w:pStyle w:val="Call"/>
      </w:pPr>
      <w:proofErr w:type="gramStart"/>
      <w:r w:rsidRPr="00FC299C">
        <w:t>décide</w:t>
      </w:r>
      <w:proofErr w:type="gramEnd"/>
      <w:r w:rsidRPr="00FC299C">
        <w:t xml:space="preserve"> en outre</w:t>
      </w:r>
    </w:p>
    <w:p w:rsidR="004555AA" w:rsidRPr="00FC299C" w:rsidRDefault="004555AA" w:rsidP="004555AA">
      <w:r w:rsidRPr="00FC299C">
        <w:t>1</w:t>
      </w:r>
      <w:r w:rsidRPr="00FC299C">
        <w:tab/>
        <w:t xml:space="preserve">que, pour s'acquitter de sa tâche, le </w:t>
      </w:r>
      <w:proofErr w:type="spellStart"/>
      <w:r w:rsidRPr="00FC299C">
        <w:t>GAM</w:t>
      </w:r>
      <w:proofErr w:type="spellEnd"/>
      <w:r w:rsidRPr="00FC299C">
        <w:t> 4</w:t>
      </w:r>
      <w:r w:rsidRPr="00FC299C">
        <w:noBreakHyphen/>
        <w:t>5</w:t>
      </w:r>
      <w:r w:rsidRPr="00FC299C">
        <w:noBreakHyphen/>
        <w:t>6</w:t>
      </w:r>
      <w:r w:rsidRPr="00FC299C">
        <w:noBreakHyphen/>
        <w:t>7 peut, au besoin, assurer une liaison avec les Commissions d'études et les Groupes de travail de l'UIT-R c</w:t>
      </w:r>
      <w:r w:rsidR="00391634">
        <w:t>oncernés afin de recueillir les </w:t>
      </w:r>
      <w:r w:rsidRPr="00FC299C">
        <w:t>informations nécessaires;</w:t>
      </w:r>
    </w:p>
    <w:p w:rsidR="004555AA" w:rsidRPr="00FC299C" w:rsidRDefault="004555AA" w:rsidP="004555AA">
      <w:r w:rsidRPr="00FC299C">
        <w:t>2</w:t>
      </w:r>
      <w:r w:rsidRPr="00FC299C">
        <w:tab/>
        <w:t xml:space="preserve">que le </w:t>
      </w:r>
      <w:proofErr w:type="spellStart"/>
      <w:r w:rsidRPr="00FC299C">
        <w:t>GAM</w:t>
      </w:r>
      <w:proofErr w:type="spellEnd"/>
      <w:r w:rsidRPr="00FC299C">
        <w:t xml:space="preserve"> 4-5-6-7 doit mener ses travaux de manière autonome et qu'il ne doit pas nécessairement communiquer les résultats de ses études aux autres groupes de travail; </w:t>
      </w:r>
    </w:p>
    <w:p w:rsidR="004555AA" w:rsidRPr="00FC299C" w:rsidRDefault="004555AA" w:rsidP="004555AA">
      <w:r w:rsidRPr="00FC299C">
        <w:t>3</w:t>
      </w:r>
      <w:r w:rsidRPr="00FC299C">
        <w:tab/>
      </w:r>
      <w:r>
        <w:t xml:space="preserve">que, </w:t>
      </w:r>
      <w:r w:rsidRPr="00FC299C">
        <w:t xml:space="preserve">en ce qui concerne les études de partage entreprises par le </w:t>
      </w:r>
      <w:proofErr w:type="spellStart"/>
      <w:r w:rsidRPr="00FC299C">
        <w:t>GAM</w:t>
      </w:r>
      <w:proofErr w:type="spellEnd"/>
      <w:r w:rsidRPr="00FC299C">
        <w:t xml:space="preserve"> 4-5-6-7 en application de la Résolution </w:t>
      </w:r>
      <w:r w:rsidRPr="00FC299C">
        <w:rPr>
          <w:rFonts w:ascii="Times New Roman Bold" w:hAnsi="Times New Roman Bold" w:cs="Times New Roman Bold"/>
          <w:b/>
          <w:bCs/>
        </w:rPr>
        <w:t>232 [</w:t>
      </w:r>
      <w:r w:rsidRPr="00FC299C">
        <w:rPr>
          <w:b/>
          <w:bCs/>
        </w:rPr>
        <w:t>COM5/10] (CMR-12)</w:t>
      </w:r>
      <w:r w:rsidRPr="00FC299C">
        <w:t>, les caractéristiques techniques et opérationnelles et les critères de protection définis par les Groupes de travail concernés ainsi que les besoins de spectre établis par les Groupes de travail 5D et</w:t>
      </w:r>
      <w:r>
        <w:t xml:space="preserve"> </w:t>
      </w:r>
      <w:r w:rsidRPr="00FC299C">
        <w:t xml:space="preserve">6A doivent être soumis au </w:t>
      </w:r>
      <w:proofErr w:type="spellStart"/>
      <w:r w:rsidRPr="00FC299C">
        <w:t>GAM</w:t>
      </w:r>
      <w:proofErr w:type="spellEnd"/>
      <w:r w:rsidRPr="00FC299C">
        <w:t xml:space="preserve"> avant le 31 décembre 2012; </w:t>
      </w:r>
    </w:p>
    <w:p w:rsidR="004555AA" w:rsidRPr="00FC299C" w:rsidRDefault="004555AA" w:rsidP="004555AA">
      <w:r w:rsidRPr="00FC299C">
        <w:t>4</w:t>
      </w:r>
      <w:r w:rsidRPr="00FC299C">
        <w:tab/>
      </w:r>
      <w:r>
        <w:t xml:space="preserve">que, </w:t>
      </w:r>
      <w:r w:rsidRPr="00FC299C">
        <w:t xml:space="preserve">en ce qui concerne les études de partage entreprises par le </w:t>
      </w:r>
      <w:proofErr w:type="spellStart"/>
      <w:r w:rsidRPr="00FC299C">
        <w:t>GAM</w:t>
      </w:r>
      <w:proofErr w:type="spellEnd"/>
      <w:r w:rsidRPr="00FC299C">
        <w:t xml:space="preserve"> 4-5-6-7 en application de la Résolution </w:t>
      </w:r>
      <w:r w:rsidRPr="00FC299C">
        <w:rPr>
          <w:rFonts w:ascii="Times New Roman Bold" w:hAnsi="Times New Roman Bold" w:cs="Times New Roman Bold"/>
          <w:b/>
          <w:bCs/>
        </w:rPr>
        <w:t>232 [</w:t>
      </w:r>
      <w:r w:rsidRPr="00FC299C">
        <w:rPr>
          <w:b/>
          <w:bCs/>
        </w:rPr>
        <w:t>COM</w:t>
      </w:r>
      <w:r>
        <w:rPr>
          <w:b/>
          <w:bCs/>
        </w:rPr>
        <w:t>6</w:t>
      </w:r>
      <w:r w:rsidRPr="00FC299C">
        <w:rPr>
          <w:b/>
          <w:bCs/>
        </w:rPr>
        <w:t>/</w:t>
      </w:r>
      <w:r>
        <w:rPr>
          <w:b/>
          <w:bCs/>
        </w:rPr>
        <w:t>8</w:t>
      </w:r>
      <w:r w:rsidRPr="00FC299C">
        <w:rPr>
          <w:b/>
          <w:bCs/>
        </w:rPr>
        <w:t>] (CMR-12)</w:t>
      </w:r>
      <w:r w:rsidRPr="00FC299C">
        <w:t>, les caractéristiques tec</w:t>
      </w:r>
      <w:r w:rsidR="00391634">
        <w:t>hniques et opérationnelles, les </w:t>
      </w:r>
      <w:r w:rsidRPr="00FC299C">
        <w:t>critères de protection et les informations sur les utilisations actuelle et prévue provenant des Groupes de travail concernés ainsi que les besoins de spectre établ</w:t>
      </w:r>
      <w:r>
        <w:t>is par les Groupes de travail 5A</w:t>
      </w:r>
      <w:r w:rsidRPr="00FC299C">
        <w:t xml:space="preserve"> et </w:t>
      </w:r>
      <w:r>
        <w:t>5D</w:t>
      </w:r>
      <w:r w:rsidRPr="00FC299C">
        <w:t xml:space="preserve"> doivent être soumis au </w:t>
      </w:r>
      <w:proofErr w:type="spellStart"/>
      <w:r w:rsidRPr="00FC299C">
        <w:t>GAM</w:t>
      </w:r>
      <w:proofErr w:type="spellEnd"/>
      <w:r w:rsidRPr="00FC299C">
        <w:t xml:space="preserve"> de préférence avant le 31 juillet 2013;</w:t>
      </w:r>
    </w:p>
    <w:p w:rsidR="004555AA" w:rsidRPr="00FC299C" w:rsidRDefault="004555AA" w:rsidP="00647747">
      <w:r w:rsidRPr="00FC299C">
        <w:rPr>
          <w:rFonts w:cs="Calibri"/>
        </w:rPr>
        <w:t>5</w:t>
      </w:r>
      <w:r w:rsidRPr="00FC299C">
        <w:rPr>
          <w:rFonts w:cs="Calibri"/>
        </w:rPr>
        <w:tab/>
        <w:t xml:space="preserve">que le </w:t>
      </w:r>
      <w:proofErr w:type="spellStart"/>
      <w:r w:rsidRPr="00FC299C">
        <w:t>GAM</w:t>
      </w:r>
      <w:proofErr w:type="spellEnd"/>
      <w:r w:rsidRPr="00FC299C">
        <w:t xml:space="preserve"> 4-5-6-7 </w:t>
      </w:r>
      <w:r w:rsidRPr="00FC299C">
        <w:rPr>
          <w:rFonts w:cs="Calibri"/>
        </w:rPr>
        <w:t>doit, d'urgence, mener ses études conformément à la Résolution</w:t>
      </w:r>
      <w:r w:rsidR="00647747">
        <w:rPr>
          <w:rFonts w:cs="Calibri"/>
        </w:rPr>
        <w:t> </w:t>
      </w:r>
      <w:r w:rsidR="00647747">
        <w:rPr>
          <w:rFonts w:ascii="Times New Roman Bold" w:hAnsi="Times New Roman Bold" w:cs="Times New Roman Bold"/>
          <w:b/>
          <w:bCs/>
        </w:rPr>
        <w:t>232 </w:t>
      </w:r>
      <w:r w:rsidRPr="00FC299C">
        <w:rPr>
          <w:rFonts w:ascii="Times New Roman Bold" w:hAnsi="Times New Roman Bold" w:cs="Times New Roman Bold"/>
          <w:b/>
          <w:bCs/>
        </w:rPr>
        <w:t>[</w:t>
      </w:r>
      <w:r w:rsidRPr="00FC299C">
        <w:rPr>
          <w:rFonts w:cs="Calibri"/>
          <w:b/>
          <w:bCs/>
        </w:rPr>
        <w:t>COM5/10] (CMR</w:t>
      </w:r>
      <w:r w:rsidRPr="00FC299C">
        <w:rPr>
          <w:rFonts w:cs="Calibri"/>
          <w:b/>
          <w:bCs/>
        </w:rPr>
        <w:noBreakHyphen/>
        <w:t>12)</w:t>
      </w:r>
      <w:r w:rsidRPr="00FC299C">
        <w:rPr>
          <w:rFonts w:cs="Calibri"/>
        </w:rPr>
        <w:t>.</w:t>
      </w:r>
    </w:p>
    <w:p w:rsidR="004555AA" w:rsidRPr="00647747" w:rsidRDefault="004555AA" w:rsidP="00AA47FC">
      <w:pPr>
        <w:pStyle w:val="AnnexNo"/>
        <w:spacing w:before="240"/>
        <w:rPr>
          <w:lang w:val="fr-FR"/>
        </w:rPr>
      </w:pPr>
      <w:r w:rsidRPr="00647747">
        <w:rPr>
          <w:lang w:val="fr-FR"/>
        </w:rPr>
        <w:br w:type="page"/>
        <w:t>An</w:t>
      </w:r>
      <w:r w:rsidRPr="007F7A55">
        <w:rPr>
          <w:lang w:val="fr-FR"/>
        </w:rPr>
        <w:t>n</w:t>
      </w:r>
      <w:r w:rsidRPr="00647747">
        <w:rPr>
          <w:lang w:val="fr-FR"/>
        </w:rPr>
        <w:t>exe 2</w:t>
      </w:r>
    </w:p>
    <w:p w:rsidR="004555AA" w:rsidRDefault="004555AA" w:rsidP="00391634">
      <w:pPr>
        <w:pStyle w:val="AnnexTitle"/>
        <w:rPr>
          <w:sz w:val="28"/>
          <w:lang w:val="fr-CH"/>
        </w:rPr>
      </w:pPr>
      <w:r>
        <w:rPr>
          <w:sz w:val="28"/>
          <w:lang w:val="fr-CH"/>
        </w:rPr>
        <w:t>Projet d'ordre du jour de la première réunion du Groupe d'action mixte 4-5-6-7</w:t>
      </w:r>
    </w:p>
    <w:p w:rsidR="004555AA" w:rsidRDefault="004555AA" w:rsidP="00B37BBD">
      <w:pPr>
        <w:pStyle w:val="Normalaftertitle"/>
        <w:spacing w:before="120" w:after="480"/>
        <w:jc w:val="center"/>
        <w:rPr>
          <w:lang w:val="fr-CH"/>
        </w:rPr>
      </w:pPr>
      <w:r>
        <w:rPr>
          <w:lang w:val="fr-CH"/>
        </w:rPr>
        <w:t xml:space="preserve">(Genève, 23-27 juillet 2012 </w:t>
      </w:r>
      <w:r>
        <w:rPr>
          <w:szCs w:val="22"/>
          <w:lang w:val="fr-CH"/>
        </w:rPr>
        <w:t>à 10 h 30</w:t>
      </w:r>
      <w:r>
        <w:rPr>
          <w:lang w:val="fr-CH"/>
        </w:rPr>
        <w:t>)</w:t>
      </w:r>
    </w:p>
    <w:p w:rsidR="00391634" w:rsidRDefault="00391634" w:rsidP="007F7A55">
      <w:pPr>
        <w:pStyle w:val="enumlev1"/>
        <w:rPr>
          <w:lang w:val="fr-CH"/>
        </w:rPr>
      </w:pPr>
    </w:p>
    <w:p w:rsidR="004555AA" w:rsidRPr="00B37BBD" w:rsidRDefault="004555AA" w:rsidP="007F7A55">
      <w:pPr>
        <w:pStyle w:val="enumlev1"/>
        <w:rPr>
          <w:lang w:val="fr-CH"/>
        </w:rPr>
      </w:pPr>
      <w:r w:rsidRPr="00391634">
        <w:rPr>
          <w:b/>
          <w:bCs/>
          <w:lang w:val="fr-CH"/>
        </w:rPr>
        <w:t>1</w:t>
      </w:r>
      <w:r w:rsidRPr="00B37BBD">
        <w:rPr>
          <w:lang w:val="fr-CH"/>
        </w:rPr>
        <w:tab/>
        <w:t>Remarques liminaires</w:t>
      </w:r>
    </w:p>
    <w:p w:rsidR="004555AA" w:rsidRPr="00B37BBD" w:rsidRDefault="004555AA" w:rsidP="007F7A55">
      <w:pPr>
        <w:pStyle w:val="enumlev1"/>
        <w:spacing w:before="120"/>
        <w:rPr>
          <w:lang w:val="fr-CH"/>
        </w:rPr>
      </w:pPr>
      <w:r w:rsidRPr="00391634">
        <w:rPr>
          <w:b/>
          <w:bCs/>
          <w:lang w:val="fr-CH"/>
        </w:rPr>
        <w:t>2</w:t>
      </w:r>
      <w:r w:rsidRPr="00B37BBD">
        <w:rPr>
          <w:lang w:val="fr-CH"/>
        </w:rPr>
        <w:tab/>
        <w:t>Adoption de l'ordre du jour</w:t>
      </w:r>
    </w:p>
    <w:p w:rsidR="004555AA" w:rsidRPr="00B37BBD" w:rsidRDefault="004555AA" w:rsidP="007F7A55">
      <w:pPr>
        <w:pStyle w:val="enumlev1"/>
        <w:spacing w:before="120"/>
        <w:rPr>
          <w:lang w:val="fr-CH"/>
        </w:rPr>
      </w:pPr>
      <w:r w:rsidRPr="00391634">
        <w:rPr>
          <w:b/>
          <w:lang w:val="fr-CH"/>
        </w:rPr>
        <w:t>3</w:t>
      </w:r>
      <w:r w:rsidRPr="00B37BBD">
        <w:rPr>
          <w:lang w:val="fr-CH"/>
        </w:rPr>
        <w:tab/>
        <w:t>Résultats  de la RPC15-1 (</w:t>
      </w:r>
      <w:r w:rsidRPr="00E87F57">
        <w:rPr>
          <w:rStyle w:val="Hyperlink"/>
        </w:rPr>
        <w:t>CA/201</w:t>
      </w:r>
      <w:r w:rsidRPr="00B37BBD">
        <w:rPr>
          <w:lang w:val="fr-CH"/>
        </w:rPr>
        <w:t>)</w:t>
      </w:r>
    </w:p>
    <w:p w:rsidR="004555AA" w:rsidRPr="00B37BBD" w:rsidRDefault="004555AA" w:rsidP="00E87F57">
      <w:pPr>
        <w:pStyle w:val="enumlev2"/>
        <w:rPr>
          <w:lang w:val="fr-CH"/>
        </w:rPr>
      </w:pPr>
      <w:r w:rsidRPr="00391634">
        <w:rPr>
          <w:b/>
          <w:bCs/>
          <w:lang w:val="fr-CH"/>
        </w:rPr>
        <w:t>3.1</w:t>
      </w:r>
      <w:r w:rsidRPr="00B37BBD">
        <w:rPr>
          <w:lang w:val="fr-CH"/>
        </w:rPr>
        <w:tab/>
        <w:t>Mandat du Groupe d'action mixte</w:t>
      </w:r>
    </w:p>
    <w:p w:rsidR="004555AA" w:rsidRPr="00B37BBD" w:rsidRDefault="004555AA" w:rsidP="00E87F57">
      <w:pPr>
        <w:pStyle w:val="enumlev2"/>
        <w:rPr>
          <w:lang w:val="fr-CH"/>
        </w:rPr>
      </w:pPr>
      <w:r w:rsidRPr="00391634">
        <w:rPr>
          <w:b/>
          <w:bCs/>
          <w:lang w:val="fr-CH"/>
        </w:rPr>
        <w:t>3.2</w:t>
      </w:r>
      <w:r w:rsidRPr="00B37BBD">
        <w:rPr>
          <w:lang w:val="fr-CH"/>
        </w:rPr>
        <w:tab/>
      </w:r>
      <w:r w:rsidRPr="00B37BBD">
        <w:t>Attribution des travaux préparatoires (CA/201, Annexe 8)</w:t>
      </w:r>
    </w:p>
    <w:p w:rsidR="004555AA" w:rsidRPr="00B37BBD" w:rsidRDefault="004555AA" w:rsidP="00E87F57">
      <w:pPr>
        <w:pStyle w:val="enumlev2"/>
      </w:pPr>
      <w:r w:rsidRPr="00391634">
        <w:rPr>
          <w:b/>
          <w:bCs/>
          <w:lang w:val="fr-CH"/>
        </w:rPr>
        <w:t>3.3</w:t>
      </w:r>
      <w:r w:rsidRPr="00B37BBD">
        <w:rPr>
          <w:bCs/>
          <w:lang w:val="fr-CH"/>
        </w:rPr>
        <w:tab/>
      </w:r>
      <w:r w:rsidRPr="00B37BBD">
        <w:rPr>
          <w:lang w:val="fr-CH"/>
        </w:rPr>
        <w:t>Structure du Rap</w:t>
      </w:r>
      <w:r w:rsidR="00B37BBD">
        <w:rPr>
          <w:lang w:val="fr-CH"/>
        </w:rPr>
        <w:t>port de la RPC pour le Chapitre </w:t>
      </w:r>
      <w:r w:rsidRPr="00B37BBD">
        <w:rPr>
          <w:lang w:val="fr-CH"/>
        </w:rPr>
        <w:t xml:space="preserve">1 (points 1.1 et 1.2 de </w:t>
      </w:r>
      <w:r w:rsidR="00E87F57">
        <w:rPr>
          <w:lang w:val="fr-CH"/>
        </w:rPr>
        <w:br/>
      </w:r>
      <w:r w:rsidRPr="00B37BBD">
        <w:rPr>
          <w:lang w:val="fr-CH"/>
        </w:rPr>
        <w:t xml:space="preserve">l'ordre du jour) </w:t>
      </w:r>
      <w:r w:rsidRPr="00B37BBD">
        <w:t>(CA/201, Annexe 11)</w:t>
      </w:r>
    </w:p>
    <w:p w:rsidR="004555AA" w:rsidRPr="00B37BBD" w:rsidRDefault="004555AA" w:rsidP="007F7A55">
      <w:pPr>
        <w:pStyle w:val="enumlev2"/>
        <w:tabs>
          <w:tab w:val="clear" w:pos="1588"/>
          <w:tab w:val="left" w:pos="1418"/>
        </w:tabs>
        <w:spacing w:before="120"/>
        <w:ind w:left="794" w:hanging="794"/>
        <w:rPr>
          <w:bCs/>
          <w:lang w:val="fr-CH"/>
        </w:rPr>
      </w:pPr>
      <w:r w:rsidRPr="00391634">
        <w:rPr>
          <w:b/>
          <w:lang w:val="fr-CH"/>
        </w:rPr>
        <w:t>4</w:t>
      </w:r>
      <w:r w:rsidRPr="00B37BBD">
        <w:rPr>
          <w:bCs/>
        </w:rPr>
        <w:tab/>
      </w:r>
      <w:r w:rsidRPr="00B37BBD">
        <w:t>Désignation des Vice-Présidents</w:t>
      </w:r>
    </w:p>
    <w:p w:rsidR="004555AA" w:rsidRPr="00B37BBD" w:rsidRDefault="004555AA" w:rsidP="007F7A55">
      <w:pPr>
        <w:pStyle w:val="enumlev1"/>
        <w:spacing w:before="120"/>
        <w:rPr>
          <w:lang w:val="fr-CH"/>
        </w:rPr>
      </w:pPr>
      <w:r w:rsidRPr="00391634">
        <w:rPr>
          <w:b/>
          <w:lang w:val="fr-CH"/>
        </w:rPr>
        <w:t>5</w:t>
      </w:r>
      <w:r w:rsidRPr="00B37BBD">
        <w:rPr>
          <w:lang w:val="fr-CH"/>
        </w:rPr>
        <w:tab/>
        <w:t>Présentation et attribution des documents de travail</w:t>
      </w:r>
    </w:p>
    <w:p w:rsidR="004555AA" w:rsidRPr="00B37BBD" w:rsidRDefault="004555AA" w:rsidP="007F7A55">
      <w:pPr>
        <w:pStyle w:val="enumlev1"/>
        <w:spacing w:before="120"/>
        <w:rPr>
          <w:lang w:val="fr-CH"/>
        </w:rPr>
      </w:pPr>
      <w:r w:rsidRPr="00391634">
        <w:rPr>
          <w:b/>
          <w:lang w:val="fr-CH"/>
        </w:rPr>
        <w:t>6</w:t>
      </w:r>
      <w:r w:rsidRPr="00B37BBD">
        <w:rPr>
          <w:bCs/>
          <w:lang w:val="fr-CH"/>
        </w:rPr>
        <w:tab/>
      </w:r>
      <w:r w:rsidRPr="00B37BBD">
        <w:rPr>
          <w:lang w:val="fr-CH"/>
        </w:rPr>
        <w:t>Examen du futur programme de travail et calendrier des réunions</w:t>
      </w:r>
    </w:p>
    <w:p w:rsidR="004555AA" w:rsidRPr="00B37BBD" w:rsidRDefault="004555AA" w:rsidP="00B37BBD">
      <w:pPr>
        <w:pStyle w:val="enumlev1"/>
        <w:spacing w:before="120" w:after="1200"/>
        <w:rPr>
          <w:lang w:val="fr-CH"/>
        </w:rPr>
      </w:pPr>
      <w:r w:rsidRPr="00391634">
        <w:rPr>
          <w:b/>
          <w:lang w:val="fr-CH"/>
        </w:rPr>
        <w:t>7</w:t>
      </w:r>
      <w:r w:rsidRPr="00B37BBD">
        <w:rPr>
          <w:lang w:val="fr-CH"/>
        </w:rPr>
        <w:tab/>
        <w:t>Divers</w:t>
      </w:r>
    </w:p>
    <w:p w:rsidR="004555AA" w:rsidRDefault="004555AA" w:rsidP="004555AA">
      <w:pPr>
        <w:tabs>
          <w:tab w:val="center" w:pos="6804"/>
        </w:tabs>
        <w:rPr>
          <w:lang w:val="fr-CH"/>
        </w:rPr>
      </w:pPr>
      <w:r>
        <w:rPr>
          <w:lang w:val="fr-CH"/>
        </w:rPr>
        <w:tab/>
      </w:r>
      <w:r>
        <w:rPr>
          <w:lang w:val="fr-CH"/>
        </w:rPr>
        <w:tab/>
      </w:r>
      <w:r>
        <w:rPr>
          <w:lang w:val="fr-CH"/>
        </w:rPr>
        <w:tab/>
      </w:r>
      <w:r>
        <w:rPr>
          <w:lang w:val="fr-CH"/>
        </w:rPr>
        <w:tab/>
      </w:r>
      <w:r>
        <w:rPr>
          <w:lang w:val="fr-CH"/>
        </w:rPr>
        <w:tab/>
        <w:t xml:space="preserve">T. </w:t>
      </w:r>
      <w:proofErr w:type="spellStart"/>
      <w:r>
        <w:rPr>
          <w:lang w:val="fr-CH"/>
        </w:rPr>
        <w:t>EWERS</w:t>
      </w:r>
      <w:proofErr w:type="spellEnd"/>
      <w:r>
        <w:rPr>
          <w:lang w:val="fr-CH"/>
        </w:rPr>
        <w:br/>
      </w:r>
      <w:r>
        <w:rPr>
          <w:lang w:val="fr-CH"/>
        </w:rPr>
        <w:tab/>
      </w:r>
      <w:r>
        <w:rPr>
          <w:lang w:val="fr-CH"/>
        </w:rPr>
        <w:tab/>
      </w:r>
      <w:r>
        <w:rPr>
          <w:lang w:val="fr-CH"/>
        </w:rPr>
        <w:tab/>
      </w:r>
      <w:r>
        <w:rPr>
          <w:lang w:val="fr-CH"/>
        </w:rPr>
        <w:tab/>
      </w:r>
      <w:r>
        <w:rPr>
          <w:lang w:val="fr-CH"/>
        </w:rPr>
        <w:tab/>
        <w:t>Président du Groupe d’action mixte 4-5-6-7</w:t>
      </w:r>
    </w:p>
    <w:p w:rsidR="004555AA" w:rsidRDefault="004555AA" w:rsidP="00AA47FC">
      <w:pPr>
        <w:rPr>
          <w:lang w:val="fr-CH"/>
        </w:rPr>
      </w:pPr>
    </w:p>
    <w:p w:rsidR="004555AA" w:rsidRDefault="004555AA" w:rsidP="00AA47FC">
      <w:pPr>
        <w:rPr>
          <w:lang w:val="fr-CH"/>
        </w:rPr>
      </w:pPr>
    </w:p>
    <w:p w:rsidR="004555AA" w:rsidRDefault="004555AA" w:rsidP="00AA47FC">
      <w:pPr>
        <w:rPr>
          <w:lang w:val="fr-CH"/>
        </w:rPr>
      </w:pPr>
    </w:p>
    <w:p w:rsidR="004555AA" w:rsidRDefault="004555AA" w:rsidP="004555AA">
      <w:pPr>
        <w:jc w:val="center"/>
        <w:rPr>
          <w:lang w:val="fr-CH"/>
        </w:rPr>
      </w:pPr>
      <w:r>
        <w:rPr>
          <w:lang w:val="fr-CH"/>
        </w:rPr>
        <w:t>_____________</w:t>
      </w:r>
    </w:p>
    <w:sectPr w:rsidR="004555AA" w:rsidSect="00864938">
      <w:headerReference w:type="default" r:id="rId23"/>
      <w:footerReference w:type="even" r:id="rId24"/>
      <w:footerReference w:type="default" r:id="rId25"/>
      <w:footerReference w:type="first" r:id="rId2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B8" w:rsidRDefault="003D62B8">
      <w:r>
        <w:separator/>
      </w:r>
    </w:p>
  </w:endnote>
  <w:endnote w:type="continuationSeparator" w:id="0">
    <w:p w:rsidR="003D62B8" w:rsidRDefault="003D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B8" w:rsidRPr="00455928" w:rsidRDefault="001145C6" w:rsidP="00455928">
    <w:pPr>
      <w:pStyle w:val="Footer"/>
    </w:pPr>
    <w:fldSimple w:instr=" FILENAME  \p  \* MERGEFORMAT ">
      <w:r w:rsidR="003D62B8">
        <w:t>Y:\APP\BR\CIRCS_DMS\CACE\500\564\564f.docx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D62B8" w:rsidTr="008B127B">
      <w:trPr>
        <w:cantSplit/>
      </w:trPr>
      <w:tc>
        <w:tcPr>
          <w:tcW w:w="1062" w:type="pct"/>
          <w:tcBorders>
            <w:top w:val="single" w:sz="6" w:space="0" w:color="auto"/>
          </w:tcBorders>
          <w:tcMar>
            <w:top w:w="57" w:type="dxa"/>
          </w:tcMar>
        </w:tcPr>
        <w:p w:rsidR="003D62B8" w:rsidRDefault="003D62B8" w:rsidP="008B127B">
          <w:pPr>
            <w:pStyle w:val="itu"/>
            <w:rPr>
              <w:lang w:val="fr-FR"/>
            </w:rPr>
          </w:pPr>
          <w:r>
            <w:rPr>
              <w:lang w:val="fr-FR"/>
            </w:rPr>
            <w:t>Place des Nations</w:t>
          </w:r>
        </w:p>
      </w:tc>
      <w:tc>
        <w:tcPr>
          <w:tcW w:w="1584" w:type="pct"/>
          <w:tcBorders>
            <w:top w:val="single" w:sz="6" w:space="0" w:color="auto"/>
          </w:tcBorders>
          <w:tcMar>
            <w:top w:w="57" w:type="dxa"/>
          </w:tcMar>
        </w:tcPr>
        <w:p w:rsidR="003D62B8" w:rsidRDefault="003D62B8" w:rsidP="008B127B">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D62B8" w:rsidRDefault="003D62B8" w:rsidP="008B127B">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3D62B8" w:rsidRDefault="003D62B8" w:rsidP="008B127B">
          <w:pPr>
            <w:pStyle w:val="itu"/>
            <w:rPr>
              <w:lang w:val="fr-FR"/>
            </w:rPr>
          </w:pPr>
          <w:r>
            <w:rPr>
              <w:lang w:val="fr-FR"/>
            </w:rPr>
            <w:t>E-mail:</w:t>
          </w:r>
          <w:r>
            <w:rPr>
              <w:lang w:val="fr-FR"/>
            </w:rPr>
            <w:tab/>
            <w:t>itumail@itu.int</w:t>
          </w:r>
        </w:p>
      </w:tc>
    </w:tr>
    <w:tr w:rsidR="003D62B8" w:rsidTr="008B127B">
      <w:trPr>
        <w:cantSplit/>
      </w:trPr>
      <w:tc>
        <w:tcPr>
          <w:tcW w:w="1062" w:type="pct"/>
        </w:tcPr>
        <w:p w:rsidR="003D62B8" w:rsidRDefault="003D62B8" w:rsidP="008B127B">
          <w:pPr>
            <w:pStyle w:val="itu"/>
            <w:rPr>
              <w:lang w:val="fr-FR"/>
            </w:rPr>
          </w:pPr>
          <w:r>
            <w:rPr>
              <w:lang w:val="fr-FR"/>
            </w:rPr>
            <w:t>CH-1211 Genève 20</w:t>
          </w:r>
        </w:p>
      </w:tc>
      <w:tc>
        <w:tcPr>
          <w:tcW w:w="1584" w:type="pct"/>
        </w:tcPr>
        <w:p w:rsidR="003D62B8" w:rsidRDefault="003D62B8" w:rsidP="008B127B">
          <w:pPr>
            <w:pStyle w:val="itu"/>
            <w:rPr>
              <w:lang w:val="fr-FR"/>
            </w:rPr>
          </w:pPr>
          <w:r>
            <w:rPr>
              <w:lang w:val="fr-FR"/>
            </w:rPr>
            <w:t>Téléfax</w:t>
          </w:r>
          <w:r>
            <w:rPr>
              <w:lang w:val="fr-FR"/>
            </w:rPr>
            <w:tab/>
            <w:t>Gr3:</w:t>
          </w:r>
          <w:r>
            <w:rPr>
              <w:lang w:val="fr-FR"/>
            </w:rPr>
            <w:tab/>
            <w:t>+41 22 733 72 56</w:t>
          </w:r>
        </w:p>
      </w:tc>
      <w:tc>
        <w:tcPr>
          <w:tcW w:w="1223" w:type="pct"/>
        </w:tcPr>
        <w:p w:rsidR="003D62B8" w:rsidRDefault="003D62B8" w:rsidP="008B127B">
          <w:pPr>
            <w:pStyle w:val="itu"/>
            <w:rPr>
              <w:lang w:val="fr-FR"/>
            </w:rPr>
          </w:pPr>
          <w:r>
            <w:rPr>
              <w:lang w:val="fr-FR"/>
            </w:rPr>
            <w:t>Télégramme ITU GENEVE</w:t>
          </w:r>
        </w:p>
      </w:tc>
      <w:tc>
        <w:tcPr>
          <w:tcW w:w="1131" w:type="pct"/>
        </w:tcPr>
        <w:p w:rsidR="003D62B8" w:rsidRDefault="003D62B8" w:rsidP="008B127B">
          <w:pPr>
            <w:pStyle w:val="itu"/>
            <w:rPr>
              <w:lang w:val="fr-FR"/>
            </w:rPr>
          </w:pPr>
          <w:r>
            <w:rPr>
              <w:lang w:val="fr-FR"/>
            </w:rPr>
            <w:tab/>
          </w:r>
          <w:hyperlink r:id="rId1" w:history="1">
            <w:r>
              <w:rPr>
                <w:lang w:val="fr-FR"/>
              </w:rPr>
              <w:t>http://www.itu.int/</w:t>
            </w:r>
          </w:hyperlink>
        </w:p>
      </w:tc>
    </w:tr>
    <w:tr w:rsidR="003D62B8" w:rsidTr="008B127B">
      <w:trPr>
        <w:cantSplit/>
      </w:trPr>
      <w:tc>
        <w:tcPr>
          <w:tcW w:w="1062" w:type="pct"/>
        </w:tcPr>
        <w:p w:rsidR="003D62B8" w:rsidRDefault="003D62B8" w:rsidP="008B127B">
          <w:pPr>
            <w:pStyle w:val="itu"/>
            <w:rPr>
              <w:lang w:val="fr-FR"/>
            </w:rPr>
          </w:pPr>
          <w:r>
            <w:rPr>
              <w:lang w:val="fr-FR"/>
            </w:rPr>
            <w:t>Suisse</w:t>
          </w:r>
        </w:p>
      </w:tc>
      <w:tc>
        <w:tcPr>
          <w:tcW w:w="1584" w:type="pct"/>
        </w:tcPr>
        <w:p w:rsidR="003D62B8" w:rsidRDefault="003D62B8" w:rsidP="008B127B">
          <w:pPr>
            <w:pStyle w:val="itu"/>
            <w:rPr>
              <w:lang w:val="fr-FR"/>
            </w:rPr>
          </w:pPr>
          <w:r>
            <w:rPr>
              <w:lang w:val="fr-FR"/>
            </w:rPr>
            <w:tab/>
            <w:t>Gr4:</w:t>
          </w:r>
          <w:r>
            <w:rPr>
              <w:lang w:val="fr-FR"/>
            </w:rPr>
            <w:tab/>
            <w:t>+41 22 730 65 00</w:t>
          </w:r>
        </w:p>
      </w:tc>
      <w:tc>
        <w:tcPr>
          <w:tcW w:w="1223" w:type="pct"/>
        </w:tcPr>
        <w:p w:rsidR="003D62B8" w:rsidRDefault="003D62B8" w:rsidP="008B127B">
          <w:pPr>
            <w:pStyle w:val="itu"/>
            <w:rPr>
              <w:lang w:val="fr-FR"/>
            </w:rPr>
          </w:pPr>
        </w:p>
      </w:tc>
      <w:tc>
        <w:tcPr>
          <w:tcW w:w="1131" w:type="pct"/>
        </w:tcPr>
        <w:p w:rsidR="003D62B8" w:rsidRDefault="003D62B8" w:rsidP="008B127B">
          <w:pPr>
            <w:pStyle w:val="itu"/>
            <w:rPr>
              <w:lang w:val="fr-FR"/>
            </w:rPr>
          </w:pPr>
        </w:p>
      </w:tc>
    </w:tr>
  </w:tbl>
  <w:p w:rsidR="003D62B8" w:rsidRDefault="003D62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B8" w:rsidRPr="00FC74C7" w:rsidRDefault="003D62B8">
    <w:pPr>
      <w:rPr>
        <w:lang w:val="es-ES_tradnl"/>
      </w:rPr>
    </w:pPr>
    <w:r>
      <w:fldChar w:fldCharType="begin"/>
    </w:r>
    <w:r w:rsidRPr="00FC74C7">
      <w:rPr>
        <w:lang w:val="es-ES_tradnl"/>
      </w:rPr>
      <w:instrText xml:space="preserve"> FILENAME \p \* MERGEFORMAT </w:instrText>
    </w:r>
    <w:r>
      <w:fldChar w:fldCharType="separate"/>
    </w:r>
    <w:r>
      <w:rPr>
        <w:noProof/>
        <w:lang w:val="es-ES_tradnl"/>
      </w:rPr>
      <w:t>Y:\APP\BR\CIRCS_DMS\CACE\500\564\564f.docx</w:t>
    </w:r>
    <w:r>
      <w:rPr>
        <w:noProof/>
        <w:lang w:val="en-US"/>
      </w:rPr>
      <w:fldChar w:fldCharType="end"/>
    </w:r>
    <w:r w:rsidRPr="00FC74C7">
      <w:rPr>
        <w:lang w:val="es-ES_tradnl"/>
      </w:rPr>
      <w:tab/>
    </w:r>
    <w:r>
      <w:fldChar w:fldCharType="begin"/>
    </w:r>
    <w:r>
      <w:instrText xml:space="preserve"> savedate \@ dd.MM.yy </w:instrText>
    </w:r>
    <w:r>
      <w:fldChar w:fldCharType="separate"/>
    </w:r>
    <w:r w:rsidR="003041B6">
      <w:rPr>
        <w:noProof/>
      </w:rPr>
      <w:t>22.03.12</w:t>
    </w:r>
    <w:r>
      <w:fldChar w:fldCharType="end"/>
    </w:r>
    <w:r w:rsidRPr="00FC74C7">
      <w:rPr>
        <w:lang w:val="es-ES_tradnl"/>
      </w:rPr>
      <w:tab/>
    </w:r>
    <w:r>
      <w:fldChar w:fldCharType="begin"/>
    </w:r>
    <w:r>
      <w:instrText xml:space="preserve"> printdate \@ dd.MM.yy </w:instrText>
    </w:r>
    <w:r>
      <w:fldChar w:fldCharType="separate"/>
    </w:r>
    <w:r>
      <w:rPr>
        <w:noProof/>
      </w:rPr>
      <w:t>22.03.12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B8" w:rsidRPr="005319A9" w:rsidRDefault="001145C6" w:rsidP="005319A9">
    <w:pPr>
      <w:pStyle w:val="Footer"/>
    </w:pPr>
    <w:fldSimple w:instr=" FILENAME  \p  \* MERGEFORMAT ">
      <w:r w:rsidR="003D62B8">
        <w:t>Y:\APP\BR\CIRCS_DMS\CACE\500\564\564f.docx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D62B8">
      <w:trPr>
        <w:cantSplit/>
      </w:trPr>
      <w:tc>
        <w:tcPr>
          <w:tcW w:w="1062" w:type="pct"/>
          <w:tcBorders>
            <w:top w:val="single" w:sz="6" w:space="0" w:color="auto"/>
          </w:tcBorders>
          <w:tcMar>
            <w:top w:w="57" w:type="dxa"/>
          </w:tcMar>
        </w:tcPr>
        <w:p w:rsidR="003D62B8" w:rsidRDefault="003D62B8">
          <w:pPr>
            <w:pStyle w:val="itu"/>
            <w:rPr>
              <w:lang w:val="fr-FR"/>
            </w:rPr>
          </w:pPr>
          <w:r>
            <w:rPr>
              <w:lang w:val="fr-FR"/>
            </w:rPr>
            <w:t>Place des Nations</w:t>
          </w:r>
        </w:p>
      </w:tc>
      <w:tc>
        <w:tcPr>
          <w:tcW w:w="1584" w:type="pct"/>
          <w:tcBorders>
            <w:top w:val="single" w:sz="6" w:space="0" w:color="auto"/>
          </w:tcBorders>
          <w:tcMar>
            <w:top w:w="57" w:type="dxa"/>
          </w:tcMar>
        </w:tcPr>
        <w:p w:rsidR="003D62B8" w:rsidRDefault="003D62B8">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D62B8" w:rsidRDefault="003D62B8">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3D62B8" w:rsidRDefault="003D62B8">
          <w:pPr>
            <w:pStyle w:val="itu"/>
            <w:rPr>
              <w:lang w:val="fr-FR"/>
            </w:rPr>
          </w:pPr>
          <w:r>
            <w:rPr>
              <w:lang w:val="fr-FR"/>
            </w:rPr>
            <w:t>E-mail:</w:t>
          </w:r>
          <w:r>
            <w:rPr>
              <w:lang w:val="fr-FR"/>
            </w:rPr>
            <w:tab/>
            <w:t>itumail@itu.int</w:t>
          </w:r>
        </w:p>
      </w:tc>
    </w:tr>
    <w:tr w:rsidR="003D62B8">
      <w:trPr>
        <w:cantSplit/>
      </w:trPr>
      <w:tc>
        <w:tcPr>
          <w:tcW w:w="1062" w:type="pct"/>
        </w:tcPr>
        <w:p w:rsidR="003D62B8" w:rsidRDefault="003D62B8">
          <w:pPr>
            <w:pStyle w:val="itu"/>
            <w:rPr>
              <w:lang w:val="fr-FR"/>
            </w:rPr>
          </w:pPr>
          <w:r>
            <w:rPr>
              <w:lang w:val="fr-FR"/>
            </w:rPr>
            <w:t>CH-1211 Genève 20</w:t>
          </w:r>
        </w:p>
      </w:tc>
      <w:tc>
        <w:tcPr>
          <w:tcW w:w="1584" w:type="pct"/>
        </w:tcPr>
        <w:p w:rsidR="003D62B8" w:rsidRDefault="003D62B8">
          <w:pPr>
            <w:pStyle w:val="itu"/>
            <w:rPr>
              <w:lang w:val="fr-FR"/>
            </w:rPr>
          </w:pPr>
          <w:r>
            <w:rPr>
              <w:lang w:val="fr-FR"/>
            </w:rPr>
            <w:t>Téléfax</w:t>
          </w:r>
          <w:r>
            <w:rPr>
              <w:lang w:val="fr-FR"/>
            </w:rPr>
            <w:tab/>
            <w:t>Gr3:</w:t>
          </w:r>
          <w:r>
            <w:rPr>
              <w:lang w:val="fr-FR"/>
            </w:rPr>
            <w:tab/>
            <w:t>+41 22 733 72 56</w:t>
          </w:r>
        </w:p>
      </w:tc>
      <w:tc>
        <w:tcPr>
          <w:tcW w:w="1223" w:type="pct"/>
        </w:tcPr>
        <w:p w:rsidR="003D62B8" w:rsidRDefault="003D62B8">
          <w:pPr>
            <w:pStyle w:val="itu"/>
            <w:rPr>
              <w:lang w:val="fr-FR"/>
            </w:rPr>
          </w:pPr>
          <w:r>
            <w:rPr>
              <w:lang w:val="fr-FR"/>
            </w:rPr>
            <w:t>Télégramme ITU GENEVE</w:t>
          </w:r>
        </w:p>
      </w:tc>
      <w:tc>
        <w:tcPr>
          <w:tcW w:w="1131" w:type="pct"/>
        </w:tcPr>
        <w:p w:rsidR="003D62B8" w:rsidRDefault="003D62B8">
          <w:pPr>
            <w:pStyle w:val="itu"/>
            <w:rPr>
              <w:lang w:val="fr-FR"/>
            </w:rPr>
          </w:pPr>
          <w:r>
            <w:rPr>
              <w:lang w:val="fr-FR"/>
            </w:rPr>
            <w:tab/>
          </w:r>
          <w:hyperlink r:id="rId1" w:history="1">
            <w:r>
              <w:rPr>
                <w:lang w:val="fr-FR"/>
              </w:rPr>
              <w:t>http://www.itu.int/</w:t>
            </w:r>
          </w:hyperlink>
        </w:p>
      </w:tc>
    </w:tr>
    <w:tr w:rsidR="003D62B8">
      <w:trPr>
        <w:cantSplit/>
      </w:trPr>
      <w:tc>
        <w:tcPr>
          <w:tcW w:w="1062" w:type="pct"/>
        </w:tcPr>
        <w:p w:rsidR="003D62B8" w:rsidRDefault="003D62B8">
          <w:pPr>
            <w:pStyle w:val="itu"/>
            <w:rPr>
              <w:lang w:val="fr-FR"/>
            </w:rPr>
          </w:pPr>
          <w:r>
            <w:rPr>
              <w:lang w:val="fr-FR"/>
            </w:rPr>
            <w:t>Suisse</w:t>
          </w:r>
        </w:p>
      </w:tc>
      <w:tc>
        <w:tcPr>
          <w:tcW w:w="1584" w:type="pct"/>
        </w:tcPr>
        <w:p w:rsidR="003D62B8" w:rsidRDefault="003D62B8">
          <w:pPr>
            <w:pStyle w:val="itu"/>
            <w:rPr>
              <w:lang w:val="fr-FR"/>
            </w:rPr>
          </w:pPr>
          <w:r>
            <w:rPr>
              <w:lang w:val="fr-FR"/>
            </w:rPr>
            <w:tab/>
            <w:t>Gr4:</w:t>
          </w:r>
          <w:r>
            <w:rPr>
              <w:lang w:val="fr-FR"/>
            </w:rPr>
            <w:tab/>
            <w:t>+41 22 730 65 00</w:t>
          </w:r>
        </w:p>
      </w:tc>
      <w:tc>
        <w:tcPr>
          <w:tcW w:w="1223" w:type="pct"/>
        </w:tcPr>
        <w:p w:rsidR="003D62B8" w:rsidRDefault="003D62B8">
          <w:pPr>
            <w:pStyle w:val="itu"/>
            <w:rPr>
              <w:lang w:val="fr-FR"/>
            </w:rPr>
          </w:pPr>
        </w:p>
      </w:tc>
      <w:tc>
        <w:tcPr>
          <w:tcW w:w="1131" w:type="pct"/>
        </w:tcPr>
        <w:p w:rsidR="003D62B8" w:rsidRDefault="003D62B8">
          <w:pPr>
            <w:pStyle w:val="itu"/>
            <w:rPr>
              <w:lang w:val="fr-FR"/>
            </w:rPr>
          </w:pPr>
        </w:p>
      </w:tc>
    </w:tr>
  </w:tbl>
  <w:p w:rsidR="003D62B8" w:rsidRDefault="003D62B8"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B8" w:rsidRDefault="003D62B8">
      <w:r>
        <w:t>____________________</w:t>
      </w:r>
    </w:p>
  </w:footnote>
  <w:footnote w:type="continuationSeparator" w:id="0">
    <w:p w:rsidR="003D62B8" w:rsidRDefault="003D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B8" w:rsidRDefault="003D62B8" w:rsidP="00A2770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041B6">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B8" w:rsidRPr="00AA47FC" w:rsidRDefault="003D62B8" w:rsidP="008A5BCC">
    <w:pPr>
      <w:pStyle w:val="Header"/>
    </w:pPr>
    <w:r>
      <w:rPr>
        <w:rStyle w:val="PageNumber"/>
      </w:rPr>
      <w:fldChar w:fldCharType="begin"/>
    </w:r>
    <w:r>
      <w:rPr>
        <w:rStyle w:val="PageNumber"/>
      </w:rPr>
      <w:instrText xml:space="preserve"> PAGE </w:instrText>
    </w:r>
    <w:r>
      <w:rPr>
        <w:rStyle w:val="PageNumber"/>
      </w:rPr>
      <w:fldChar w:fldCharType="separate"/>
    </w:r>
    <w:r w:rsidR="003041B6">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AA"/>
    <w:rsid w:val="000A0DD9"/>
    <w:rsid w:val="000E3D78"/>
    <w:rsid w:val="001145C6"/>
    <w:rsid w:val="00162225"/>
    <w:rsid w:val="002127BB"/>
    <w:rsid w:val="0023788E"/>
    <w:rsid w:val="00272AEF"/>
    <w:rsid w:val="002E71D7"/>
    <w:rsid w:val="003041B6"/>
    <w:rsid w:val="003203D8"/>
    <w:rsid w:val="00391634"/>
    <w:rsid w:val="003D62B8"/>
    <w:rsid w:val="003E3440"/>
    <w:rsid w:val="004555AA"/>
    <w:rsid w:val="00455928"/>
    <w:rsid w:val="004C1115"/>
    <w:rsid w:val="005319A9"/>
    <w:rsid w:val="0057628D"/>
    <w:rsid w:val="00647747"/>
    <w:rsid w:val="007F7A55"/>
    <w:rsid w:val="00864938"/>
    <w:rsid w:val="00872888"/>
    <w:rsid w:val="008A5BCC"/>
    <w:rsid w:val="008B127B"/>
    <w:rsid w:val="008C5D1D"/>
    <w:rsid w:val="00A10043"/>
    <w:rsid w:val="00A2257B"/>
    <w:rsid w:val="00A27706"/>
    <w:rsid w:val="00AA47FC"/>
    <w:rsid w:val="00AB1E5D"/>
    <w:rsid w:val="00B257A5"/>
    <w:rsid w:val="00B37BBD"/>
    <w:rsid w:val="00BF3EC6"/>
    <w:rsid w:val="00C34E87"/>
    <w:rsid w:val="00CB743B"/>
    <w:rsid w:val="00D539A7"/>
    <w:rsid w:val="00E25073"/>
    <w:rsid w:val="00E87F57"/>
    <w:rsid w:val="00F40349"/>
    <w:rsid w:val="00FA7B4D"/>
    <w:rsid w:val="00FC74C7"/>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55AA"/>
    <w:pPr>
      <w:tabs>
        <w:tab w:val="clear" w:pos="794"/>
        <w:tab w:val="clear" w:pos="1191"/>
        <w:tab w:val="clear" w:pos="1588"/>
        <w:tab w:val="clear" w:pos="1985"/>
        <w:tab w:val="left" w:pos="6663"/>
      </w:tabs>
      <w:spacing w:before="0"/>
    </w:pPr>
  </w:style>
  <w:style w:type="paragraph" w:customStyle="1" w:styleId="Char">
    <w:name w:val="Char"/>
    <w:basedOn w:val="Normal"/>
    <w:rsid w:val="004555AA"/>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headingb0">
    <w:name w:val="heading_b"/>
    <w:basedOn w:val="Heading3"/>
    <w:next w:val="Normal"/>
    <w:rsid w:val="004555AA"/>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rsid w:val="004555AA"/>
    <w:rPr>
      <w:color w:val="0000FF"/>
      <w:u w:val="single"/>
    </w:rPr>
  </w:style>
  <w:style w:type="character" w:customStyle="1" w:styleId="CallChar">
    <w:name w:val="Call Char"/>
    <w:link w:val="Call"/>
    <w:rsid w:val="004555AA"/>
    <w:rPr>
      <w:rFonts w:ascii="Times New Roman" w:hAnsi="Times New Roman"/>
      <w:i/>
      <w:sz w:val="24"/>
      <w:lang w:val="fr-FR" w:eastAsia="en-US"/>
    </w:rPr>
  </w:style>
  <w:style w:type="paragraph" w:customStyle="1" w:styleId="Normalaftertitle0">
    <w:name w:val="Normal after title"/>
    <w:basedOn w:val="Normal"/>
    <w:next w:val="Normal"/>
    <w:link w:val="NormalaftertitleChar"/>
    <w:rsid w:val="004555AA"/>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rsid w:val="004555AA"/>
    <w:rPr>
      <w:rFonts w:ascii="Times New Roman" w:hAnsi="Times New Roman"/>
      <w:sz w:val="24"/>
      <w:lang w:val="en-GB" w:eastAsia="en-US"/>
    </w:rPr>
  </w:style>
  <w:style w:type="paragraph" w:customStyle="1" w:styleId="Annex">
    <w:name w:val="Annex_#"/>
    <w:basedOn w:val="Normal"/>
    <w:next w:val="Normal"/>
    <w:rsid w:val="004555AA"/>
    <w:pPr>
      <w:keepNext/>
      <w:keepLines/>
      <w:spacing w:before="480" w:after="80"/>
      <w:jc w:val="center"/>
    </w:pPr>
    <w:rPr>
      <w:caps/>
    </w:rPr>
  </w:style>
  <w:style w:type="paragraph" w:customStyle="1" w:styleId="AnnexTitle">
    <w:name w:val="Annex_Title"/>
    <w:basedOn w:val="Normal"/>
    <w:next w:val="Normal"/>
    <w:rsid w:val="004555AA"/>
    <w:pPr>
      <w:keepNext/>
      <w:keepLines/>
      <w:spacing w:before="240" w:after="280"/>
      <w:jc w:val="center"/>
    </w:pPr>
    <w:rPr>
      <w:b/>
    </w:rPr>
  </w:style>
  <w:style w:type="paragraph" w:customStyle="1" w:styleId="AnnexNo">
    <w:name w:val="Annex_No"/>
    <w:basedOn w:val="Normal"/>
    <w:next w:val="Normal"/>
    <w:link w:val="AnnexNoChar"/>
    <w:rsid w:val="004555AA"/>
    <w:pPr>
      <w:keepNext/>
      <w:keepLines/>
      <w:spacing w:before="480" w:after="80"/>
      <w:jc w:val="center"/>
      <w:textAlignment w:val="auto"/>
    </w:pPr>
    <w:rPr>
      <w:caps/>
      <w:sz w:val="28"/>
      <w:lang w:val="en-GB"/>
    </w:rPr>
  </w:style>
  <w:style w:type="character" w:customStyle="1" w:styleId="AnnexNoChar">
    <w:name w:val="Annex_No Char"/>
    <w:link w:val="AnnexNo"/>
    <w:rsid w:val="004555AA"/>
    <w:rPr>
      <w:rFonts w:ascii="Times New Roman" w:hAnsi="Times New Roman"/>
      <w:caps/>
      <w:sz w:val="28"/>
      <w:lang w:val="en-GB" w:eastAsia="en-US"/>
    </w:rPr>
  </w:style>
  <w:style w:type="character" w:customStyle="1" w:styleId="href">
    <w:name w:val="href"/>
    <w:rsid w:val="004555AA"/>
  </w:style>
  <w:style w:type="character" w:customStyle="1" w:styleId="h21">
    <w:name w:val="h21"/>
    <w:basedOn w:val="DefaultParagraphFont"/>
    <w:rsid w:val="008A5BCC"/>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55AA"/>
    <w:pPr>
      <w:tabs>
        <w:tab w:val="clear" w:pos="794"/>
        <w:tab w:val="clear" w:pos="1191"/>
        <w:tab w:val="clear" w:pos="1588"/>
        <w:tab w:val="clear" w:pos="1985"/>
        <w:tab w:val="left" w:pos="6663"/>
      </w:tabs>
      <w:spacing w:before="0"/>
    </w:pPr>
  </w:style>
  <w:style w:type="paragraph" w:customStyle="1" w:styleId="Char">
    <w:name w:val="Char"/>
    <w:basedOn w:val="Normal"/>
    <w:rsid w:val="004555AA"/>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headingb0">
    <w:name w:val="heading_b"/>
    <w:basedOn w:val="Heading3"/>
    <w:next w:val="Normal"/>
    <w:rsid w:val="004555AA"/>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rsid w:val="004555AA"/>
    <w:rPr>
      <w:color w:val="0000FF"/>
      <w:u w:val="single"/>
    </w:rPr>
  </w:style>
  <w:style w:type="character" w:customStyle="1" w:styleId="CallChar">
    <w:name w:val="Call Char"/>
    <w:link w:val="Call"/>
    <w:rsid w:val="004555AA"/>
    <w:rPr>
      <w:rFonts w:ascii="Times New Roman" w:hAnsi="Times New Roman"/>
      <w:i/>
      <w:sz w:val="24"/>
      <w:lang w:val="fr-FR" w:eastAsia="en-US"/>
    </w:rPr>
  </w:style>
  <w:style w:type="paragraph" w:customStyle="1" w:styleId="Normalaftertitle0">
    <w:name w:val="Normal after title"/>
    <w:basedOn w:val="Normal"/>
    <w:next w:val="Normal"/>
    <w:link w:val="NormalaftertitleChar"/>
    <w:rsid w:val="004555AA"/>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rsid w:val="004555AA"/>
    <w:rPr>
      <w:rFonts w:ascii="Times New Roman" w:hAnsi="Times New Roman"/>
      <w:sz w:val="24"/>
      <w:lang w:val="en-GB" w:eastAsia="en-US"/>
    </w:rPr>
  </w:style>
  <w:style w:type="paragraph" w:customStyle="1" w:styleId="Annex">
    <w:name w:val="Annex_#"/>
    <w:basedOn w:val="Normal"/>
    <w:next w:val="Normal"/>
    <w:rsid w:val="004555AA"/>
    <w:pPr>
      <w:keepNext/>
      <w:keepLines/>
      <w:spacing w:before="480" w:after="80"/>
      <w:jc w:val="center"/>
    </w:pPr>
    <w:rPr>
      <w:caps/>
    </w:rPr>
  </w:style>
  <w:style w:type="paragraph" w:customStyle="1" w:styleId="AnnexTitle">
    <w:name w:val="Annex_Title"/>
    <w:basedOn w:val="Normal"/>
    <w:next w:val="Normal"/>
    <w:rsid w:val="004555AA"/>
    <w:pPr>
      <w:keepNext/>
      <w:keepLines/>
      <w:spacing w:before="240" w:after="280"/>
      <w:jc w:val="center"/>
    </w:pPr>
    <w:rPr>
      <w:b/>
    </w:rPr>
  </w:style>
  <w:style w:type="paragraph" w:customStyle="1" w:styleId="AnnexNo">
    <w:name w:val="Annex_No"/>
    <w:basedOn w:val="Normal"/>
    <w:next w:val="Normal"/>
    <w:link w:val="AnnexNoChar"/>
    <w:rsid w:val="004555AA"/>
    <w:pPr>
      <w:keepNext/>
      <w:keepLines/>
      <w:spacing w:before="480" w:after="80"/>
      <w:jc w:val="center"/>
      <w:textAlignment w:val="auto"/>
    </w:pPr>
    <w:rPr>
      <w:caps/>
      <w:sz w:val="28"/>
      <w:lang w:val="en-GB"/>
    </w:rPr>
  </w:style>
  <w:style w:type="character" w:customStyle="1" w:styleId="AnnexNoChar">
    <w:name w:val="Annex_No Char"/>
    <w:link w:val="AnnexNo"/>
    <w:rsid w:val="004555AA"/>
    <w:rPr>
      <w:rFonts w:ascii="Times New Roman" w:hAnsi="Times New Roman"/>
      <w:caps/>
      <w:sz w:val="28"/>
      <w:lang w:val="en-GB" w:eastAsia="en-US"/>
    </w:rPr>
  </w:style>
  <w:style w:type="character" w:customStyle="1" w:styleId="href">
    <w:name w:val="href"/>
    <w:rsid w:val="004555AA"/>
  </w:style>
  <w:style w:type="character" w:customStyle="1" w:styleId="h21">
    <w:name w:val="h21"/>
    <w:basedOn w:val="DefaultParagraphFont"/>
    <w:rsid w:val="008A5BCC"/>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gi-bin/htsh/compass/cvc.param.sh?acvty_code=sg5" TargetMode="External"/><Relationship Id="rId18" Type="http://schemas.openxmlformats.org/officeDocument/2006/relationships/hyperlink" Target="http://www.itu.int/ITU-R/go/delegate-reg-info/fr"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cgi-bin/htsh/compass/cvc.param.sh?acvty_code=sg4" TargetMode="External"/><Relationship Id="rId17" Type="http://schemas.openxmlformats.org/officeDocument/2006/relationships/hyperlink" Target="mailto:ServiceDesk@itu.in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md/R12-JTG4567-C/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jtg4567@itu.int"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cgi-bin/htsh/compass/cvc.param.sh?acvty_code=sg7"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thomas.ewers@bnetza.de" TargetMode="External"/><Relationship Id="rId19" Type="http://schemas.openxmlformats.org/officeDocument/2006/relationships/hyperlink" Target="http://www.itu.int/travel/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cgi-bin/htsh/compass/cvc.param.sh?acvty_code=sg6"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66E8-DBFE-45DD-ADC9-6CD50407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28</TotalTime>
  <Pages>6</Pages>
  <Words>1781</Words>
  <Characters>10606</Characters>
  <Application>Microsoft Office Word</Application>
  <DocSecurity>0</DocSecurity>
  <Lines>88</Lines>
  <Paragraphs>24</Paragraphs>
  <ScaleCrop>false</ScaleCrop>
  <HeadingPairs>
    <vt:vector size="6" baseType="variant">
      <vt:variant>
        <vt:lpstr>Title</vt:lpstr>
      </vt:variant>
      <vt:variant>
        <vt:i4>1</vt:i4>
      </vt:variant>
      <vt:variant>
        <vt:lpstr>Headings</vt:lpstr>
      </vt:variant>
      <vt:variant>
        <vt:i4>5</vt:i4>
      </vt:variant>
      <vt:variant>
        <vt:lpstr>UNION INTERNATIONALE DES TÉLÉCOMMUNICATIONS</vt:lpstr>
      </vt:variant>
      <vt:variant>
        <vt:i4>0</vt:i4>
      </vt:variant>
    </vt:vector>
  </HeadingPairs>
  <TitlesOfParts>
    <vt:vector size="6" baseType="lpstr">
      <vt:lpstr>UNION INTERNATIONALE DES TÉLÉCOMMUNICATIONS</vt:lpstr>
      <vt:lpstr>1	Introduction</vt:lpstr>
      <vt:lpstr>2	Programme de la réunion</vt:lpstr>
      <vt:lpstr>3	Contributions</vt:lpstr>
      <vt:lpstr>4	Documents</vt:lpstr>
      <vt:lpstr>5	Participation/Demande de visa</vt:lpstr>
    </vt:vector>
  </TitlesOfParts>
  <Company>ITU</Company>
  <LinksUpToDate>false</LinksUpToDate>
  <CharactersWithSpaces>12363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bonnici</cp:lastModifiedBy>
  <cp:revision>7</cp:revision>
  <cp:lastPrinted>2012-03-22T14:38:00Z</cp:lastPrinted>
  <dcterms:created xsi:type="dcterms:W3CDTF">2012-03-22T13:31:00Z</dcterms:created>
  <dcterms:modified xsi:type="dcterms:W3CDTF">2012-03-22T15:18:00Z</dcterms:modified>
</cp:coreProperties>
</file>