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5CE52E1A" wp14:editId="5F26750F">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1015D6" w:rsidRDefault="00B87E04">
            <w:pPr>
              <w:rPr>
                <w:b/>
                <w:smallCaps/>
                <w:sz w:val="20"/>
                <w:lang w:val="fr-CH"/>
              </w:rPr>
            </w:pPr>
            <w:r w:rsidRPr="001015D6">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1015D6">
              <w:rPr>
                <w:b/>
                <w:sz w:val="18"/>
                <w:lang w:val="fr-CH"/>
              </w:rPr>
              <w:tab/>
            </w:r>
            <w:r w:rsidRPr="001015D6">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2943"/>
        <w:gridCol w:w="7077"/>
      </w:tblGrid>
      <w:tr w:rsidR="00B87E04" w:rsidRPr="00512FD2" w:rsidTr="00512FD2">
        <w:trPr>
          <w:cantSplit/>
        </w:trPr>
        <w:tc>
          <w:tcPr>
            <w:tcW w:w="2943" w:type="dxa"/>
          </w:tcPr>
          <w:p w:rsidR="00B87E04" w:rsidRPr="00512FD2" w:rsidRDefault="00512FD2" w:rsidP="00210B45">
            <w:pPr>
              <w:tabs>
                <w:tab w:val="left" w:pos="7513"/>
              </w:tabs>
              <w:jc w:val="center"/>
              <w:rPr>
                <w:b/>
                <w:bCs/>
              </w:rPr>
            </w:pPr>
            <w:bookmarkStart w:id="0" w:name="dletter"/>
            <w:bookmarkEnd w:id="0"/>
            <w:r w:rsidRPr="00512FD2">
              <w:rPr>
                <w:b/>
                <w:bCs/>
              </w:rPr>
              <w:t>Administrative Circular</w:t>
            </w:r>
          </w:p>
          <w:p w:rsidR="0071106C" w:rsidRPr="00512FD2" w:rsidRDefault="00512FD2" w:rsidP="004A5AB1">
            <w:pPr>
              <w:tabs>
                <w:tab w:val="clear" w:pos="794"/>
                <w:tab w:val="clear" w:pos="1191"/>
                <w:tab w:val="clear" w:pos="1588"/>
              </w:tabs>
              <w:spacing w:before="0"/>
              <w:jc w:val="center"/>
              <w:rPr>
                <w:b/>
                <w:bCs/>
              </w:rPr>
            </w:pPr>
            <w:bookmarkStart w:id="1" w:name="dnum"/>
            <w:bookmarkEnd w:id="1"/>
            <w:r w:rsidRPr="00512FD2">
              <w:rPr>
                <w:b/>
                <w:bCs/>
              </w:rPr>
              <w:t>CACE/544</w:t>
            </w:r>
          </w:p>
        </w:tc>
        <w:tc>
          <w:tcPr>
            <w:tcW w:w="7077" w:type="dxa"/>
          </w:tcPr>
          <w:p w:rsidR="00B87E04" w:rsidRPr="00512FD2" w:rsidRDefault="00512FD2" w:rsidP="00D35752">
            <w:pPr>
              <w:tabs>
                <w:tab w:val="left" w:pos="7513"/>
              </w:tabs>
              <w:jc w:val="right"/>
            </w:pPr>
            <w:bookmarkStart w:id="2" w:name="ddate"/>
            <w:bookmarkEnd w:id="2"/>
            <w:r>
              <w:t>7 July 2011</w:t>
            </w:r>
          </w:p>
        </w:tc>
      </w:tr>
    </w:tbl>
    <w:p w:rsidR="00B87E04" w:rsidRDefault="00512FD2" w:rsidP="00512FD2">
      <w:pPr>
        <w:tabs>
          <w:tab w:val="left" w:pos="7513"/>
        </w:tabs>
        <w:spacing w:before="480"/>
        <w:jc w:val="center"/>
        <w:rPr>
          <w:b/>
        </w:rPr>
      </w:pPr>
      <w:r>
        <w:rPr>
          <w:b/>
          <w:bCs/>
          <w:lang w:val="en-US"/>
        </w:rPr>
        <w:t xml:space="preserve">To Administrations of Member States of the ITU, Radiocommunication </w:t>
      </w:r>
      <w:r>
        <w:rPr>
          <w:b/>
          <w:bCs/>
          <w:lang w:val="en-US"/>
        </w:rPr>
        <w:br/>
        <w:t xml:space="preserve">Sector Members, ITU-R Associates participating in the work of </w:t>
      </w:r>
      <w:r>
        <w:rPr>
          <w:b/>
          <w:bCs/>
          <w:lang w:val="en-US"/>
        </w:rPr>
        <w:br/>
        <w:t>Radiocommunication Study Group 6 and ITU-R Academia</w:t>
      </w:r>
    </w:p>
    <w:p w:rsidR="00B87E04" w:rsidRDefault="00B87E04" w:rsidP="00512FD2">
      <w:pPr>
        <w:tabs>
          <w:tab w:val="clear" w:pos="794"/>
          <w:tab w:val="clear" w:pos="1191"/>
          <w:tab w:val="clear" w:pos="1588"/>
          <w:tab w:val="clear" w:pos="1985"/>
          <w:tab w:val="left" w:pos="709"/>
        </w:tabs>
        <w:spacing w:before="720"/>
        <w:ind w:left="1440" w:hanging="1440"/>
      </w:pPr>
      <w:r>
        <w:rPr>
          <w:b/>
        </w:rPr>
        <w:t>Subject</w:t>
      </w:r>
      <w:r>
        <w:t>:</w:t>
      </w:r>
      <w:r>
        <w:tab/>
      </w:r>
      <w:bookmarkStart w:id="3" w:name="dtitle1"/>
      <w:bookmarkEnd w:id="3"/>
      <w:r w:rsidR="00512FD2" w:rsidRPr="001232D6">
        <w:rPr>
          <w:b/>
          <w:bCs/>
        </w:rPr>
        <w:t>Meeting of Radiocommunication Study Group 6 (Broadcasting service</w:t>
      </w:r>
      <w:r w:rsidR="00512FD2" w:rsidRPr="001232D6">
        <w:rPr>
          <w:b/>
          <w:bCs/>
          <w:color w:val="000000"/>
        </w:rPr>
        <w:t xml:space="preserve">), </w:t>
      </w:r>
      <w:r w:rsidR="00512FD2" w:rsidRPr="001232D6">
        <w:rPr>
          <w:b/>
          <w:bCs/>
          <w:color w:val="000000"/>
        </w:rPr>
        <w:br/>
        <w:t xml:space="preserve">Geneva, </w:t>
      </w:r>
      <w:r w:rsidR="00512FD2">
        <w:rPr>
          <w:b/>
          <w:bCs/>
          <w:color w:val="000000"/>
        </w:rPr>
        <w:t>7 October 2011</w:t>
      </w:r>
    </w:p>
    <w:p w:rsidR="00512FD2" w:rsidRDefault="00512FD2" w:rsidP="00512FD2">
      <w:pPr>
        <w:pStyle w:val="Heading1"/>
        <w:spacing w:before="480"/>
      </w:pPr>
      <w:r>
        <w:t>1</w:t>
      </w:r>
      <w:r>
        <w:tab/>
      </w:r>
      <w:r w:rsidRPr="002D4659">
        <w:t>Introduction</w:t>
      </w:r>
    </w:p>
    <w:p w:rsidR="00512FD2" w:rsidRDefault="00512FD2" w:rsidP="00512FD2">
      <w:pPr>
        <w:spacing w:before="136"/>
      </w:pPr>
      <w:r>
        <w:t xml:space="preserve">By means of this Administrative Circular, we wish to announce that a meeting of ITU-R Study Group 6 will take place in Geneva on 7 October 2011, following the meetings of Working Parties </w:t>
      </w:r>
      <w:proofErr w:type="gramStart"/>
      <w:r>
        <w:t>6A,</w:t>
      </w:r>
      <w:proofErr w:type="gramEnd"/>
      <w:r>
        <w:t xml:space="preserve"> 6B and 6C (see Circular Letter </w:t>
      </w:r>
      <w:hyperlink r:id="rId9" w:history="1">
        <w:r w:rsidRPr="002B27E6">
          <w:rPr>
            <w:rStyle w:val="Hyperlink"/>
          </w:rPr>
          <w:t>6/LCCE/75</w:t>
        </w:r>
      </w:hyperlink>
      <w:r>
        <w:t>).</w:t>
      </w:r>
    </w:p>
    <w:p w:rsidR="00512FD2" w:rsidRDefault="00512FD2" w:rsidP="00512FD2">
      <w:pPr>
        <w:spacing w:before="136"/>
      </w:pPr>
      <w:r>
        <w:t xml:space="preserve">The Study Group meeting will be held in the ITU Headquarters, </w:t>
      </w:r>
      <w:smartTag w:uri="urn:schemas-microsoft-com:office:smarttags" w:element="place">
        <w:r>
          <w:t>Geneva</w:t>
        </w:r>
      </w:smartTag>
      <w:r>
        <w:t>. The opening session will take place at 09:30 hours.</w:t>
      </w:r>
    </w:p>
    <w:p w:rsidR="00512FD2" w:rsidRDefault="00512FD2" w:rsidP="00512FD2"/>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1843"/>
        <w:gridCol w:w="3119"/>
        <w:gridCol w:w="2888"/>
      </w:tblGrid>
      <w:tr w:rsidR="00512FD2" w:rsidRPr="001471E1" w:rsidTr="000357A2">
        <w:trPr>
          <w:jc w:val="center"/>
        </w:trPr>
        <w:tc>
          <w:tcPr>
            <w:tcW w:w="1613" w:type="dxa"/>
            <w:vAlign w:val="center"/>
          </w:tcPr>
          <w:p w:rsidR="00512FD2" w:rsidRPr="001471E1" w:rsidRDefault="00512FD2" w:rsidP="000357A2">
            <w:pPr>
              <w:pStyle w:val="Tablehead"/>
              <w:rPr>
                <w:szCs w:val="22"/>
              </w:rPr>
            </w:pPr>
            <w:r w:rsidRPr="001471E1">
              <w:rPr>
                <w:szCs w:val="22"/>
              </w:rPr>
              <w:t>Group</w:t>
            </w:r>
          </w:p>
        </w:tc>
        <w:tc>
          <w:tcPr>
            <w:tcW w:w="1843" w:type="dxa"/>
            <w:vAlign w:val="center"/>
          </w:tcPr>
          <w:p w:rsidR="00512FD2" w:rsidRPr="001471E1" w:rsidRDefault="00512FD2" w:rsidP="000357A2">
            <w:pPr>
              <w:pStyle w:val="Tablehead"/>
              <w:rPr>
                <w:szCs w:val="22"/>
              </w:rPr>
            </w:pPr>
            <w:r w:rsidRPr="001471E1">
              <w:rPr>
                <w:szCs w:val="22"/>
              </w:rPr>
              <w:t>Meeting date</w:t>
            </w:r>
          </w:p>
        </w:tc>
        <w:tc>
          <w:tcPr>
            <w:tcW w:w="3119" w:type="dxa"/>
            <w:vAlign w:val="center"/>
          </w:tcPr>
          <w:p w:rsidR="00512FD2" w:rsidRPr="001471E1" w:rsidRDefault="00512FD2" w:rsidP="000357A2">
            <w:pPr>
              <w:pStyle w:val="Tablehead"/>
              <w:rPr>
                <w:szCs w:val="22"/>
              </w:rPr>
            </w:pPr>
            <w:r w:rsidRPr="001471E1">
              <w:rPr>
                <w:szCs w:val="22"/>
              </w:rPr>
              <w:t>Deadline for contributions</w:t>
            </w:r>
          </w:p>
        </w:tc>
        <w:tc>
          <w:tcPr>
            <w:tcW w:w="2888" w:type="dxa"/>
            <w:vAlign w:val="center"/>
          </w:tcPr>
          <w:p w:rsidR="00512FD2" w:rsidRPr="001471E1" w:rsidRDefault="00512FD2" w:rsidP="000357A2">
            <w:pPr>
              <w:pStyle w:val="Tablehead"/>
              <w:rPr>
                <w:szCs w:val="22"/>
              </w:rPr>
            </w:pPr>
            <w:r w:rsidRPr="001471E1">
              <w:rPr>
                <w:szCs w:val="22"/>
              </w:rPr>
              <w:t>Opening session</w:t>
            </w:r>
          </w:p>
        </w:tc>
      </w:tr>
      <w:tr w:rsidR="00512FD2" w:rsidRPr="001471E1" w:rsidTr="000357A2">
        <w:trPr>
          <w:jc w:val="center"/>
        </w:trPr>
        <w:tc>
          <w:tcPr>
            <w:tcW w:w="1613" w:type="dxa"/>
            <w:vAlign w:val="center"/>
          </w:tcPr>
          <w:p w:rsidR="00512FD2" w:rsidRPr="001471E1" w:rsidRDefault="00512FD2" w:rsidP="000357A2">
            <w:pPr>
              <w:pStyle w:val="Tabletext"/>
              <w:jc w:val="center"/>
              <w:rPr>
                <w:szCs w:val="22"/>
              </w:rPr>
            </w:pPr>
            <w:r w:rsidRPr="001471E1">
              <w:rPr>
                <w:szCs w:val="22"/>
              </w:rPr>
              <w:t xml:space="preserve">Study Group </w:t>
            </w:r>
            <w:r>
              <w:rPr>
                <w:szCs w:val="22"/>
              </w:rPr>
              <w:t>6</w:t>
            </w:r>
          </w:p>
        </w:tc>
        <w:tc>
          <w:tcPr>
            <w:tcW w:w="1843" w:type="dxa"/>
            <w:vAlign w:val="center"/>
          </w:tcPr>
          <w:p w:rsidR="00512FD2" w:rsidRPr="001471E1" w:rsidRDefault="00512FD2" w:rsidP="000357A2">
            <w:pPr>
              <w:pStyle w:val="Tabletext"/>
              <w:jc w:val="center"/>
              <w:rPr>
                <w:szCs w:val="22"/>
              </w:rPr>
            </w:pPr>
            <w:r>
              <w:rPr>
                <w:szCs w:val="22"/>
              </w:rPr>
              <w:t>7 October 2011</w:t>
            </w:r>
          </w:p>
        </w:tc>
        <w:tc>
          <w:tcPr>
            <w:tcW w:w="3119" w:type="dxa"/>
            <w:vAlign w:val="center"/>
          </w:tcPr>
          <w:p w:rsidR="00512FD2" w:rsidRPr="001471E1" w:rsidRDefault="00512FD2" w:rsidP="000357A2">
            <w:pPr>
              <w:pStyle w:val="Tabletext"/>
              <w:jc w:val="center"/>
              <w:rPr>
                <w:szCs w:val="22"/>
              </w:rPr>
            </w:pPr>
            <w:r>
              <w:rPr>
                <w:szCs w:val="22"/>
                <w:lang w:val="en-US"/>
              </w:rPr>
              <w:t>Friday</w:t>
            </w:r>
            <w:r w:rsidRPr="001471E1">
              <w:rPr>
                <w:szCs w:val="22"/>
                <w:lang w:val="en-US"/>
              </w:rPr>
              <w:t xml:space="preserve">, </w:t>
            </w:r>
            <w:r>
              <w:rPr>
                <w:szCs w:val="22"/>
                <w:lang w:val="en-US"/>
              </w:rPr>
              <w:t>30 September</w:t>
            </w:r>
            <w:r w:rsidRPr="001471E1">
              <w:rPr>
                <w:szCs w:val="22"/>
                <w:lang w:val="en-US"/>
              </w:rPr>
              <w:t xml:space="preserve"> 2011</w:t>
            </w:r>
            <w:r w:rsidRPr="001471E1">
              <w:rPr>
                <w:szCs w:val="22"/>
                <w:lang w:val="en-US"/>
              </w:rPr>
              <w:br/>
              <w:t>at 16:00 hours UTC</w:t>
            </w:r>
          </w:p>
        </w:tc>
        <w:tc>
          <w:tcPr>
            <w:tcW w:w="2888" w:type="dxa"/>
            <w:vAlign w:val="center"/>
          </w:tcPr>
          <w:p w:rsidR="00512FD2" w:rsidRPr="001471E1" w:rsidRDefault="00512FD2" w:rsidP="000357A2">
            <w:pPr>
              <w:pStyle w:val="Tabletext"/>
              <w:jc w:val="center"/>
              <w:rPr>
                <w:szCs w:val="22"/>
              </w:rPr>
            </w:pPr>
            <w:r>
              <w:rPr>
                <w:szCs w:val="22"/>
                <w:lang w:val="en-US"/>
              </w:rPr>
              <w:t xml:space="preserve">Friday, 7 October </w:t>
            </w:r>
            <w:r w:rsidRPr="001471E1">
              <w:rPr>
                <w:szCs w:val="22"/>
                <w:lang w:val="en-US"/>
              </w:rPr>
              <w:t>2011</w:t>
            </w:r>
            <w:r w:rsidRPr="001471E1">
              <w:rPr>
                <w:szCs w:val="22"/>
                <w:lang w:val="en-US"/>
              </w:rPr>
              <w:br/>
              <w:t>at 09:30 hours (local time)</w:t>
            </w:r>
          </w:p>
        </w:tc>
      </w:tr>
    </w:tbl>
    <w:p w:rsidR="00512FD2" w:rsidRDefault="00512FD2" w:rsidP="00512FD2">
      <w:pPr>
        <w:pStyle w:val="Heading1"/>
      </w:pPr>
      <w:r>
        <w:t>2</w:t>
      </w:r>
      <w:r>
        <w:tab/>
      </w:r>
      <w:r w:rsidRPr="002D4659">
        <w:t>Programme</w:t>
      </w:r>
      <w:r>
        <w:t xml:space="preserve"> of the meeting</w:t>
      </w:r>
    </w:p>
    <w:p w:rsidR="00512FD2" w:rsidRDefault="00512FD2" w:rsidP="00512FD2">
      <w:pPr>
        <w:spacing w:before="136"/>
      </w:pPr>
      <w:r>
        <w:t xml:space="preserve">The draft agenda for the meeting of Study Group 6 is contained in Annex 1. </w:t>
      </w:r>
    </w:p>
    <w:p w:rsidR="00512FD2" w:rsidRDefault="00512FD2" w:rsidP="00512FD2">
      <w:r>
        <w:t>The Questions assigned to Study Group 6 may be found on:</w:t>
      </w:r>
    </w:p>
    <w:p w:rsidR="00512FD2" w:rsidRPr="007C7577" w:rsidRDefault="000F0D7A" w:rsidP="00512FD2">
      <w:pPr>
        <w:spacing w:before="240"/>
        <w:jc w:val="center"/>
        <w:rPr>
          <w:bCs/>
          <w:color w:val="0000FF"/>
        </w:rPr>
      </w:pPr>
      <w:hyperlink r:id="rId10" w:history="1">
        <w:r w:rsidR="00512FD2" w:rsidRPr="007C7577">
          <w:rPr>
            <w:rStyle w:val="Hyperlink"/>
            <w:bCs/>
          </w:rPr>
          <w:t>http://www.itu.int/ITU-R/go/que-rsg6/en</w:t>
        </w:r>
      </w:hyperlink>
    </w:p>
    <w:p w:rsidR="00512FD2" w:rsidRDefault="00512FD2" w:rsidP="00512FD2">
      <w:pPr>
        <w:pStyle w:val="Heading2"/>
        <w:spacing w:before="360"/>
      </w:pPr>
      <w:r>
        <w:t>2.1</w:t>
      </w:r>
      <w:r>
        <w:tab/>
        <w:t xml:space="preserve">Adoption of draft Recommendations at the Study Group meeting </w:t>
      </w:r>
      <w:r>
        <w:br/>
        <w:t>(§ 10.2.2 of Resolution ITU-R 1-5)</w:t>
      </w:r>
    </w:p>
    <w:p w:rsidR="00512FD2" w:rsidRPr="00570756" w:rsidRDefault="00512FD2" w:rsidP="00512FD2">
      <w:r w:rsidRPr="00512FD2">
        <w:t>No Recommendations are proposed for adoption by the Study Group in accordance with § 10.2.2 of Resolution ITU-R 1-5.</w:t>
      </w:r>
    </w:p>
    <w:p w:rsidR="00512FD2" w:rsidRDefault="00512FD2" w:rsidP="00512FD2">
      <w:pPr>
        <w:pStyle w:val="Heading2"/>
        <w:spacing w:before="120"/>
      </w:pPr>
      <w:r>
        <w:lastRenderedPageBreak/>
        <w:t>2.2</w:t>
      </w:r>
      <w:r>
        <w:tab/>
        <w:t xml:space="preserve">Adoption of draft Recommendations by a Study Group by correspondence </w:t>
      </w:r>
      <w:r>
        <w:br/>
        <w:t>(§ 10.2.3 of Resolution ITU</w:t>
      </w:r>
      <w:r>
        <w:noBreakHyphen/>
        <w:t>R 1-5)</w:t>
      </w:r>
    </w:p>
    <w:p w:rsidR="00512FD2" w:rsidRDefault="00512FD2" w:rsidP="00512FD2">
      <w:r>
        <w:t>The procedure described in § 10.2.3 of Resolution ITU-R 1-5 concerns draft new or revised Recommendations which are not specifically included in the agenda of a Study Group meeting.</w:t>
      </w:r>
    </w:p>
    <w:p w:rsidR="00512FD2" w:rsidRDefault="00512FD2" w:rsidP="00512FD2">
      <w:r>
        <w:t>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may also decide to apply the procedure for simultaneous adoption and approval (PSAA) of a draft Recommendation as described in § 10.3 of Resolution ITU-R 1-5 (see also § 2.3 below).</w:t>
      </w:r>
    </w:p>
    <w:p w:rsidR="00512FD2" w:rsidRDefault="00512FD2" w:rsidP="00512FD2">
      <w:r>
        <w:t>In accordance with § 2.25 of Resolution ITU-R 1-5, Annex 2 to this Circular contains a list of topics to be addressed at the meetings of the Working Parties held prior to the Study Group meeting, and for which draft Recommendations may be developed.</w:t>
      </w:r>
    </w:p>
    <w:p w:rsidR="00512FD2" w:rsidRDefault="00512FD2" w:rsidP="00512FD2">
      <w:pPr>
        <w:pStyle w:val="Heading2"/>
      </w:pPr>
      <w:r>
        <w:t>2.3</w:t>
      </w:r>
      <w:r>
        <w:tab/>
      </w:r>
      <w:r w:rsidRPr="002D4659">
        <w:t>Decision</w:t>
      </w:r>
      <w:r>
        <w:t xml:space="preserve"> on approval procedure</w:t>
      </w:r>
    </w:p>
    <w:p w:rsidR="00512FD2" w:rsidRDefault="00512FD2" w:rsidP="00512FD2">
      <w:r>
        <w:t>At the meeting, the Study Group shall decide on the eventual procedure to be followed for seeking approval for each draft Recommendation in accordance with § 10.4.3 of Resolution ITU</w:t>
      </w:r>
      <w:r>
        <w:noBreakHyphen/>
        <w:t>R 1</w:t>
      </w:r>
      <w:r>
        <w:noBreakHyphen/>
        <w:t>5.  Approval may be sought by submitting the draft Recommendation to the next Radiocommunication Assembly, or by consultation of the Member States; alternatively, the Study Group may decide to use the PSAA procedure described in § 10.3 of Resolution ITU-R 1-5.</w:t>
      </w:r>
    </w:p>
    <w:p w:rsidR="00512FD2" w:rsidRDefault="00512FD2" w:rsidP="00512FD2">
      <w:pPr>
        <w:pStyle w:val="Heading1"/>
      </w:pPr>
      <w:r>
        <w:t>3</w:t>
      </w:r>
      <w:r>
        <w:tab/>
      </w:r>
      <w:r w:rsidRPr="002A26A4">
        <w:t>Contributions</w:t>
      </w:r>
    </w:p>
    <w:p w:rsidR="00512FD2" w:rsidRPr="00125740" w:rsidRDefault="00512FD2" w:rsidP="00512FD2">
      <w:r w:rsidRPr="002A26A4">
        <w:t xml:space="preserve">Contributions in response to the work of </w:t>
      </w:r>
      <w:r>
        <w:t>Study Group 6</w:t>
      </w:r>
      <w:r w:rsidRPr="002A26A4">
        <w:t xml:space="preserve"> are processed according to the provisions laid down in Resolution ITU-R 1-5 and posted on </w:t>
      </w:r>
      <w:hyperlink r:id="rId11" w:history="1">
        <w:r w:rsidRPr="007C7577">
          <w:rPr>
            <w:rStyle w:val="Hyperlink"/>
          </w:rPr>
          <w:t>http://www.itu.int/ITU-R/go/r07-SG06-c/en</w:t>
        </w:r>
      </w:hyperlink>
      <w:r>
        <w:t xml:space="preserve">. </w:t>
      </w:r>
      <w:r>
        <w:rPr>
          <w:b/>
          <w:bCs/>
        </w:rPr>
        <w:t>The </w:t>
      </w:r>
      <w:r w:rsidRPr="002A26A4">
        <w:rPr>
          <w:b/>
          <w:bCs/>
        </w:rPr>
        <w:t xml:space="preserve">deadline for submission of contributions is </w:t>
      </w:r>
      <w:r>
        <w:rPr>
          <w:b/>
          <w:bCs/>
        </w:rPr>
        <w:t>Friday, 30 September 2011 at 16:00 hours UTC</w:t>
      </w:r>
      <w:r w:rsidRPr="002A26A4">
        <w:t xml:space="preserve">. Submissions received later than this deadline cannot be accepted. </w:t>
      </w:r>
      <w:r w:rsidRPr="00125740">
        <w:t>Resolution ITU-R 1-5 provides that contributions which are not available to participants at the opening of the meeting shall not be considered.</w:t>
      </w:r>
      <w:r>
        <w:t xml:space="preserve"> </w:t>
      </w:r>
    </w:p>
    <w:p w:rsidR="00512FD2" w:rsidRDefault="00512FD2" w:rsidP="00512FD2">
      <w:r w:rsidRPr="002A26A4">
        <w:t xml:space="preserve">Participants are </w:t>
      </w:r>
      <w:r>
        <w:t>requeste</w:t>
      </w:r>
      <w:r w:rsidRPr="002A26A4">
        <w:t xml:space="preserve">d to submit contributions by electronic mail to: </w:t>
      </w:r>
    </w:p>
    <w:p w:rsidR="00512FD2" w:rsidRPr="007C7577" w:rsidRDefault="000F0D7A" w:rsidP="00512FD2">
      <w:pPr>
        <w:spacing w:before="240"/>
        <w:jc w:val="center"/>
        <w:rPr>
          <w:rStyle w:val="Hyperlink"/>
        </w:rPr>
      </w:pPr>
      <w:hyperlink r:id="rId12" w:history="1">
        <w:r w:rsidR="00512FD2" w:rsidRPr="007C7577">
          <w:rPr>
            <w:rStyle w:val="Hyperlink"/>
          </w:rPr>
          <w:t>rsg6@itu.int</w:t>
        </w:r>
      </w:hyperlink>
    </w:p>
    <w:p w:rsidR="00512FD2" w:rsidRDefault="00512FD2" w:rsidP="00512FD2">
      <w:pPr>
        <w:spacing w:before="240"/>
      </w:pPr>
      <w:r w:rsidRPr="002A26A4">
        <w:t xml:space="preserve">A copy should also be sent to the Chairman and Vice-Chairmen of Study Group </w:t>
      </w:r>
      <w:r>
        <w:t>6</w:t>
      </w:r>
      <w:r w:rsidRPr="002A26A4">
        <w:t>. The pertinent addresses can be found on:</w:t>
      </w:r>
    </w:p>
    <w:p w:rsidR="00512FD2" w:rsidRPr="00512FD2" w:rsidRDefault="000F0D7A" w:rsidP="00512FD2">
      <w:pPr>
        <w:spacing w:before="240"/>
        <w:jc w:val="center"/>
        <w:rPr>
          <w:rStyle w:val="Hyperlink"/>
          <w:szCs w:val="24"/>
        </w:rPr>
      </w:pPr>
      <w:hyperlink r:id="rId13" w:tgtFrame="_blank" w:history="1">
        <w:r w:rsidR="00512FD2" w:rsidRPr="00512FD2">
          <w:rPr>
            <w:color w:val="00008B"/>
            <w:u w:val="single"/>
          </w:rPr>
          <w:t>http://run.as/itu.int/jr158e</w:t>
        </w:r>
      </w:hyperlink>
    </w:p>
    <w:p w:rsidR="000F0D7A" w:rsidRDefault="000F0D7A">
      <w:pPr>
        <w:tabs>
          <w:tab w:val="clear" w:pos="794"/>
          <w:tab w:val="clear" w:pos="1191"/>
          <w:tab w:val="clear" w:pos="1588"/>
          <w:tab w:val="clear" w:pos="1985"/>
        </w:tabs>
        <w:overflowPunct/>
        <w:autoSpaceDE/>
        <w:autoSpaceDN/>
        <w:adjustRightInd/>
        <w:spacing w:before="0"/>
        <w:textAlignment w:val="auto"/>
        <w:rPr>
          <w:b/>
        </w:rPr>
      </w:pPr>
      <w:r>
        <w:br w:type="page"/>
      </w:r>
    </w:p>
    <w:p w:rsidR="00512FD2" w:rsidRPr="00F44034" w:rsidRDefault="00512FD2" w:rsidP="00512FD2">
      <w:pPr>
        <w:pStyle w:val="Heading1"/>
      </w:pPr>
      <w:r>
        <w:lastRenderedPageBreak/>
        <w:t>4</w:t>
      </w:r>
      <w:r>
        <w:tab/>
      </w:r>
      <w:r w:rsidRPr="00F44034">
        <w:t>Participation/Visa requirements</w:t>
      </w:r>
    </w:p>
    <w:p w:rsidR="00512FD2" w:rsidRDefault="00512FD2" w:rsidP="00512FD2">
      <w:pPr>
        <w:rPr>
          <w:szCs w:val="24"/>
        </w:rPr>
      </w:pPr>
      <w:r w:rsidRPr="00053919">
        <w:rPr>
          <w:szCs w:val="24"/>
        </w:rPr>
        <w:t>Delegate/participant registration for the meeting will be carried out online via the ITU-R website. Each Member State/Sector Member/Associate was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w:t>
      </w:r>
      <w:r>
        <w:rPr>
          <w:szCs w:val="24"/>
        </w:rPr>
        <w:t xml:space="preserve">and detailed information regarding visa requirements </w:t>
      </w:r>
      <w:r w:rsidRPr="00053919">
        <w:rPr>
          <w:szCs w:val="24"/>
        </w:rPr>
        <w:t xml:space="preserve">is available on the </w:t>
      </w:r>
      <w:r>
        <w:rPr>
          <w:b/>
          <w:bCs/>
          <w:szCs w:val="24"/>
        </w:rPr>
        <w:t>ITU-</w:t>
      </w:r>
      <w:r w:rsidRPr="00053919">
        <w:rPr>
          <w:b/>
          <w:bCs/>
          <w:szCs w:val="24"/>
        </w:rPr>
        <w:t>R</w:t>
      </w:r>
      <w:r>
        <w:rPr>
          <w:szCs w:val="24"/>
        </w:rPr>
        <w:t xml:space="preserve"> </w:t>
      </w:r>
      <w:r>
        <w:rPr>
          <w:b/>
          <w:bCs/>
          <w:szCs w:val="24"/>
          <w:lang w:val="en-US"/>
        </w:rPr>
        <w:t xml:space="preserve">Member Information and </w:t>
      </w:r>
      <w:r>
        <w:rPr>
          <w:b/>
          <w:bCs/>
          <w:szCs w:val="24"/>
        </w:rPr>
        <w:t xml:space="preserve">Delegate Registration </w:t>
      </w:r>
      <w:r w:rsidRPr="00053919">
        <w:rPr>
          <w:szCs w:val="24"/>
        </w:rPr>
        <w:t>webpage at</w:t>
      </w:r>
      <w:r>
        <w:rPr>
          <w:szCs w:val="24"/>
        </w:rPr>
        <w:t>:</w:t>
      </w:r>
    </w:p>
    <w:p w:rsidR="00512FD2" w:rsidRPr="007C7577" w:rsidRDefault="000F0D7A" w:rsidP="00512FD2">
      <w:pPr>
        <w:spacing w:before="240"/>
        <w:jc w:val="center"/>
        <w:rPr>
          <w:color w:val="0000FF"/>
          <w:szCs w:val="24"/>
        </w:rPr>
      </w:pPr>
      <w:hyperlink r:id="rId14" w:history="1">
        <w:r w:rsidR="00512FD2" w:rsidRPr="007C7577">
          <w:rPr>
            <w:rStyle w:val="Hyperlink"/>
            <w:szCs w:val="24"/>
          </w:rPr>
          <w:t>http://www.itu.int/ITU-R/go/delegate-reg-info/en</w:t>
        </w:r>
      </w:hyperlink>
    </w:p>
    <w:p w:rsidR="00512FD2" w:rsidRDefault="00512FD2" w:rsidP="00512FD2">
      <w:pPr>
        <w:tabs>
          <w:tab w:val="left" w:pos="720"/>
        </w:tabs>
        <w:spacing w:before="360"/>
        <w:rPr>
          <w:b/>
          <w:bCs/>
        </w:rPr>
      </w:pPr>
      <w:r w:rsidRPr="00AD71F6">
        <w:rPr>
          <w:rFonts w:eastAsia="MS PGothic"/>
          <w:szCs w:val="24"/>
          <w:lang w:val="en-US" w:eastAsia="zh-CN"/>
        </w:rPr>
        <w:t xml:space="preserve">The upcoming </w:t>
      </w:r>
      <w:r>
        <w:t>Study Group</w:t>
      </w:r>
      <w:r w:rsidRPr="00AD71F6">
        <w:rPr>
          <w:rFonts w:eastAsia="MS PGothic"/>
          <w:szCs w:val="24"/>
          <w:lang w:val="en-US" w:eastAsia="zh-CN"/>
        </w:rPr>
        <w:t xml:space="preserve"> meeting will take further steps towards working in a fully electronic environment. </w:t>
      </w:r>
      <w:r>
        <w:rPr>
          <w:rFonts w:eastAsia="MS PGothic"/>
          <w:b/>
          <w:bCs/>
          <w:szCs w:val="24"/>
          <w:lang w:val="en-US" w:eastAsia="zh-CN"/>
        </w:rPr>
        <w:t>There will be</w:t>
      </w:r>
      <w:r w:rsidR="00AB327F">
        <w:rPr>
          <w:rFonts w:eastAsia="MS PGothic"/>
          <w:b/>
          <w:bCs/>
          <w:szCs w:val="24"/>
          <w:lang w:val="en-US" w:eastAsia="zh-CN"/>
        </w:rPr>
        <w:t xml:space="preserve"> a</w:t>
      </w:r>
      <w:r>
        <w:rPr>
          <w:rFonts w:eastAsia="MS PGothic"/>
          <w:b/>
          <w:bCs/>
          <w:szCs w:val="24"/>
          <w:lang w:val="en-US" w:eastAsia="zh-CN"/>
        </w:rPr>
        <w:t xml:space="preserve"> limited number of copies of documents available before and during the meetings</w:t>
      </w:r>
      <w:r w:rsidRPr="003B3245">
        <w:rPr>
          <w:rFonts w:eastAsia="MS PGothic"/>
          <w:szCs w:val="24"/>
          <w:lang w:val="en-US" w:eastAsia="zh-CN"/>
        </w:rPr>
        <w:t>.</w:t>
      </w:r>
      <w:r w:rsidRPr="00AD71F6">
        <w:rPr>
          <w:rFonts w:eastAsia="MS PGothic"/>
          <w:szCs w:val="24"/>
          <w:lang w:val="en-US" w:eastAsia="zh-CN"/>
        </w:rPr>
        <w:t xml:space="preserve"> </w:t>
      </w:r>
      <w:r w:rsidRPr="00AD71F6">
        <w:rPr>
          <w:rFonts w:eastAsia="MS PGothic"/>
          <w:szCs w:val="24"/>
          <w:lang w:eastAsia="zh-CN"/>
        </w:rPr>
        <w:t xml:space="preserve">Wireless LAN facilities will be available for use by delegates in the meeting rooms. </w:t>
      </w:r>
      <w:r w:rsidRPr="00AD71F6">
        <w:rPr>
          <w:rFonts w:eastAsia="SimSun"/>
          <w:lang w:eastAsia="zh-CN"/>
        </w:rPr>
        <w:t>Printers are available in the cyber café of the 2</w:t>
      </w:r>
      <w:r w:rsidRPr="00AD71F6">
        <w:rPr>
          <w:rFonts w:eastAsia="SimSun"/>
          <w:vertAlign w:val="superscript"/>
          <w:lang w:eastAsia="zh-CN"/>
        </w:rPr>
        <w:t>nd</w:t>
      </w:r>
      <w:r w:rsidRPr="00AD71F6">
        <w:rPr>
          <w:rFonts w:eastAsia="SimSun"/>
          <w:lang w:eastAsia="zh-CN"/>
        </w:rPr>
        <w:t xml:space="preserve"> basement of the Tower building and </w:t>
      </w:r>
      <w:r>
        <w:rPr>
          <w:rFonts w:eastAsia="SimSun"/>
          <w:lang w:eastAsia="zh-CN"/>
        </w:rPr>
        <w:t xml:space="preserve">on the </w:t>
      </w:r>
      <w:r w:rsidRPr="00DF01B1">
        <w:rPr>
          <w:rFonts w:eastAsia="SimSun"/>
          <w:lang w:eastAsia="zh-CN"/>
        </w:rPr>
        <w:t>1</w:t>
      </w:r>
      <w:r w:rsidRPr="00DF01B1">
        <w:rPr>
          <w:rFonts w:eastAsia="SimSun"/>
          <w:vertAlign w:val="superscript"/>
          <w:lang w:eastAsia="zh-CN"/>
        </w:rPr>
        <w:t>st</w:t>
      </w:r>
      <w:r w:rsidRPr="00DF01B1">
        <w:rPr>
          <w:rFonts w:eastAsia="SimSun"/>
          <w:lang w:eastAsia="zh-CN"/>
        </w:rPr>
        <w:t xml:space="preserve"> and 2</w:t>
      </w:r>
      <w:r w:rsidRPr="00DF01B1">
        <w:rPr>
          <w:rFonts w:eastAsia="SimSun"/>
          <w:vertAlign w:val="superscript"/>
          <w:lang w:eastAsia="zh-CN"/>
        </w:rPr>
        <w:t>nd</w:t>
      </w:r>
      <w:r w:rsidRPr="00AD71F6">
        <w:rPr>
          <w:rFonts w:eastAsia="SimSun"/>
          <w:lang w:eastAsia="zh-CN"/>
        </w:rPr>
        <w:t xml:space="preserve"> floor</w:t>
      </w:r>
      <w:r>
        <w:rPr>
          <w:rFonts w:eastAsia="SimSun"/>
          <w:lang w:eastAsia="zh-CN"/>
        </w:rPr>
        <w:t>s</w:t>
      </w:r>
      <w:r w:rsidRPr="00AD71F6">
        <w:rPr>
          <w:rFonts w:eastAsia="SimSun"/>
          <w:lang w:eastAsia="zh-CN"/>
        </w:rPr>
        <w:t xml:space="preserve"> of </w:t>
      </w:r>
      <w:r>
        <w:rPr>
          <w:rFonts w:eastAsia="SimSun"/>
          <w:lang w:eastAsia="zh-CN"/>
        </w:rPr>
        <w:t xml:space="preserve">the </w:t>
      </w:r>
      <w:proofErr w:type="spellStart"/>
      <w:r w:rsidRPr="00AD71F6">
        <w:rPr>
          <w:rFonts w:eastAsia="SimSun"/>
          <w:lang w:eastAsia="zh-CN"/>
        </w:rPr>
        <w:t>Montbrillant</w:t>
      </w:r>
      <w:proofErr w:type="spellEnd"/>
      <w:r w:rsidRPr="00AD71F6">
        <w:rPr>
          <w:rFonts w:eastAsia="SimSun"/>
          <w:lang w:eastAsia="zh-CN"/>
        </w:rPr>
        <w:t xml:space="preserve"> building for delegates who wish to print documents.  </w:t>
      </w:r>
      <w:r w:rsidRPr="00A452F8">
        <w:rPr>
          <w:rFonts w:eastAsia="SimSun"/>
          <w:lang w:eastAsia="zh-CN"/>
        </w:rPr>
        <w:t>In addition, the Helpdesk Service (</w:t>
      </w:r>
      <w:hyperlink r:id="rId15" w:history="1">
        <w:r w:rsidRPr="00A452F8">
          <w:rPr>
            <w:rStyle w:val="Hyperlink"/>
            <w:rFonts w:eastAsia="SimSun"/>
            <w:szCs w:val="24"/>
            <w:lang w:eastAsia="zh-CN"/>
          </w:rPr>
          <w:t>helpdesk@itu.int</w:t>
        </w:r>
      </w:hyperlink>
      <w:r w:rsidRPr="00A452F8">
        <w:rPr>
          <w:rFonts w:eastAsia="SimSun"/>
          <w:lang w:eastAsia="zh-CN"/>
        </w:rPr>
        <w:t>) has prepared a limited number of laptops for those who do not have one.</w:t>
      </w:r>
    </w:p>
    <w:p w:rsidR="00512FD2" w:rsidRPr="00512FD2" w:rsidRDefault="00512FD2" w:rsidP="00512FD2">
      <w:pPr>
        <w:pStyle w:val="Heading1"/>
        <w:spacing w:before="120"/>
        <w:rPr>
          <w:bCs/>
          <w:lang w:val="en-US"/>
        </w:rPr>
      </w:pPr>
      <w:r w:rsidRPr="00512FD2">
        <w:t>5</w:t>
      </w:r>
      <w:r w:rsidRPr="00512FD2">
        <w:tab/>
      </w:r>
      <w:r w:rsidRPr="00512FD2">
        <w:rPr>
          <w:bCs/>
        </w:rPr>
        <w:t>Interpretation</w:t>
      </w:r>
    </w:p>
    <w:p w:rsidR="00512FD2" w:rsidRPr="00512FD2" w:rsidRDefault="00512FD2" w:rsidP="00512FD2">
      <w:pPr>
        <w:tabs>
          <w:tab w:val="left" w:pos="720"/>
        </w:tabs>
        <w:rPr>
          <w:lang w:val="en-US"/>
        </w:rPr>
      </w:pPr>
      <w:r w:rsidRPr="00512FD2">
        <w:rPr>
          <w:lang w:val="en-US"/>
        </w:rPr>
        <w:t>Given that the meeting is scheduled to be held with interpretation, please note that interpretation will actually be provided only where Member States so request. Requests for interpretation should be sent to</w:t>
      </w:r>
      <w:r>
        <w:rPr>
          <w:lang w:val="en-US"/>
        </w:rPr>
        <w:t xml:space="preserve"> </w:t>
      </w:r>
      <w:hyperlink r:id="rId16" w:history="1">
        <w:r w:rsidRPr="00512FD2">
          <w:rPr>
            <w:rStyle w:val="Hyperlink"/>
            <w:lang w:val="en-US"/>
          </w:rPr>
          <w:t>rsg6@itu.int</w:t>
        </w:r>
      </w:hyperlink>
      <w:r w:rsidRPr="00512FD2">
        <w:rPr>
          <w:lang w:val="en-US"/>
        </w:rPr>
        <w:t xml:space="preserve"> at least one month before the start of the meeting, i.e. by 7 September 2011 at the latest. This deadline is required in order for the secretariat to make the necessary arrangements for interpretation.</w:t>
      </w:r>
    </w:p>
    <w:p w:rsidR="00512FD2" w:rsidRPr="00053919" w:rsidRDefault="00512FD2" w:rsidP="00512FD2">
      <w:pPr>
        <w:spacing w:before="240"/>
      </w:pPr>
      <w:r w:rsidRPr="00053919">
        <w:t>The Delegate R</w:t>
      </w:r>
      <w:r w:rsidRPr="00053919">
        <w:rPr>
          <w:color w:val="000000"/>
        </w:rPr>
        <w:t>egistration desk will</w:t>
      </w:r>
      <w:r>
        <w:rPr>
          <w:color w:val="000000"/>
        </w:rPr>
        <w:t xml:space="preserve"> </w:t>
      </w:r>
      <w:r w:rsidRPr="00053919">
        <w:rPr>
          <w:color w:val="000000"/>
        </w:rPr>
        <w:t xml:space="preserve">open at 08:30 hours on the first day of the meeting at the entrance of the </w:t>
      </w:r>
      <w:proofErr w:type="spellStart"/>
      <w:r w:rsidRPr="00053919">
        <w:rPr>
          <w:color w:val="000000"/>
        </w:rPr>
        <w:t>Montbrillant</w:t>
      </w:r>
      <w:proofErr w:type="spellEnd"/>
      <w:r w:rsidRPr="00053919">
        <w:rPr>
          <w:color w:val="000000"/>
        </w:rPr>
        <w:t xml:space="preserve"> building. Please note that the confirmation of registration sent to each delegate/participant by e-mail must be presented, together with photo identification, in order to receive a badge.</w:t>
      </w:r>
    </w:p>
    <w:p w:rsidR="00512FD2" w:rsidRPr="00053919" w:rsidRDefault="00512FD2" w:rsidP="00512FD2">
      <w:pPr>
        <w:tabs>
          <w:tab w:val="left" w:pos="709"/>
        </w:tabs>
      </w:pPr>
      <w:r w:rsidRPr="00053919">
        <w:rPr>
          <w:szCs w:val="24"/>
        </w:rPr>
        <w:t xml:space="preserve">Information regarding hotel accommodation for meetings held in </w:t>
      </w:r>
      <w:smartTag w:uri="urn:schemas-microsoft-com:office:smarttags" w:element="place">
        <w:smartTag w:uri="urn:schemas-microsoft-com:office:smarttags" w:element="City">
          <w:r w:rsidRPr="00053919">
            <w:rPr>
              <w:szCs w:val="24"/>
            </w:rPr>
            <w:t>Geneva</w:t>
          </w:r>
        </w:smartTag>
      </w:smartTag>
      <w:r w:rsidRPr="00053919">
        <w:rPr>
          <w:szCs w:val="24"/>
        </w:rPr>
        <w:t xml:space="preserve"> is available at </w:t>
      </w:r>
      <w:hyperlink r:id="rId17" w:history="1">
        <w:r w:rsidRPr="007C7577">
          <w:rPr>
            <w:rStyle w:val="Hyperlink"/>
            <w:szCs w:val="24"/>
          </w:rPr>
          <w:t>http://www.itu.int/travel/index.html</w:t>
        </w:r>
      </w:hyperlink>
      <w:r w:rsidRPr="00053919">
        <w:t>.</w:t>
      </w:r>
    </w:p>
    <w:p w:rsidR="00512FD2" w:rsidRPr="000169C2" w:rsidRDefault="00512FD2" w:rsidP="00512FD2">
      <w:pPr>
        <w:tabs>
          <w:tab w:val="center" w:pos="7371"/>
        </w:tabs>
        <w:spacing w:before="1418"/>
        <w:rPr>
          <w:lang w:val="fr-CH"/>
        </w:rPr>
      </w:pPr>
      <w:r>
        <w:tab/>
      </w:r>
      <w:r>
        <w:tab/>
      </w:r>
      <w:r>
        <w:tab/>
      </w:r>
      <w:r>
        <w:tab/>
      </w:r>
      <w:r>
        <w:tab/>
      </w:r>
      <w:r w:rsidRPr="000169C2">
        <w:rPr>
          <w:lang w:val="fr-CH"/>
        </w:rPr>
        <w:t xml:space="preserve">François </w:t>
      </w:r>
      <w:proofErr w:type="spellStart"/>
      <w:r w:rsidRPr="000169C2">
        <w:rPr>
          <w:lang w:val="fr-CH"/>
        </w:rPr>
        <w:t>Rancy</w:t>
      </w:r>
      <w:proofErr w:type="spellEnd"/>
    </w:p>
    <w:p w:rsidR="00512FD2" w:rsidRPr="000169C2" w:rsidRDefault="00512FD2" w:rsidP="00512FD2">
      <w:pPr>
        <w:pStyle w:val="Times"/>
        <w:tabs>
          <w:tab w:val="center" w:pos="7371"/>
          <w:tab w:val="right" w:pos="8505"/>
        </w:tabs>
        <w:rPr>
          <w:rFonts w:ascii="Times New Roman" w:hAnsi="Times New Roman"/>
          <w:lang w:val="fr-CH"/>
        </w:rPr>
      </w:pPr>
      <w:r w:rsidRPr="000169C2">
        <w:rPr>
          <w:rFonts w:ascii="Times New Roman" w:hAnsi="Times New Roman"/>
          <w:lang w:val="fr-CH"/>
        </w:rPr>
        <w:tab/>
        <w:t>Director, Radiocommunication Bureau</w:t>
      </w:r>
    </w:p>
    <w:p w:rsidR="00512FD2" w:rsidRDefault="00512FD2" w:rsidP="00512FD2">
      <w:pPr>
        <w:rPr>
          <w:lang w:val="fr-CH"/>
        </w:rPr>
      </w:pPr>
      <w:r w:rsidRPr="00512FD2">
        <w:rPr>
          <w:b/>
          <w:bCs/>
          <w:lang w:val="fr-CH"/>
        </w:rPr>
        <w:t>Annexes:</w:t>
      </w:r>
      <w:r w:rsidRPr="000169C2">
        <w:rPr>
          <w:lang w:val="fr-CH"/>
        </w:rPr>
        <w:tab/>
      </w:r>
      <w:r>
        <w:rPr>
          <w:lang w:val="fr-CH"/>
        </w:rPr>
        <w:t>2</w:t>
      </w:r>
    </w:p>
    <w:p w:rsidR="00512FD2" w:rsidRPr="003C0608" w:rsidRDefault="00512FD2" w:rsidP="00512FD2">
      <w:pPr>
        <w:pStyle w:val="BodyText3"/>
        <w:spacing w:before="240"/>
        <w:rPr>
          <w:b/>
          <w:bCs/>
          <w:sz w:val="18"/>
          <w:szCs w:val="18"/>
          <w:u w:val="none"/>
          <w:lang w:val="en-US"/>
        </w:rPr>
      </w:pPr>
      <w:r w:rsidRPr="003C0608">
        <w:rPr>
          <w:b/>
          <w:bCs/>
          <w:sz w:val="18"/>
          <w:szCs w:val="18"/>
          <w:u w:val="none"/>
          <w:lang w:val="en-US"/>
        </w:rPr>
        <w:t>Distribution:</w:t>
      </w:r>
    </w:p>
    <w:p w:rsidR="00512FD2" w:rsidRPr="001232D6" w:rsidRDefault="00512FD2" w:rsidP="00512FD2">
      <w:pPr>
        <w:tabs>
          <w:tab w:val="left" w:pos="284"/>
        </w:tabs>
        <w:ind w:left="284" w:hanging="284"/>
        <w:rPr>
          <w:sz w:val="18"/>
          <w:szCs w:val="18"/>
        </w:rPr>
      </w:pPr>
      <w:r w:rsidRPr="001232D6">
        <w:rPr>
          <w:sz w:val="18"/>
          <w:szCs w:val="18"/>
        </w:rPr>
        <w:t>–</w:t>
      </w:r>
      <w:r w:rsidRPr="001232D6">
        <w:rPr>
          <w:sz w:val="18"/>
          <w:szCs w:val="18"/>
        </w:rPr>
        <w:tab/>
        <w:t xml:space="preserve">Administrations of Member States </w:t>
      </w:r>
      <w:r>
        <w:rPr>
          <w:sz w:val="18"/>
          <w:szCs w:val="18"/>
        </w:rPr>
        <w:t xml:space="preserve">of the ITU </w:t>
      </w:r>
      <w:r w:rsidRPr="001232D6">
        <w:rPr>
          <w:sz w:val="18"/>
          <w:szCs w:val="18"/>
        </w:rPr>
        <w:t>and Radiocommunication Sector Members</w:t>
      </w:r>
      <w:r>
        <w:rPr>
          <w:sz w:val="18"/>
          <w:szCs w:val="18"/>
        </w:rPr>
        <w:t xml:space="preserve"> participating in the work of Radiocommunication Study Group 6</w:t>
      </w:r>
    </w:p>
    <w:p w:rsidR="00512FD2" w:rsidRPr="001232D6" w:rsidRDefault="00512FD2" w:rsidP="00512FD2">
      <w:pPr>
        <w:tabs>
          <w:tab w:val="left" w:pos="284"/>
        </w:tabs>
        <w:spacing w:before="0"/>
        <w:ind w:left="284" w:hanging="284"/>
        <w:rPr>
          <w:sz w:val="18"/>
          <w:szCs w:val="18"/>
        </w:rPr>
      </w:pPr>
      <w:r w:rsidRPr="001232D6">
        <w:rPr>
          <w:sz w:val="18"/>
          <w:szCs w:val="18"/>
        </w:rPr>
        <w:t>–</w:t>
      </w:r>
      <w:r w:rsidRPr="001232D6">
        <w:rPr>
          <w:sz w:val="18"/>
          <w:szCs w:val="18"/>
        </w:rPr>
        <w:tab/>
        <w:t>ITU-R Associates participating in the work of Radiocommunication Study Group 6</w:t>
      </w:r>
    </w:p>
    <w:p w:rsidR="00512FD2" w:rsidRDefault="00512FD2" w:rsidP="00512FD2">
      <w:pPr>
        <w:tabs>
          <w:tab w:val="left" w:pos="284"/>
        </w:tabs>
        <w:spacing w:before="0"/>
        <w:ind w:left="284" w:hanging="284"/>
        <w:rPr>
          <w:sz w:val="18"/>
          <w:szCs w:val="18"/>
        </w:rPr>
      </w:pPr>
      <w:r w:rsidRPr="001232D6">
        <w:rPr>
          <w:sz w:val="18"/>
          <w:szCs w:val="18"/>
        </w:rPr>
        <w:t>–</w:t>
      </w:r>
      <w:r w:rsidRPr="001232D6">
        <w:rPr>
          <w:sz w:val="18"/>
          <w:szCs w:val="18"/>
        </w:rPr>
        <w:tab/>
      </w:r>
      <w:r>
        <w:rPr>
          <w:sz w:val="18"/>
          <w:szCs w:val="18"/>
        </w:rPr>
        <w:t>ITU-R Academia</w:t>
      </w:r>
    </w:p>
    <w:p w:rsidR="00512FD2" w:rsidRPr="001232D6" w:rsidRDefault="00512FD2" w:rsidP="00512FD2">
      <w:pPr>
        <w:tabs>
          <w:tab w:val="left" w:pos="284"/>
        </w:tabs>
        <w:spacing w:before="0"/>
        <w:ind w:left="284" w:hanging="284"/>
        <w:rPr>
          <w:sz w:val="18"/>
          <w:szCs w:val="18"/>
        </w:rPr>
      </w:pPr>
      <w:r w:rsidRPr="001232D6">
        <w:rPr>
          <w:sz w:val="18"/>
          <w:szCs w:val="18"/>
        </w:rPr>
        <w:t>–</w:t>
      </w:r>
      <w:r w:rsidRPr="001232D6">
        <w:rPr>
          <w:sz w:val="18"/>
          <w:szCs w:val="18"/>
        </w:rPr>
        <w:tab/>
        <w:t>Chairmen and Vice-Chairmen of Radiocommunication Study Groups and Special Committee on Regulatory/Procedural Matters</w:t>
      </w:r>
    </w:p>
    <w:p w:rsidR="00512FD2" w:rsidRPr="001232D6" w:rsidRDefault="00512FD2" w:rsidP="00512FD2">
      <w:pPr>
        <w:tabs>
          <w:tab w:val="left" w:pos="284"/>
        </w:tabs>
        <w:spacing w:before="0"/>
        <w:ind w:left="284" w:hanging="284"/>
        <w:rPr>
          <w:sz w:val="18"/>
          <w:szCs w:val="18"/>
        </w:rPr>
      </w:pPr>
      <w:r w:rsidRPr="001232D6">
        <w:rPr>
          <w:sz w:val="18"/>
          <w:szCs w:val="18"/>
        </w:rPr>
        <w:t>–</w:t>
      </w:r>
      <w:r w:rsidRPr="001232D6">
        <w:rPr>
          <w:sz w:val="18"/>
          <w:szCs w:val="18"/>
        </w:rPr>
        <w:tab/>
        <w:t>Chairman and Vice-Chairmen of the Conference Preparatory Meeting</w:t>
      </w:r>
    </w:p>
    <w:p w:rsidR="00512FD2" w:rsidRPr="001232D6" w:rsidRDefault="00512FD2" w:rsidP="00512FD2">
      <w:pPr>
        <w:tabs>
          <w:tab w:val="left" w:pos="284"/>
        </w:tabs>
        <w:spacing w:before="0"/>
        <w:ind w:left="284" w:hanging="284"/>
        <w:rPr>
          <w:sz w:val="18"/>
          <w:szCs w:val="18"/>
        </w:rPr>
      </w:pPr>
      <w:r w:rsidRPr="001232D6">
        <w:rPr>
          <w:sz w:val="18"/>
          <w:szCs w:val="18"/>
        </w:rPr>
        <w:t>–</w:t>
      </w:r>
      <w:r w:rsidRPr="001232D6">
        <w:rPr>
          <w:sz w:val="18"/>
          <w:szCs w:val="18"/>
        </w:rPr>
        <w:tab/>
        <w:t>Members of the Radio Regulations Board</w:t>
      </w:r>
    </w:p>
    <w:p w:rsidR="00512FD2" w:rsidRPr="001232D6" w:rsidRDefault="00512FD2" w:rsidP="00512FD2">
      <w:pPr>
        <w:pStyle w:val="BodyTextIndent"/>
        <w:rPr>
          <w:sz w:val="18"/>
          <w:szCs w:val="18"/>
        </w:rPr>
      </w:pPr>
      <w:r w:rsidRPr="001232D6">
        <w:rPr>
          <w:sz w:val="18"/>
          <w:szCs w:val="18"/>
        </w:rPr>
        <w:t>–</w:t>
      </w:r>
      <w:r w:rsidRPr="001232D6">
        <w:rPr>
          <w:sz w:val="18"/>
          <w:szCs w:val="18"/>
        </w:rPr>
        <w:tab/>
        <w:t>Secretary-General of the ITU, Director of the Telecommunication Standardization Bureau, Director of the Telecommunication Development Bureau</w:t>
      </w:r>
    </w:p>
    <w:p w:rsidR="00512FD2" w:rsidRDefault="00512FD2" w:rsidP="00BB0777">
      <w:pPr>
        <w:pStyle w:val="AnnexNotitle"/>
        <w:spacing w:before="120"/>
      </w:pPr>
      <w:r>
        <w:rPr>
          <w:sz w:val="16"/>
        </w:rPr>
        <w:br w:type="page"/>
      </w:r>
      <w:r>
        <w:rPr>
          <w:bCs/>
        </w:rPr>
        <w:lastRenderedPageBreak/>
        <w:t>Annex 1</w:t>
      </w:r>
      <w:r>
        <w:rPr>
          <w:bCs/>
        </w:rPr>
        <w:br/>
      </w:r>
      <w:r>
        <w:rPr>
          <w:bCs/>
        </w:rPr>
        <w:br/>
      </w:r>
      <w:r>
        <w:t xml:space="preserve">Draft agenda for the </w:t>
      </w:r>
      <w:r w:rsidR="00BB0777">
        <w:t>seventh</w:t>
      </w:r>
      <w:r>
        <w:t xml:space="preserve"> meeting of Radiocommunication Study Group 6</w:t>
      </w:r>
    </w:p>
    <w:p w:rsidR="00512FD2" w:rsidRDefault="00512FD2" w:rsidP="00512FD2">
      <w:pPr>
        <w:pStyle w:val="Normalaftertitle"/>
        <w:jc w:val="center"/>
      </w:pPr>
      <w:r>
        <w:t>(Geneva, 7 October 2011, at 09:30 hours)</w:t>
      </w:r>
    </w:p>
    <w:p w:rsidR="00512FD2" w:rsidRPr="00244E0E" w:rsidRDefault="00512FD2" w:rsidP="00512FD2"/>
    <w:p w:rsidR="00512FD2" w:rsidRPr="007B78FD" w:rsidRDefault="00512FD2" w:rsidP="00512FD2">
      <w:pPr>
        <w:tabs>
          <w:tab w:val="clear" w:pos="794"/>
          <w:tab w:val="clear" w:pos="1191"/>
          <w:tab w:val="clear" w:pos="1588"/>
          <w:tab w:val="clear" w:pos="1985"/>
          <w:tab w:val="left" w:pos="851"/>
        </w:tabs>
        <w:overflowPunct/>
        <w:autoSpaceDE/>
        <w:autoSpaceDN/>
        <w:adjustRightInd/>
        <w:spacing w:before="320"/>
        <w:textAlignment w:val="auto"/>
        <w:rPr>
          <w:rFonts w:eastAsia="SimSun"/>
          <w:szCs w:val="24"/>
          <w:lang w:eastAsia="zh-CN"/>
        </w:rPr>
      </w:pPr>
      <w:r w:rsidRPr="007B78FD">
        <w:rPr>
          <w:rFonts w:eastAsia="SimSun"/>
          <w:b/>
          <w:bCs/>
          <w:szCs w:val="24"/>
          <w:lang w:eastAsia="zh-CN"/>
        </w:rPr>
        <w:t>1</w:t>
      </w:r>
      <w:r>
        <w:rPr>
          <w:rFonts w:eastAsia="SimSun"/>
          <w:b/>
          <w:bCs/>
          <w:szCs w:val="24"/>
          <w:lang w:eastAsia="zh-CN"/>
        </w:rPr>
        <w:tab/>
      </w:r>
      <w:r w:rsidRPr="007B78FD">
        <w:rPr>
          <w:rFonts w:eastAsia="SimSun"/>
          <w:szCs w:val="24"/>
          <w:lang w:eastAsia="zh-CN"/>
        </w:rPr>
        <w:t>Opening of the meeting</w:t>
      </w:r>
    </w:p>
    <w:p w:rsidR="00512FD2" w:rsidRPr="007B78FD" w:rsidRDefault="00512FD2" w:rsidP="00512FD2">
      <w:pPr>
        <w:tabs>
          <w:tab w:val="clear" w:pos="794"/>
          <w:tab w:val="clear" w:pos="1191"/>
          <w:tab w:val="clear" w:pos="1588"/>
          <w:tab w:val="clear" w:pos="1985"/>
          <w:tab w:val="left" w:pos="851"/>
        </w:tabs>
        <w:adjustRightInd/>
        <w:textAlignment w:val="auto"/>
        <w:rPr>
          <w:rFonts w:eastAsia="SimSun"/>
          <w:szCs w:val="24"/>
          <w:lang w:eastAsia="zh-CN"/>
        </w:rPr>
      </w:pPr>
      <w:r w:rsidRPr="007B78FD">
        <w:rPr>
          <w:rFonts w:eastAsia="SimSun"/>
          <w:b/>
          <w:bCs/>
          <w:szCs w:val="24"/>
          <w:lang w:eastAsia="zh-CN"/>
        </w:rPr>
        <w:t>2</w:t>
      </w:r>
      <w:r>
        <w:rPr>
          <w:rFonts w:eastAsia="SimSun"/>
          <w:b/>
          <w:bCs/>
          <w:szCs w:val="24"/>
          <w:lang w:eastAsia="zh-CN"/>
        </w:rPr>
        <w:tab/>
      </w:r>
      <w:r w:rsidRPr="007B78FD">
        <w:rPr>
          <w:rFonts w:eastAsia="SimSun"/>
          <w:szCs w:val="24"/>
          <w:lang w:eastAsia="zh-CN"/>
        </w:rPr>
        <w:t>Approval of the agenda</w:t>
      </w:r>
    </w:p>
    <w:p w:rsidR="00512FD2" w:rsidRPr="007B78FD" w:rsidRDefault="00512FD2" w:rsidP="00512FD2">
      <w:pPr>
        <w:tabs>
          <w:tab w:val="clear" w:pos="794"/>
          <w:tab w:val="clear" w:pos="1191"/>
          <w:tab w:val="clear" w:pos="1588"/>
          <w:tab w:val="clear" w:pos="1985"/>
          <w:tab w:val="left" w:pos="851"/>
        </w:tabs>
        <w:adjustRightInd/>
        <w:textAlignment w:val="auto"/>
        <w:rPr>
          <w:rFonts w:eastAsia="SimSun"/>
          <w:szCs w:val="24"/>
          <w:lang w:eastAsia="zh-CN"/>
        </w:rPr>
      </w:pPr>
      <w:r w:rsidRPr="007B78FD">
        <w:rPr>
          <w:rFonts w:eastAsia="SimSun"/>
          <w:b/>
          <w:bCs/>
          <w:szCs w:val="24"/>
          <w:lang w:eastAsia="zh-CN"/>
        </w:rPr>
        <w:t>3</w:t>
      </w:r>
      <w:r>
        <w:rPr>
          <w:rFonts w:eastAsia="SimSun"/>
          <w:szCs w:val="24"/>
          <w:lang w:eastAsia="zh-CN"/>
        </w:rPr>
        <w:tab/>
      </w:r>
      <w:r w:rsidRPr="007B78FD">
        <w:rPr>
          <w:rFonts w:eastAsia="SimSun"/>
          <w:szCs w:val="24"/>
          <w:lang w:eastAsia="zh-CN"/>
        </w:rPr>
        <w:t>Appointment of the Rapporteur</w:t>
      </w:r>
    </w:p>
    <w:p w:rsidR="00512FD2" w:rsidRPr="007B78FD" w:rsidRDefault="00512FD2" w:rsidP="00512FD2">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4</w:t>
      </w:r>
      <w:r>
        <w:rPr>
          <w:rFonts w:eastAsia="SimSun"/>
          <w:b/>
          <w:bCs/>
          <w:szCs w:val="24"/>
          <w:lang w:eastAsia="zh-CN"/>
        </w:rPr>
        <w:tab/>
      </w:r>
      <w:r>
        <w:rPr>
          <w:rFonts w:eastAsia="SimSun"/>
          <w:szCs w:val="24"/>
          <w:lang w:eastAsia="zh-CN"/>
        </w:rPr>
        <w:t>Summary Record (</w:t>
      </w:r>
      <w:hyperlink r:id="rId18" w:history="1">
        <w:r w:rsidRPr="007C7577">
          <w:rPr>
            <w:rStyle w:val="Hyperlink"/>
            <w:rFonts w:eastAsia="SimSun"/>
            <w:szCs w:val="24"/>
            <w:lang w:eastAsia="zh-CN"/>
          </w:rPr>
          <w:t>Document 6/</w:t>
        </w:r>
        <w:r>
          <w:rPr>
            <w:rStyle w:val="Hyperlink"/>
            <w:rFonts w:eastAsia="SimSun"/>
            <w:szCs w:val="24"/>
            <w:lang w:eastAsia="zh-CN"/>
          </w:rPr>
          <w:t>371</w:t>
        </w:r>
      </w:hyperlink>
      <w:r>
        <w:rPr>
          <w:rFonts w:eastAsia="SimSun"/>
          <w:szCs w:val="24"/>
          <w:lang w:eastAsia="zh-CN"/>
        </w:rPr>
        <w:t>)</w:t>
      </w:r>
    </w:p>
    <w:p w:rsidR="00512FD2" w:rsidRDefault="00512FD2" w:rsidP="00512FD2">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5</w:t>
      </w:r>
      <w:r>
        <w:rPr>
          <w:rFonts w:eastAsia="SimSun"/>
          <w:b/>
          <w:bCs/>
          <w:szCs w:val="24"/>
          <w:lang w:eastAsia="zh-CN"/>
        </w:rPr>
        <w:tab/>
      </w:r>
      <w:r w:rsidRPr="007B78FD">
        <w:rPr>
          <w:rFonts w:eastAsia="SimSun"/>
          <w:szCs w:val="24"/>
          <w:lang w:eastAsia="zh-CN"/>
        </w:rPr>
        <w:t>Execut</w:t>
      </w:r>
      <w:r>
        <w:rPr>
          <w:rFonts w:eastAsia="SimSun"/>
          <w:szCs w:val="24"/>
          <w:lang w:eastAsia="zh-CN"/>
        </w:rPr>
        <w:t>ive Reports from Working Party Chairmen</w:t>
      </w:r>
      <w:r w:rsidRPr="007B78FD">
        <w:rPr>
          <w:rFonts w:eastAsia="SimSun"/>
          <w:szCs w:val="24"/>
          <w:lang w:eastAsia="zh-CN"/>
        </w:rPr>
        <w:t xml:space="preserve"> </w:t>
      </w:r>
    </w:p>
    <w:p w:rsidR="00512FD2" w:rsidRPr="007B78FD" w:rsidRDefault="000357A2" w:rsidP="000357A2">
      <w:pPr>
        <w:tabs>
          <w:tab w:val="clear" w:pos="794"/>
          <w:tab w:val="clear" w:pos="1191"/>
          <w:tab w:val="clear" w:pos="1588"/>
          <w:tab w:val="clear" w:pos="1985"/>
          <w:tab w:val="left" w:pos="851"/>
        </w:tabs>
        <w:adjustRightInd/>
        <w:textAlignment w:val="auto"/>
        <w:rPr>
          <w:rFonts w:eastAsia="SimSun"/>
          <w:b/>
          <w:bCs/>
          <w:szCs w:val="24"/>
          <w:lang w:eastAsia="zh-CN"/>
        </w:rPr>
      </w:pPr>
      <w:r>
        <w:rPr>
          <w:rFonts w:eastAsia="SimSun"/>
          <w:b/>
          <w:bCs/>
          <w:szCs w:val="24"/>
          <w:lang w:eastAsia="zh-CN"/>
        </w:rPr>
        <w:tab/>
      </w:r>
      <w:r w:rsidR="00512FD2">
        <w:rPr>
          <w:rFonts w:eastAsia="SimSun"/>
          <w:b/>
          <w:bCs/>
          <w:szCs w:val="24"/>
          <w:lang w:eastAsia="zh-CN"/>
        </w:rPr>
        <w:t>5.1</w:t>
      </w:r>
      <w:r w:rsidR="00512FD2">
        <w:rPr>
          <w:rFonts w:eastAsia="SimSun"/>
          <w:b/>
          <w:bCs/>
          <w:szCs w:val="24"/>
          <w:lang w:eastAsia="zh-CN"/>
        </w:rPr>
        <w:tab/>
      </w:r>
      <w:r>
        <w:rPr>
          <w:rFonts w:eastAsia="SimSun"/>
          <w:szCs w:val="24"/>
          <w:lang w:eastAsia="zh-CN"/>
        </w:rPr>
        <w:t>Working Party</w:t>
      </w:r>
      <w:r w:rsidR="00512FD2">
        <w:rPr>
          <w:rFonts w:eastAsia="SimSun"/>
          <w:szCs w:val="24"/>
          <w:lang w:eastAsia="zh-CN"/>
        </w:rPr>
        <w:t xml:space="preserve"> 6A</w:t>
      </w:r>
    </w:p>
    <w:p w:rsidR="00512FD2" w:rsidRPr="007B78FD" w:rsidRDefault="000357A2" w:rsidP="00512FD2">
      <w:pPr>
        <w:tabs>
          <w:tab w:val="clear" w:pos="794"/>
          <w:tab w:val="clear" w:pos="1191"/>
          <w:tab w:val="clear" w:pos="1588"/>
          <w:tab w:val="clear" w:pos="1985"/>
          <w:tab w:val="left" w:pos="851"/>
        </w:tabs>
        <w:adjustRightInd/>
        <w:textAlignment w:val="auto"/>
        <w:rPr>
          <w:rFonts w:eastAsia="SimSun"/>
          <w:b/>
          <w:bCs/>
          <w:szCs w:val="24"/>
          <w:lang w:eastAsia="zh-CN"/>
        </w:rPr>
      </w:pPr>
      <w:r>
        <w:rPr>
          <w:rFonts w:eastAsia="SimSun"/>
          <w:b/>
          <w:bCs/>
          <w:szCs w:val="24"/>
          <w:lang w:eastAsia="zh-CN"/>
        </w:rPr>
        <w:tab/>
      </w:r>
      <w:r w:rsidR="00512FD2">
        <w:rPr>
          <w:rFonts w:eastAsia="SimSun"/>
          <w:b/>
          <w:bCs/>
          <w:szCs w:val="24"/>
          <w:lang w:eastAsia="zh-CN"/>
        </w:rPr>
        <w:t>5.2</w:t>
      </w:r>
      <w:r w:rsidR="00512FD2">
        <w:rPr>
          <w:rFonts w:eastAsia="SimSun"/>
          <w:b/>
          <w:bCs/>
          <w:szCs w:val="24"/>
          <w:lang w:eastAsia="zh-CN"/>
        </w:rPr>
        <w:tab/>
      </w:r>
      <w:r>
        <w:rPr>
          <w:rFonts w:eastAsia="SimSun"/>
          <w:szCs w:val="24"/>
          <w:lang w:eastAsia="zh-CN"/>
        </w:rPr>
        <w:t>Working Party</w:t>
      </w:r>
      <w:r w:rsidR="00512FD2">
        <w:rPr>
          <w:rFonts w:eastAsia="SimSun"/>
          <w:szCs w:val="24"/>
          <w:lang w:eastAsia="zh-CN"/>
        </w:rPr>
        <w:t xml:space="preserve"> 6B</w:t>
      </w:r>
    </w:p>
    <w:p w:rsidR="00512FD2" w:rsidRPr="007B78FD" w:rsidRDefault="000357A2" w:rsidP="00512FD2">
      <w:pPr>
        <w:tabs>
          <w:tab w:val="clear" w:pos="794"/>
          <w:tab w:val="clear" w:pos="1191"/>
          <w:tab w:val="clear" w:pos="1588"/>
          <w:tab w:val="clear" w:pos="1985"/>
          <w:tab w:val="left" w:pos="851"/>
        </w:tabs>
        <w:adjustRightInd/>
        <w:textAlignment w:val="auto"/>
        <w:rPr>
          <w:rFonts w:eastAsia="SimSun"/>
          <w:b/>
          <w:bCs/>
          <w:szCs w:val="24"/>
          <w:lang w:eastAsia="zh-CN"/>
        </w:rPr>
      </w:pPr>
      <w:r>
        <w:rPr>
          <w:rFonts w:eastAsia="SimSun"/>
          <w:b/>
          <w:bCs/>
          <w:szCs w:val="24"/>
          <w:lang w:eastAsia="zh-CN"/>
        </w:rPr>
        <w:tab/>
      </w:r>
      <w:r w:rsidR="00512FD2">
        <w:rPr>
          <w:rFonts w:eastAsia="SimSun"/>
          <w:b/>
          <w:bCs/>
          <w:szCs w:val="24"/>
          <w:lang w:eastAsia="zh-CN"/>
        </w:rPr>
        <w:t>5.3</w:t>
      </w:r>
      <w:r w:rsidR="00512FD2">
        <w:rPr>
          <w:rFonts w:eastAsia="SimSun"/>
          <w:b/>
          <w:bCs/>
          <w:szCs w:val="24"/>
          <w:lang w:eastAsia="zh-CN"/>
        </w:rPr>
        <w:tab/>
      </w:r>
      <w:r>
        <w:rPr>
          <w:rFonts w:eastAsia="SimSun"/>
          <w:szCs w:val="24"/>
          <w:lang w:eastAsia="zh-CN"/>
        </w:rPr>
        <w:t>Working Party</w:t>
      </w:r>
      <w:r w:rsidR="00512FD2">
        <w:rPr>
          <w:rFonts w:eastAsia="SimSun"/>
          <w:szCs w:val="24"/>
          <w:lang w:eastAsia="zh-CN"/>
        </w:rPr>
        <w:t xml:space="preserve"> 6C</w:t>
      </w:r>
    </w:p>
    <w:p w:rsidR="00512FD2" w:rsidRDefault="00512FD2" w:rsidP="00512FD2">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6</w:t>
      </w:r>
      <w:r>
        <w:rPr>
          <w:rFonts w:eastAsia="SimSun"/>
          <w:b/>
          <w:bCs/>
          <w:szCs w:val="24"/>
          <w:lang w:eastAsia="zh-CN"/>
        </w:rPr>
        <w:tab/>
      </w:r>
      <w:r w:rsidRPr="007B78FD">
        <w:rPr>
          <w:rFonts w:eastAsia="SimSun"/>
          <w:szCs w:val="24"/>
          <w:lang w:eastAsia="zh-CN"/>
        </w:rPr>
        <w:t>Consideration of new and revised Recommendations</w:t>
      </w:r>
    </w:p>
    <w:p w:rsidR="00512FD2" w:rsidRDefault="000357A2" w:rsidP="000357A2">
      <w:pPr>
        <w:tabs>
          <w:tab w:val="clear" w:pos="794"/>
          <w:tab w:val="clear" w:pos="1191"/>
          <w:tab w:val="clear" w:pos="1588"/>
          <w:tab w:val="clear" w:pos="1985"/>
          <w:tab w:val="left" w:pos="851"/>
        </w:tabs>
        <w:adjustRightInd/>
        <w:ind w:left="1440" w:hanging="1440"/>
        <w:textAlignment w:val="auto"/>
        <w:rPr>
          <w:rFonts w:eastAsia="SimSun"/>
          <w:szCs w:val="24"/>
          <w:lang w:eastAsia="zh-CN"/>
        </w:rPr>
      </w:pPr>
      <w:r>
        <w:rPr>
          <w:rFonts w:eastAsia="SimSun"/>
          <w:b/>
          <w:bCs/>
          <w:szCs w:val="24"/>
          <w:lang w:eastAsia="zh-CN"/>
        </w:rPr>
        <w:tab/>
      </w:r>
      <w:r w:rsidR="00512FD2">
        <w:rPr>
          <w:rFonts w:eastAsia="SimSun"/>
          <w:b/>
          <w:bCs/>
          <w:szCs w:val="24"/>
          <w:lang w:eastAsia="zh-CN"/>
        </w:rPr>
        <w:t>6.1</w:t>
      </w:r>
      <w:r w:rsidR="00512FD2">
        <w:rPr>
          <w:rFonts w:eastAsia="SimSun"/>
          <w:szCs w:val="24"/>
          <w:lang w:eastAsia="zh-CN"/>
        </w:rPr>
        <w:tab/>
      </w:r>
      <w:r w:rsidR="00512FD2" w:rsidRPr="007B78FD">
        <w:rPr>
          <w:rFonts w:eastAsia="SimSun"/>
          <w:szCs w:val="24"/>
          <w:lang w:eastAsia="zh-CN"/>
        </w:rPr>
        <w:t xml:space="preserve">Recommendations </w:t>
      </w:r>
      <w:r w:rsidR="00512FD2">
        <w:rPr>
          <w:rFonts w:eastAsia="SimSun"/>
          <w:szCs w:val="24"/>
          <w:lang w:eastAsia="zh-CN"/>
        </w:rPr>
        <w:t xml:space="preserve">where notice of intention to seek adoption was not given </w:t>
      </w:r>
      <w:r w:rsidR="00512FD2">
        <w:rPr>
          <w:rFonts w:eastAsia="SimSun"/>
          <w:szCs w:val="24"/>
          <w:lang w:eastAsia="zh-CN"/>
        </w:rPr>
        <w:br/>
      </w:r>
      <w:r w:rsidR="00512FD2" w:rsidRPr="007B78FD">
        <w:rPr>
          <w:rFonts w:eastAsia="SimSun"/>
          <w:szCs w:val="24"/>
          <w:lang w:eastAsia="zh-CN"/>
        </w:rPr>
        <w:t>(see Resolution ITU-R 1-</w:t>
      </w:r>
      <w:r w:rsidR="00512FD2">
        <w:rPr>
          <w:rFonts w:eastAsia="SimSun"/>
          <w:szCs w:val="24"/>
          <w:lang w:eastAsia="zh-CN"/>
        </w:rPr>
        <w:t>5</w:t>
      </w:r>
      <w:r w:rsidR="00512FD2" w:rsidRPr="007B78FD">
        <w:rPr>
          <w:rFonts w:eastAsia="SimSun"/>
          <w:szCs w:val="24"/>
          <w:lang w:eastAsia="zh-CN"/>
        </w:rPr>
        <w:t>, §§ 10.2.3, 10.3 and 10.4)</w:t>
      </w:r>
    </w:p>
    <w:p w:rsidR="00512FD2" w:rsidRPr="007B78FD" w:rsidRDefault="000357A2" w:rsidP="00512FD2">
      <w:pPr>
        <w:tabs>
          <w:tab w:val="clear" w:pos="794"/>
          <w:tab w:val="clear" w:pos="1191"/>
          <w:tab w:val="clear" w:pos="1588"/>
          <w:tab w:val="clear" w:pos="1985"/>
          <w:tab w:val="left" w:pos="851"/>
        </w:tabs>
        <w:adjustRightInd/>
        <w:spacing w:before="80"/>
        <w:ind w:left="1418" w:hanging="567"/>
        <w:textAlignment w:val="auto"/>
        <w:rPr>
          <w:rFonts w:eastAsia="SimSun"/>
          <w:szCs w:val="24"/>
          <w:lang w:eastAsia="zh-CN"/>
        </w:rPr>
      </w:pPr>
      <w:r>
        <w:rPr>
          <w:rFonts w:eastAsia="SimSun"/>
          <w:szCs w:val="24"/>
          <w:lang w:eastAsia="zh-CN"/>
        </w:rPr>
        <w:tab/>
      </w:r>
      <w:r w:rsidR="00512FD2" w:rsidRPr="007B78FD">
        <w:rPr>
          <w:rFonts w:eastAsia="SimSun"/>
          <w:szCs w:val="24"/>
          <w:lang w:eastAsia="zh-CN"/>
        </w:rPr>
        <w:t>–</w:t>
      </w:r>
      <w:r w:rsidR="00512FD2">
        <w:rPr>
          <w:rFonts w:eastAsia="SimSun"/>
          <w:szCs w:val="24"/>
          <w:lang w:eastAsia="zh-CN"/>
        </w:rPr>
        <w:tab/>
      </w:r>
      <w:r w:rsidR="00512FD2" w:rsidRPr="007B78FD">
        <w:rPr>
          <w:rFonts w:eastAsia="SimSun"/>
          <w:szCs w:val="24"/>
          <w:lang w:eastAsia="zh-CN"/>
        </w:rPr>
        <w:t xml:space="preserve">Decision to </w:t>
      </w:r>
      <w:r w:rsidR="00512FD2">
        <w:rPr>
          <w:rFonts w:eastAsia="SimSun"/>
          <w:szCs w:val="24"/>
          <w:lang w:eastAsia="zh-CN"/>
        </w:rPr>
        <w:t>adopt the text by Study Group</w:t>
      </w:r>
    </w:p>
    <w:p w:rsidR="00512FD2" w:rsidRPr="007B78FD" w:rsidRDefault="000357A2" w:rsidP="00512FD2">
      <w:pPr>
        <w:tabs>
          <w:tab w:val="clear" w:pos="794"/>
          <w:tab w:val="clear" w:pos="1191"/>
          <w:tab w:val="clear" w:pos="1588"/>
          <w:tab w:val="clear" w:pos="1985"/>
          <w:tab w:val="left" w:pos="851"/>
        </w:tabs>
        <w:adjustRightInd/>
        <w:spacing w:before="80"/>
        <w:ind w:left="1418" w:hanging="567"/>
        <w:textAlignment w:val="auto"/>
        <w:rPr>
          <w:rFonts w:eastAsia="SimSun"/>
          <w:szCs w:val="24"/>
          <w:lang w:eastAsia="zh-CN"/>
        </w:rPr>
      </w:pPr>
      <w:r>
        <w:rPr>
          <w:rFonts w:eastAsia="SimSun"/>
          <w:szCs w:val="24"/>
          <w:lang w:eastAsia="zh-CN"/>
        </w:rPr>
        <w:tab/>
      </w:r>
      <w:r w:rsidR="00512FD2" w:rsidRPr="007B78FD">
        <w:rPr>
          <w:rFonts w:eastAsia="SimSun"/>
          <w:szCs w:val="24"/>
          <w:lang w:eastAsia="zh-CN"/>
        </w:rPr>
        <w:t>–</w:t>
      </w:r>
      <w:r w:rsidR="00512FD2">
        <w:rPr>
          <w:rFonts w:eastAsia="SimSun"/>
          <w:szCs w:val="24"/>
          <w:lang w:eastAsia="zh-CN"/>
        </w:rPr>
        <w:tab/>
      </w:r>
      <w:r w:rsidR="00512FD2" w:rsidRPr="007B78FD">
        <w:rPr>
          <w:rFonts w:eastAsia="SimSun"/>
          <w:szCs w:val="24"/>
          <w:lang w:eastAsia="zh-CN"/>
        </w:rPr>
        <w:t>Decision on eventual approval procedure to be followed</w:t>
      </w:r>
    </w:p>
    <w:p w:rsidR="00512FD2" w:rsidRPr="00124508" w:rsidRDefault="00512FD2" w:rsidP="00512FD2">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7</w:t>
      </w:r>
      <w:r w:rsidRPr="00124508">
        <w:rPr>
          <w:rFonts w:eastAsia="SimSun"/>
          <w:szCs w:val="24"/>
          <w:lang w:eastAsia="zh-CN"/>
        </w:rPr>
        <w:tab/>
        <w:t>Consideration of new and revised Reports</w:t>
      </w:r>
    </w:p>
    <w:p w:rsidR="00512FD2" w:rsidRDefault="00512FD2" w:rsidP="00512FD2">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8</w:t>
      </w:r>
      <w:r>
        <w:rPr>
          <w:rFonts w:eastAsia="SimSun"/>
          <w:szCs w:val="24"/>
          <w:lang w:eastAsia="zh-CN"/>
        </w:rPr>
        <w:tab/>
        <w:t>Consideration of new and revised Questions</w:t>
      </w:r>
    </w:p>
    <w:p w:rsidR="00512FD2" w:rsidRPr="00570756" w:rsidRDefault="00512FD2" w:rsidP="00512FD2">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9</w:t>
      </w:r>
      <w:r>
        <w:rPr>
          <w:rFonts w:eastAsia="SimSun"/>
          <w:b/>
          <w:bCs/>
          <w:szCs w:val="24"/>
          <w:lang w:eastAsia="zh-CN"/>
        </w:rPr>
        <w:tab/>
      </w:r>
      <w:r>
        <w:rPr>
          <w:rFonts w:eastAsia="SimSun"/>
          <w:szCs w:val="24"/>
          <w:lang w:eastAsia="zh-CN"/>
        </w:rPr>
        <w:t>Results of RAG-2011</w:t>
      </w:r>
    </w:p>
    <w:p w:rsidR="00512FD2" w:rsidRPr="007B78FD" w:rsidRDefault="00512FD2" w:rsidP="00512FD2">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10</w:t>
      </w:r>
      <w:r>
        <w:rPr>
          <w:rFonts w:eastAsia="SimSun"/>
          <w:b/>
          <w:bCs/>
          <w:szCs w:val="24"/>
          <w:lang w:eastAsia="zh-CN"/>
        </w:rPr>
        <w:tab/>
      </w:r>
      <w:r w:rsidRPr="007B78FD">
        <w:rPr>
          <w:rFonts w:eastAsia="SimSun"/>
          <w:szCs w:val="24"/>
          <w:lang w:eastAsia="zh-CN"/>
        </w:rPr>
        <w:t>Results of the meetings of ITU-R SG 6 Steering Committee</w:t>
      </w:r>
    </w:p>
    <w:p w:rsidR="00512FD2" w:rsidRPr="007B78FD" w:rsidRDefault="00512FD2" w:rsidP="00512FD2">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11</w:t>
      </w:r>
      <w:r>
        <w:rPr>
          <w:rFonts w:eastAsia="SimSun"/>
          <w:b/>
          <w:bCs/>
          <w:szCs w:val="24"/>
          <w:lang w:eastAsia="zh-CN"/>
        </w:rPr>
        <w:tab/>
      </w:r>
      <w:r w:rsidRPr="007B78FD">
        <w:rPr>
          <w:rFonts w:eastAsia="SimSun"/>
          <w:szCs w:val="24"/>
          <w:lang w:eastAsia="zh-CN"/>
        </w:rPr>
        <w:t xml:space="preserve">Status of Handbooks, Questions, Recommendations, Reports, Opinions, Resolutions </w:t>
      </w:r>
      <w:r>
        <w:rPr>
          <w:rFonts w:eastAsia="SimSun"/>
          <w:szCs w:val="24"/>
          <w:lang w:eastAsia="zh-CN"/>
        </w:rPr>
        <w:br/>
      </w:r>
      <w:r w:rsidRPr="007B78FD">
        <w:rPr>
          <w:rFonts w:eastAsia="SimSun"/>
          <w:szCs w:val="24"/>
          <w:lang w:eastAsia="zh-CN"/>
        </w:rPr>
        <w:t>and Decisions</w:t>
      </w:r>
    </w:p>
    <w:p w:rsidR="00512FD2" w:rsidRPr="007B78FD" w:rsidRDefault="00512FD2" w:rsidP="00512FD2">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12</w:t>
      </w:r>
      <w:r>
        <w:rPr>
          <w:rFonts w:eastAsia="SimSun"/>
          <w:szCs w:val="24"/>
          <w:lang w:eastAsia="zh-CN"/>
        </w:rPr>
        <w:tab/>
      </w:r>
      <w:r w:rsidRPr="007B78FD">
        <w:rPr>
          <w:rFonts w:eastAsia="SimSun"/>
          <w:szCs w:val="24"/>
          <w:lang w:eastAsia="zh-CN"/>
        </w:rPr>
        <w:t>Liaison with other Study Groups and International Organizations</w:t>
      </w:r>
    </w:p>
    <w:p w:rsidR="00512FD2" w:rsidRPr="007B78FD" w:rsidRDefault="00512FD2" w:rsidP="00512FD2">
      <w:pPr>
        <w:tabs>
          <w:tab w:val="clear" w:pos="794"/>
          <w:tab w:val="clear" w:pos="1191"/>
          <w:tab w:val="clear" w:pos="1588"/>
          <w:tab w:val="clear" w:pos="1985"/>
          <w:tab w:val="left" w:pos="851"/>
        </w:tabs>
        <w:adjustRightInd/>
        <w:ind w:left="851" w:hanging="851"/>
        <w:textAlignment w:val="auto"/>
        <w:rPr>
          <w:rFonts w:eastAsia="SimSun"/>
          <w:b/>
          <w:bCs/>
          <w:szCs w:val="24"/>
          <w:lang w:eastAsia="zh-CN"/>
        </w:rPr>
      </w:pPr>
      <w:r>
        <w:rPr>
          <w:rFonts w:eastAsia="SimSun"/>
          <w:b/>
          <w:bCs/>
          <w:szCs w:val="24"/>
          <w:lang w:eastAsia="zh-CN"/>
        </w:rPr>
        <w:t>13</w:t>
      </w:r>
      <w:r>
        <w:rPr>
          <w:rFonts w:eastAsia="SimSun"/>
          <w:b/>
          <w:bCs/>
          <w:szCs w:val="24"/>
          <w:lang w:eastAsia="zh-CN"/>
        </w:rPr>
        <w:tab/>
      </w:r>
      <w:r w:rsidRPr="007B78FD">
        <w:rPr>
          <w:rFonts w:eastAsia="SimSun"/>
          <w:szCs w:val="24"/>
          <w:lang w:eastAsia="zh-CN"/>
        </w:rPr>
        <w:t>Schedule of meetings</w:t>
      </w:r>
    </w:p>
    <w:p w:rsidR="00512FD2" w:rsidRPr="007B78FD" w:rsidRDefault="00512FD2" w:rsidP="00512FD2">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14</w:t>
      </w:r>
      <w:r>
        <w:rPr>
          <w:rFonts w:eastAsia="SimSun"/>
          <w:b/>
          <w:bCs/>
          <w:szCs w:val="24"/>
          <w:lang w:eastAsia="zh-CN"/>
        </w:rPr>
        <w:tab/>
      </w:r>
      <w:r w:rsidRPr="007B78FD">
        <w:rPr>
          <w:rFonts w:eastAsia="SimSun"/>
          <w:szCs w:val="24"/>
          <w:lang w:eastAsia="zh-CN"/>
        </w:rPr>
        <w:t>Any other business</w:t>
      </w:r>
    </w:p>
    <w:p w:rsidR="00512FD2" w:rsidRDefault="00512FD2" w:rsidP="00512FD2"/>
    <w:p w:rsidR="00512FD2" w:rsidRPr="003B5D31" w:rsidRDefault="00512FD2" w:rsidP="00512FD2">
      <w:pPr>
        <w:pStyle w:val="fig"/>
        <w:keepNext w:val="0"/>
        <w:tabs>
          <w:tab w:val="center" w:pos="7088"/>
        </w:tabs>
        <w:spacing w:before="400" w:after="0"/>
        <w:jc w:val="left"/>
        <w:rPr>
          <w:rFonts w:ascii="Times New Roman" w:hAnsi="Times New Roman"/>
          <w:lang w:val="en-US"/>
        </w:rPr>
      </w:pPr>
      <w:r w:rsidRPr="003B5D31">
        <w:rPr>
          <w:rFonts w:ascii="Times New Roman" w:hAnsi="Times New Roman"/>
          <w:lang w:val="en-US"/>
        </w:rPr>
        <w:tab/>
        <w:t>C. DOSCH</w:t>
      </w:r>
      <w:r w:rsidRPr="003B5D31">
        <w:rPr>
          <w:rFonts w:ascii="Times New Roman" w:hAnsi="Times New Roman"/>
          <w:lang w:val="en-US"/>
        </w:rPr>
        <w:br/>
      </w:r>
      <w:r w:rsidRPr="003B5D31">
        <w:rPr>
          <w:rFonts w:ascii="Times New Roman" w:hAnsi="Times New Roman"/>
          <w:lang w:val="en-US"/>
        </w:rPr>
        <w:tab/>
        <w:t>Chairman, Radiocommunication Study Group 6</w:t>
      </w:r>
    </w:p>
    <w:p w:rsidR="00512FD2" w:rsidRDefault="00512FD2" w:rsidP="00512FD2">
      <w:pPr>
        <w:tabs>
          <w:tab w:val="clear" w:pos="794"/>
          <w:tab w:val="clear" w:pos="1191"/>
          <w:tab w:val="clear" w:pos="1588"/>
          <w:tab w:val="clear" w:pos="1985"/>
        </w:tabs>
        <w:overflowPunct/>
        <w:autoSpaceDE/>
        <w:autoSpaceDN/>
        <w:adjustRightInd/>
        <w:spacing w:before="0"/>
        <w:textAlignment w:val="auto"/>
      </w:pPr>
      <w:r>
        <w:br w:type="page"/>
      </w:r>
    </w:p>
    <w:p w:rsidR="00512FD2" w:rsidRDefault="00512FD2" w:rsidP="00512FD2">
      <w:pPr>
        <w:pStyle w:val="AnnexNotitle"/>
      </w:pPr>
      <w:r>
        <w:lastRenderedPageBreak/>
        <w:t>Annex 2</w:t>
      </w:r>
      <w:r>
        <w:br/>
      </w:r>
      <w:r>
        <w:br/>
        <w:t>Topics to be addressed at meetings of Working Parties 6A, 6B and 6C</w:t>
      </w:r>
      <w:r>
        <w:br/>
        <w:t xml:space="preserve">held prior to the meeting of Study Group 6 and for which </w:t>
      </w:r>
      <w:r>
        <w:br/>
        <w:t>draft Recommendations may be developed</w:t>
      </w:r>
    </w:p>
    <w:p w:rsidR="00512FD2" w:rsidRPr="00147E88" w:rsidRDefault="00512FD2" w:rsidP="00512FD2"/>
    <w:p w:rsidR="00512FD2" w:rsidRDefault="00512FD2" w:rsidP="00512FD2">
      <w:pPr>
        <w:spacing w:before="480" w:after="120"/>
        <w:jc w:val="center"/>
        <w:rPr>
          <w:b/>
          <w:bCs/>
        </w:rPr>
      </w:pPr>
      <w:r w:rsidRPr="00AC7F55">
        <w:rPr>
          <w:b/>
          <w:bCs/>
        </w:rPr>
        <w:t>Working Party 6A</w:t>
      </w:r>
    </w:p>
    <w:p w:rsidR="00512FD2" w:rsidRDefault="00512FD2" w:rsidP="00512FD2"/>
    <w:p w:rsidR="00512FD2" w:rsidRP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Error-correction, data framing, modulation and emission methods for terrestrial multimedia broadcasting for mobile reception using handheld receivers in VHF/UHF bands (PDNR ITU-R BT.[ETMM] in Annex 2 to </w:t>
      </w:r>
      <w:hyperlink r:id="rId19" w:history="1">
        <w:r w:rsidRPr="00EC583B">
          <w:rPr>
            <w:rStyle w:val="Hyperlink"/>
            <w:rFonts w:asciiTheme="majorBidi" w:hAnsiTheme="majorBidi" w:cstheme="majorBidi"/>
            <w:szCs w:val="24"/>
          </w:rPr>
          <w:t>Document 6A/546</w:t>
        </w:r>
      </w:hyperlink>
      <w:r w:rsidRPr="00512FD2">
        <w:rPr>
          <w:rFonts w:asciiTheme="majorBidi" w:hAnsiTheme="majorBidi" w:cstheme="majorBidi"/>
          <w:color w:val="000080"/>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Transmitting antenna characteristics at VHF and UHF (PDRR ITU-R BS.1195 in Annex 3 to </w:t>
      </w:r>
      <w:hyperlink r:id="rId20" w:history="1">
        <w:r w:rsidRPr="00EC583B">
          <w:rPr>
            <w:rStyle w:val="Hyperlink"/>
            <w:rFonts w:asciiTheme="majorBidi" w:hAnsiTheme="majorBidi" w:cstheme="majorBidi"/>
            <w:szCs w:val="24"/>
          </w:rPr>
          <w:t>Document 6A/546</w:t>
        </w:r>
      </w:hyperlink>
      <w:r>
        <w:rPr>
          <w:rFonts w:asciiTheme="majorBidi" w:hAnsiTheme="majorBidi" w:cstheme="majorBidi"/>
          <w:color w:val="000080"/>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Methods for objective quality coverage a</w:t>
      </w:r>
      <w:r>
        <w:rPr>
          <w:rFonts w:asciiTheme="majorBidi" w:hAnsiTheme="majorBidi" w:cstheme="majorBidi"/>
          <w:color w:val="000000" w:themeColor="text1"/>
          <w:szCs w:val="24"/>
        </w:rPr>
        <w:t>s</w:t>
      </w:r>
      <w:r w:rsidRPr="00512FD2">
        <w:rPr>
          <w:rFonts w:asciiTheme="majorBidi" w:hAnsiTheme="majorBidi" w:cstheme="majorBidi"/>
          <w:color w:val="000000" w:themeColor="text1"/>
          <w:szCs w:val="24"/>
        </w:rPr>
        <w:t>sessment of digital terrestrial television broadcasting signals of System B specified in Recommendation ITU-</w:t>
      </w:r>
      <w:r w:rsidR="009966D9">
        <w:rPr>
          <w:rFonts w:asciiTheme="majorBidi" w:hAnsiTheme="majorBidi" w:cstheme="majorBidi"/>
          <w:color w:val="000000" w:themeColor="text1"/>
          <w:szCs w:val="24"/>
        </w:rPr>
        <w:t>R BT.1306 (PDRR </w:t>
      </w:r>
      <w:r w:rsidRPr="00512FD2">
        <w:rPr>
          <w:rFonts w:asciiTheme="majorBidi" w:hAnsiTheme="majorBidi" w:cstheme="majorBidi"/>
          <w:color w:val="000000" w:themeColor="text1"/>
          <w:szCs w:val="24"/>
        </w:rPr>
        <w:t xml:space="preserve">ITU-R BT.1735 in Annex 4 to </w:t>
      </w:r>
      <w:hyperlink r:id="rId21" w:history="1">
        <w:r w:rsidRPr="00EC583B">
          <w:rPr>
            <w:rStyle w:val="Hyperlink"/>
            <w:rFonts w:asciiTheme="majorBidi" w:hAnsiTheme="majorBidi" w:cstheme="majorBidi"/>
            <w:szCs w:val="24"/>
          </w:rPr>
          <w:t>Document 6A/546</w:t>
        </w:r>
      </w:hyperlink>
      <w:r>
        <w:rPr>
          <w:rFonts w:asciiTheme="majorBidi" w:hAnsiTheme="majorBidi" w:cstheme="majorBidi"/>
          <w:color w:val="000080"/>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Characteristics of the reference receiving system for frequency planning of digital terrestrial television systems (PDNR ITU-R BT.[DTVRX] in Annex 5 to </w:t>
      </w:r>
      <w:hyperlink r:id="rId22" w:history="1">
        <w:r w:rsidRPr="00EC583B">
          <w:rPr>
            <w:rStyle w:val="Hyperlink"/>
            <w:rFonts w:asciiTheme="majorBidi" w:hAnsiTheme="majorBidi" w:cstheme="majorBidi"/>
            <w:szCs w:val="24"/>
          </w:rPr>
          <w:t>Document 6A/546</w:t>
        </w:r>
      </w:hyperlink>
      <w:r>
        <w:rPr>
          <w:rFonts w:asciiTheme="majorBidi" w:hAnsiTheme="majorBidi" w:cstheme="majorBidi"/>
          <w:color w:val="000080"/>
          <w:szCs w:val="24"/>
        </w:rPr>
        <w:t>)</w:t>
      </w:r>
    </w:p>
    <w:p w:rsidR="00512FD2" w:rsidRP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Use of Monte Carlo simulation to compute the required interference protection of the terrestrial broadcasting service from devices without a frequency allocation (Working document towards a PDNR ITU-R BT.[AGGREGATE] in Annex 6 to </w:t>
      </w:r>
      <w:hyperlink r:id="rId23" w:history="1">
        <w:r w:rsidRPr="00EC583B">
          <w:rPr>
            <w:rStyle w:val="Hyperlink"/>
            <w:rFonts w:asciiTheme="majorBidi" w:hAnsiTheme="majorBidi" w:cstheme="majorBidi"/>
            <w:szCs w:val="24"/>
          </w:rPr>
          <w:t>Document 6A/546</w:t>
        </w:r>
      </w:hyperlink>
      <w:r>
        <w:rPr>
          <w:rFonts w:asciiTheme="majorBidi" w:hAnsiTheme="majorBidi" w:cstheme="majorBidi"/>
          <w:color w:val="000080"/>
          <w:szCs w:val="24"/>
        </w:rPr>
        <w:t>)</w:t>
      </w:r>
    </w:p>
    <w:p w:rsidR="00512FD2" w:rsidRPr="00A549EC" w:rsidRDefault="00512FD2" w:rsidP="00512FD2">
      <w:pPr>
        <w:ind w:left="794" w:hanging="794"/>
        <w:rPr>
          <w:rFonts w:asciiTheme="majorBidi" w:hAnsiTheme="majorBidi" w:cstheme="majorBidi"/>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Planning criteria, including protection ratios, for second generation of digital terrestrial television broadcasting systems in the VHF/UHF bands (Working document towards a PDNR ITU-R BT.[2NDDTTBPLAN] in Annex 7 to </w:t>
      </w:r>
      <w:hyperlink r:id="rId24" w:history="1">
        <w:r w:rsidRPr="00EC583B">
          <w:rPr>
            <w:rStyle w:val="Hyperlink"/>
            <w:rFonts w:asciiTheme="majorBidi" w:hAnsiTheme="majorBidi" w:cstheme="majorBidi"/>
            <w:szCs w:val="24"/>
          </w:rPr>
          <w:t>Document 6A/546</w:t>
        </w:r>
      </w:hyperlink>
      <w:r>
        <w:rPr>
          <w:rFonts w:asciiTheme="majorBidi" w:hAnsiTheme="majorBidi" w:cstheme="majorBidi"/>
          <w:color w:val="000080"/>
          <w:szCs w:val="24"/>
        </w:rPr>
        <w:t>)</w:t>
      </w:r>
    </w:p>
    <w:p w:rsidR="00512FD2" w:rsidRDefault="00512FD2" w:rsidP="00512FD2"/>
    <w:p w:rsidR="00512FD2" w:rsidRDefault="00512FD2" w:rsidP="00512FD2">
      <w:pPr>
        <w:spacing w:before="480" w:after="120"/>
        <w:jc w:val="center"/>
        <w:rPr>
          <w:b/>
          <w:bCs/>
        </w:rPr>
      </w:pPr>
      <w:r w:rsidRPr="00AC7F55">
        <w:rPr>
          <w:b/>
          <w:bCs/>
        </w:rPr>
        <w:t>Working Party 6B</w:t>
      </w:r>
    </w:p>
    <w:p w:rsidR="00512FD2" w:rsidRDefault="00512FD2" w:rsidP="00512FD2"/>
    <w:p w:rsidR="00512FD2" w:rsidRDefault="00512FD2" w:rsidP="00512FD2">
      <w:pPr>
        <w:ind w:left="794" w:hanging="794"/>
        <w:rPr>
          <w:rFonts w:asciiTheme="majorBidi" w:hAnsiTheme="majorBidi" w:cstheme="majorBidi"/>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EC583B">
        <w:rPr>
          <w:rFonts w:asciiTheme="majorBidi" w:hAnsiTheme="majorBidi" w:cstheme="majorBidi"/>
          <w:szCs w:val="24"/>
        </w:rPr>
        <w:t xml:space="preserve">Digital </w:t>
      </w:r>
      <w:r w:rsidRPr="00512FD2">
        <w:rPr>
          <w:rFonts w:asciiTheme="majorBidi" w:hAnsiTheme="majorBidi" w:cstheme="majorBidi"/>
          <w:color w:val="000000" w:themeColor="text1"/>
          <w:szCs w:val="24"/>
        </w:rPr>
        <w:t xml:space="preserve">interfaces for HDTV studio signals (PDRR ITU-R BT.1120-7 in Annex 1 to </w:t>
      </w:r>
      <w:hyperlink r:id="rId25" w:history="1">
        <w:r w:rsidRPr="00454F46">
          <w:rPr>
            <w:rStyle w:val="Hyperlink"/>
            <w:rFonts w:asciiTheme="majorBidi" w:hAnsiTheme="majorBidi" w:cstheme="majorBidi"/>
            <w:szCs w:val="24"/>
          </w:rPr>
          <w:t>Document 6B/280</w:t>
        </w:r>
      </w:hyperlink>
      <w:r>
        <w:rPr>
          <w:rFonts w:asciiTheme="majorBidi" w:hAnsiTheme="majorBidi" w:cstheme="majorBidi"/>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Video payload identification for digital television interfaces (PDRR ITU-R BT.1614 in Annex 2 to </w:t>
      </w:r>
      <w:hyperlink r:id="rId26" w:history="1">
        <w:r w:rsidRPr="00512FD2">
          <w:rPr>
            <w:rStyle w:val="Hyperlink"/>
            <w:rFonts w:asciiTheme="majorBidi" w:hAnsiTheme="majorBidi" w:cstheme="majorBidi"/>
            <w:szCs w:val="24"/>
          </w:rPr>
          <w:t>Document 6B/280</w:t>
        </w:r>
      </w:hyperlink>
      <w:r w:rsidRPr="00512FD2">
        <w:rPr>
          <w:rFonts w:asciiTheme="majorBidi" w:hAnsiTheme="majorBidi" w:cstheme="majorBidi"/>
          <w:color w:val="000080"/>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Extension of the use of ITU-R Recommendations for LSDI applications to a subset of VIS applications (PDNR ITU-R BT.[LSDI-VIS] in Annex 3 to </w:t>
      </w:r>
      <w:hyperlink r:id="rId27" w:history="1">
        <w:r w:rsidRPr="00454F46">
          <w:rPr>
            <w:rStyle w:val="Hyperlink"/>
            <w:rFonts w:asciiTheme="majorBidi" w:hAnsiTheme="majorBidi" w:cstheme="majorBidi"/>
            <w:szCs w:val="24"/>
          </w:rPr>
          <w:t>Document 6B/280</w:t>
        </w:r>
      </w:hyperlink>
      <w:r>
        <w:rPr>
          <w:rFonts w:asciiTheme="majorBidi" w:hAnsiTheme="majorBidi" w:cstheme="majorBidi"/>
          <w:color w:val="000080"/>
          <w:szCs w:val="24"/>
        </w:rPr>
        <w:t>)</w:t>
      </w:r>
    </w:p>
    <w:p w:rsidR="00512FD2" w:rsidRPr="00FE307A" w:rsidRDefault="00512FD2" w:rsidP="00512FD2"/>
    <w:p w:rsidR="00512FD2" w:rsidRDefault="00512FD2">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512FD2" w:rsidRDefault="00512FD2" w:rsidP="00512FD2">
      <w:pPr>
        <w:spacing w:before="480" w:after="120"/>
        <w:jc w:val="center"/>
        <w:rPr>
          <w:b/>
          <w:bCs/>
        </w:rPr>
      </w:pPr>
      <w:r w:rsidRPr="00AC7F55">
        <w:rPr>
          <w:b/>
          <w:bCs/>
        </w:rPr>
        <w:lastRenderedPageBreak/>
        <w:t>Working Party 6C</w:t>
      </w:r>
    </w:p>
    <w:p w:rsidR="00512FD2" w:rsidRDefault="00512FD2" w:rsidP="00512FD2"/>
    <w:p w:rsidR="00512FD2" w:rsidRDefault="00512FD2" w:rsidP="00512FD2">
      <w:pPr>
        <w:ind w:left="794" w:hanging="794"/>
        <w:rPr>
          <w:color w:val="000080"/>
        </w:rPr>
      </w:pPr>
      <w:r>
        <w:t>–</w:t>
      </w:r>
      <w:r>
        <w:tab/>
      </w:r>
      <w:r w:rsidRPr="00512FD2">
        <w:t xml:space="preserve">Objective perceptual video quality measurement techniques for broadcasting applications using HDTV in the presence of a reduced reference signal (PDNR ITU-R BT.[VQHDRR] in Annex 2 to </w:t>
      </w:r>
      <w:hyperlink r:id="rId28" w:history="1">
        <w:r w:rsidRPr="007D0580">
          <w:rPr>
            <w:rStyle w:val="Hyperlink"/>
            <w:rFonts w:asciiTheme="majorBidi" w:hAnsiTheme="majorBidi" w:cstheme="majorBidi"/>
            <w:szCs w:val="24"/>
          </w:rPr>
          <w:t>Document 6C/490</w:t>
        </w:r>
      </w:hyperlink>
      <w:r>
        <w:rPr>
          <w:color w:val="000080"/>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Objective perceptual video quality measurement techniques for broadcasting applications using HDTV in the presence of a full reference signal (PDNR ITU-R BT.[VQHDFR] in Annex 3 to </w:t>
      </w:r>
      <w:hyperlink r:id="rId29" w:history="1">
        <w:r w:rsidRPr="007D0580">
          <w:rPr>
            <w:rStyle w:val="Hyperlink"/>
            <w:rFonts w:asciiTheme="majorBidi" w:hAnsiTheme="majorBidi" w:cstheme="majorBidi"/>
            <w:szCs w:val="24"/>
          </w:rPr>
          <w:t>Document 6C/490</w:t>
        </w:r>
      </w:hyperlink>
      <w:r>
        <w:rPr>
          <w:rFonts w:asciiTheme="majorBidi" w:hAnsiTheme="majorBidi" w:cstheme="majorBidi"/>
          <w:color w:val="000080"/>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General viewing conditions for subjective assessment of quality of television pictures (PDNR ITU-R BT.[GVC] in Annex 4 to </w:t>
      </w:r>
      <w:hyperlink r:id="rId30" w:history="1">
        <w:r w:rsidRPr="007D0580">
          <w:rPr>
            <w:rStyle w:val="Hyperlink"/>
            <w:rFonts w:asciiTheme="majorBidi" w:hAnsiTheme="majorBidi" w:cstheme="majorBidi"/>
            <w:szCs w:val="24"/>
          </w:rPr>
          <w:t>Document 6C/490</w:t>
        </w:r>
      </w:hyperlink>
      <w:r>
        <w:rPr>
          <w:rFonts w:asciiTheme="majorBidi" w:hAnsiTheme="majorBidi" w:cstheme="majorBidi"/>
          <w:color w:val="000080"/>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Parameter values for UHDTV systems for production and international programme exchange (PDNR ITU-R BT.[IMAGE-UHDTV] in Annex 5 to </w:t>
      </w:r>
      <w:hyperlink r:id="rId31" w:history="1">
        <w:r w:rsidRPr="007D0580">
          <w:rPr>
            <w:rStyle w:val="Hyperlink"/>
            <w:rFonts w:asciiTheme="majorBidi" w:hAnsiTheme="majorBidi" w:cstheme="majorBidi"/>
            <w:szCs w:val="24"/>
          </w:rPr>
          <w:t>Document 6C/490</w:t>
        </w:r>
      </w:hyperlink>
      <w:r>
        <w:rPr>
          <w:rFonts w:asciiTheme="majorBidi" w:hAnsiTheme="majorBidi" w:cstheme="majorBidi"/>
          <w:color w:val="000080"/>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Performance requirements for an advanced multichannel stereophonic sound system with and without accompanying picture (PDNR ITU-R BS.[ADVSOUND-REQ] in Annex 6 to </w:t>
      </w:r>
      <w:hyperlink r:id="rId32" w:history="1">
        <w:r w:rsidRPr="007D0580">
          <w:rPr>
            <w:rStyle w:val="Hyperlink"/>
            <w:rFonts w:asciiTheme="majorBidi" w:hAnsiTheme="majorBidi" w:cstheme="majorBidi"/>
            <w:szCs w:val="24"/>
          </w:rPr>
          <w:t>Document 6C</w:t>
        </w:r>
        <w:r>
          <w:rPr>
            <w:rStyle w:val="Hyperlink"/>
            <w:rFonts w:asciiTheme="majorBidi" w:hAnsiTheme="majorBidi" w:cstheme="majorBidi"/>
            <w:szCs w:val="24"/>
          </w:rPr>
          <w:t>/</w:t>
        </w:r>
        <w:r w:rsidRPr="007D0580">
          <w:rPr>
            <w:rStyle w:val="Hyperlink"/>
            <w:rFonts w:asciiTheme="majorBidi" w:hAnsiTheme="majorBidi" w:cstheme="majorBidi"/>
            <w:szCs w:val="24"/>
          </w:rPr>
          <w:t>490</w:t>
        </w:r>
      </w:hyperlink>
      <w:r>
        <w:rPr>
          <w:rFonts w:asciiTheme="majorBidi" w:hAnsiTheme="majorBidi" w:cstheme="majorBidi"/>
          <w:color w:val="000080"/>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Methodology for the subjective assessment of the quali</w:t>
      </w:r>
      <w:r w:rsidR="009966D9">
        <w:rPr>
          <w:rFonts w:asciiTheme="majorBidi" w:hAnsiTheme="majorBidi" w:cstheme="majorBidi"/>
          <w:color w:val="000000" w:themeColor="text1"/>
          <w:szCs w:val="24"/>
        </w:rPr>
        <w:t>ty of television pictures (PDRR </w:t>
      </w:r>
      <w:r w:rsidRPr="00512FD2">
        <w:rPr>
          <w:rFonts w:asciiTheme="majorBidi" w:hAnsiTheme="majorBidi" w:cstheme="majorBidi"/>
          <w:color w:val="000000" w:themeColor="text1"/>
          <w:szCs w:val="24"/>
        </w:rPr>
        <w:t xml:space="preserve">ITU-R BT.500-12 in Annex 7 to </w:t>
      </w:r>
      <w:hyperlink r:id="rId33" w:history="1">
        <w:r w:rsidRPr="007D0580">
          <w:rPr>
            <w:rStyle w:val="Hyperlink"/>
            <w:rFonts w:asciiTheme="majorBidi" w:hAnsiTheme="majorBidi" w:cstheme="majorBidi"/>
            <w:szCs w:val="24"/>
          </w:rPr>
          <w:t>Document 6C/490</w:t>
        </w:r>
      </w:hyperlink>
      <w:r>
        <w:rPr>
          <w:rFonts w:asciiTheme="majorBidi" w:hAnsiTheme="majorBidi" w:cstheme="majorBidi"/>
          <w:color w:val="000080"/>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Requirements for loudness and true-peak indicating meters (PDRR ITU-R BS.1771 in Annex 8 to </w:t>
      </w:r>
      <w:hyperlink r:id="rId34" w:history="1">
        <w:r w:rsidRPr="007D0580">
          <w:rPr>
            <w:rStyle w:val="Hyperlink"/>
            <w:rFonts w:asciiTheme="majorBidi" w:hAnsiTheme="majorBidi" w:cstheme="majorBidi"/>
            <w:szCs w:val="24"/>
          </w:rPr>
          <w:t>Document 6C/490</w:t>
        </w:r>
      </w:hyperlink>
      <w:r>
        <w:rPr>
          <w:rFonts w:asciiTheme="majorBidi" w:hAnsiTheme="majorBidi" w:cstheme="majorBidi"/>
          <w:color w:val="000080"/>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Performance requirements for a 3DTV system for broadcasting and international programme exchange (Working document towards a PDNR ITU-R BT.[3DTV-REQS] in Annex 9 to </w:t>
      </w:r>
      <w:hyperlink r:id="rId35" w:history="1">
        <w:r w:rsidRPr="007D0580">
          <w:rPr>
            <w:rStyle w:val="Hyperlink"/>
            <w:rFonts w:asciiTheme="majorBidi" w:hAnsiTheme="majorBidi" w:cstheme="majorBidi"/>
            <w:szCs w:val="24"/>
          </w:rPr>
          <w:t>Document 6C/490</w:t>
        </w:r>
      </w:hyperlink>
      <w:r>
        <w:rPr>
          <w:rFonts w:asciiTheme="majorBidi" w:hAnsiTheme="majorBidi" w:cstheme="majorBidi"/>
          <w:color w:val="000080"/>
          <w:szCs w:val="24"/>
        </w:rPr>
        <w:t>)</w:t>
      </w:r>
    </w:p>
    <w:p w:rsid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Subjective methods for the assessment of stereoscopic three-dimensional television (3DTV) systems (Working document towards a PDNR ITU-R BT.[3DTV SUBMETH] in Annex 10 to </w:t>
      </w:r>
      <w:hyperlink r:id="rId36" w:history="1">
        <w:r w:rsidRPr="007D0580">
          <w:rPr>
            <w:rStyle w:val="Hyperlink"/>
            <w:rFonts w:asciiTheme="majorBidi" w:hAnsiTheme="majorBidi" w:cstheme="majorBidi"/>
            <w:szCs w:val="24"/>
          </w:rPr>
          <w:t>Document 6C/490</w:t>
        </w:r>
      </w:hyperlink>
      <w:r>
        <w:rPr>
          <w:rFonts w:asciiTheme="majorBidi" w:hAnsiTheme="majorBidi" w:cstheme="majorBidi"/>
          <w:color w:val="000080"/>
          <w:szCs w:val="24"/>
        </w:rPr>
        <w:t>)</w:t>
      </w:r>
    </w:p>
    <w:p w:rsidR="00512FD2" w:rsidRPr="00512FD2" w:rsidRDefault="00512FD2" w:rsidP="00512FD2">
      <w:pPr>
        <w:ind w:left="794" w:hanging="794"/>
        <w:rPr>
          <w:rFonts w:asciiTheme="majorBidi" w:hAnsiTheme="majorBidi" w:cstheme="majorBidi"/>
          <w:color w:val="000080"/>
          <w:szCs w:val="24"/>
        </w:rPr>
      </w:pPr>
      <w:r>
        <w:rPr>
          <w:rFonts w:asciiTheme="majorBidi" w:hAnsiTheme="majorBidi" w:cstheme="majorBidi"/>
          <w:color w:val="000000" w:themeColor="text1"/>
          <w:szCs w:val="24"/>
        </w:rPr>
        <w:t>–</w:t>
      </w:r>
      <w:r>
        <w:rPr>
          <w:rFonts w:asciiTheme="majorBidi" w:hAnsiTheme="majorBidi" w:cstheme="majorBidi"/>
          <w:color w:val="000000" w:themeColor="text1"/>
          <w:szCs w:val="24"/>
        </w:rPr>
        <w:tab/>
      </w:r>
      <w:r w:rsidRPr="00512FD2">
        <w:rPr>
          <w:rFonts w:asciiTheme="majorBidi" w:hAnsiTheme="majorBidi" w:cstheme="majorBidi"/>
          <w:color w:val="000000" w:themeColor="text1"/>
          <w:szCs w:val="24"/>
        </w:rPr>
        <w:t xml:space="preserve">Algorithms to measure audio programme loudness and true-peak audio level </w:t>
      </w:r>
      <w:r w:rsidRPr="00512FD2">
        <w:rPr>
          <w:rFonts w:asciiTheme="majorBidi" w:hAnsiTheme="majorBidi" w:cstheme="majorBidi"/>
          <w:color w:val="000000" w:themeColor="text1"/>
          <w:szCs w:val="24"/>
          <w:lang w:val="en-US"/>
        </w:rPr>
        <w:t>(</w:t>
      </w:r>
      <w:r w:rsidRPr="00512FD2">
        <w:rPr>
          <w:rFonts w:asciiTheme="majorBidi" w:hAnsiTheme="majorBidi" w:cstheme="majorBidi"/>
          <w:color w:val="000000" w:themeColor="text1"/>
          <w:szCs w:val="24"/>
        </w:rPr>
        <w:t>Working document towards a</w:t>
      </w:r>
      <w:r w:rsidRPr="00512FD2">
        <w:rPr>
          <w:rFonts w:asciiTheme="majorBidi" w:hAnsiTheme="majorBidi" w:cstheme="majorBidi"/>
          <w:color w:val="000000" w:themeColor="text1"/>
          <w:szCs w:val="24"/>
          <w:lang w:val="en-US"/>
        </w:rPr>
        <w:t xml:space="preserve"> PDRR </w:t>
      </w:r>
      <w:r w:rsidRPr="00512FD2">
        <w:rPr>
          <w:rFonts w:asciiTheme="majorBidi" w:hAnsiTheme="majorBidi" w:cstheme="majorBidi"/>
          <w:color w:val="000000" w:themeColor="text1"/>
          <w:szCs w:val="24"/>
        </w:rPr>
        <w:t xml:space="preserve">ITU-R BS.1770-2 in Annex 11 to </w:t>
      </w:r>
      <w:hyperlink r:id="rId37" w:history="1">
        <w:r w:rsidRPr="007D0580">
          <w:rPr>
            <w:rStyle w:val="Hyperlink"/>
            <w:rFonts w:asciiTheme="majorBidi" w:hAnsiTheme="majorBidi" w:cstheme="majorBidi"/>
            <w:szCs w:val="24"/>
          </w:rPr>
          <w:t>Document 6C/490</w:t>
        </w:r>
      </w:hyperlink>
      <w:r>
        <w:rPr>
          <w:rFonts w:asciiTheme="majorBidi" w:hAnsiTheme="majorBidi" w:cstheme="majorBidi"/>
          <w:color w:val="000080"/>
          <w:szCs w:val="24"/>
        </w:rPr>
        <w:t>)</w:t>
      </w:r>
    </w:p>
    <w:p w:rsidR="00512FD2" w:rsidRPr="00512FD2" w:rsidRDefault="00512FD2" w:rsidP="00512FD2">
      <w:pPr>
        <w:rPr>
          <w:rFonts w:asciiTheme="majorBidi" w:hAnsiTheme="majorBidi" w:cstheme="majorBidi"/>
          <w:szCs w:val="24"/>
        </w:rPr>
      </w:pPr>
      <w:bookmarkStart w:id="4" w:name="_GoBack"/>
      <w:bookmarkEnd w:id="4"/>
    </w:p>
    <w:p w:rsidR="00512FD2" w:rsidRDefault="00512FD2" w:rsidP="00512FD2">
      <w:pPr>
        <w:pStyle w:val="NormalWeb"/>
        <w:rPr>
          <w:rFonts w:asciiTheme="majorBidi" w:hAnsiTheme="majorBidi" w:cstheme="majorBidi"/>
          <w:sz w:val="24"/>
          <w:szCs w:val="24"/>
        </w:rPr>
      </w:pPr>
    </w:p>
    <w:p w:rsidR="00512FD2" w:rsidRDefault="00512FD2" w:rsidP="00512FD2">
      <w:pPr>
        <w:pStyle w:val="NormalWeb"/>
        <w:rPr>
          <w:rFonts w:asciiTheme="majorBidi" w:hAnsiTheme="majorBidi" w:cstheme="majorBidi"/>
          <w:sz w:val="24"/>
          <w:szCs w:val="24"/>
        </w:rPr>
      </w:pPr>
    </w:p>
    <w:p w:rsidR="00512FD2" w:rsidRDefault="00512FD2" w:rsidP="00512FD2">
      <w:pPr>
        <w:pStyle w:val="NormalWeb"/>
        <w:rPr>
          <w:rFonts w:asciiTheme="majorBidi" w:hAnsiTheme="majorBidi" w:cstheme="majorBidi"/>
          <w:sz w:val="24"/>
          <w:szCs w:val="24"/>
        </w:rPr>
      </w:pPr>
    </w:p>
    <w:p w:rsidR="00512FD2" w:rsidRDefault="00512FD2" w:rsidP="00512FD2">
      <w:pPr>
        <w:pStyle w:val="NormalWeb"/>
        <w:rPr>
          <w:rFonts w:asciiTheme="majorBidi" w:hAnsiTheme="majorBidi" w:cstheme="majorBidi"/>
          <w:sz w:val="24"/>
          <w:szCs w:val="24"/>
        </w:rPr>
      </w:pPr>
    </w:p>
    <w:p w:rsidR="00512FD2" w:rsidRDefault="00512FD2" w:rsidP="00512FD2">
      <w:pPr>
        <w:pStyle w:val="NormalWeb"/>
        <w:jc w:val="center"/>
        <w:rPr>
          <w:rFonts w:asciiTheme="majorBidi" w:hAnsiTheme="majorBidi" w:cstheme="majorBidi"/>
          <w:sz w:val="24"/>
          <w:szCs w:val="24"/>
        </w:rPr>
      </w:pPr>
      <w:r>
        <w:rPr>
          <w:rFonts w:asciiTheme="majorBidi" w:hAnsiTheme="majorBidi" w:cstheme="majorBidi"/>
          <w:sz w:val="24"/>
          <w:szCs w:val="24"/>
        </w:rPr>
        <w:t>_______________</w:t>
      </w:r>
    </w:p>
    <w:sectPr w:rsidR="00512FD2">
      <w:headerReference w:type="default" r:id="rId38"/>
      <w:footerReference w:type="default" r:id="rId39"/>
      <w:footerReference w:type="first" r:id="rId4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A2" w:rsidRDefault="000357A2">
      <w:r>
        <w:separator/>
      </w:r>
    </w:p>
  </w:endnote>
  <w:endnote w:type="continuationSeparator" w:id="0">
    <w:p w:rsidR="000357A2" w:rsidRDefault="0003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A2" w:rsidRDefault="000F0D7A">
    <w:pPr>
      <w:pStyle w:val="Footer"/>
    </w:pPr>
    <w:r>
      <w:fldChar w:fldCharType="begin"/>
    </w:r>
    <w:r>
      <w:instrText xml:space="preserve"> FILENAME  \p  \* MERGEFORMAT </w:instrText>
    </w:r>
    <w:r>
      <w:fldChar w:fldCharType="separate"/>
    </w:r>
    <w:r>
      <w:t>Y:\APP\BR\CIRCS_DMS\CACE\500\544\544e.docx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0357A2">
      <w:trPr>
        <w:cantSplit/>
      </w:trPr>
      <w:tc>
        <w:tcPr>
          <w:tcW w:w="1062" w:type="pct"/>
          <w:tcBorders>
            <w:top w:val="single" w:sz="6" w:space="0" w:color="auto"/>
          </w:tcBorders>
          <w:tcMar>
            <w:top w:w="57" w:type="dxa"/>
          </w:tcMar>
        </w:tcPr>
        <w:p w:rsidR="000357A2" w:rsidRDefault="000357A2">
          <w:pPr>
            <w:pStyle w:val="itu"/>
          </w:pPr>
          <w:r>
            <w:t>Place des Nations</w:t>
          </w:r>
        </w:p>
      </w:tc>
      <w:tc>
        <w:tcPr>
          <w:tcW w:w="1583" w:type="pct"/>
          <w:tcBorders>
            <w:top w:val="single" w:sz="6" w:space="0" w:color="auto"/>
          </w:tcBorders>
          <w:tcMar>
            <w:top w:w="57" w:type="dxa"/>
          </w:tcMar>
        </w:tcPr>
        <w:p w:rsidR="000357A2" w:rsidRDefault="000357A2">
          <w:pPr>
            <w:pStyle w:val="itu"/>
          </w:pPr>
          <w:r>
            <w:t>Telephone</w:t>
          </w:r>
          <w:r>
            <w:tab/>
            <w:t>+41 22 730 51 11</w:t>
          </w:r>
        </w:p>
      </w:tc>
      <w:tc>
        <w:tcPr>
          <w:tcW w:w="1224" w:type="pct"/>
          <w:tcBorders>
            <w:top w:val="single" w:sz="6" w:space="0" w:color="auto"/>
          </w:tcBorders>
          <w:tcMar>
            <w:top w:w="57" w:type="dxa"/>
          </w:tcMar>
        </w:tcPr>
        <w:p w:rsidR="000357A2" w:rsidRDefault="000357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357A2" w:rsidRDefault="000357A2">
          <w:pPr>
            <w:pStyle w:val="itu"/>
          </w:pPr>
          <w:r>
            <w:t>E-mail:</w:t>
          </w:r>
          <w:r>
            <w:tab/>
            <w:t>itumail@itu.int</w:t>
          </w:r>
        </w:p>
      </w:tc>
    </w:tr>
    <w:tr w:rsidR="000357A2">
      <w:trPr>
        <w:cantSplit/>
      </w:trPr>
      <w:tc>
        <w:tcPr>
          <w:tcW w:w="1062" w:type="pct"/>
        </w:tcPr>
        <w:p w:rsidR="000357A2" w:rsidRDefault="000357A2">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0357A2" w:rsidRDefault="000357A2">
          <w:pPr>
            <w:pStyle w:val="itu"/>
          </w:pPr>
          <w:r>
            <w:t>Telefax</w:t>
          </w:r>
          <w:r>
            <w:tab/>
            <w:t>Gr3:</w:t>
          </w:r>
          <w:r>
            <w:tab/>
            <w:t>+41 22 733 72 56</w:t>
          </w:r>
        </w:p>
      </w:tc>
      <w:tc>
        <w:tcPr>
          <w:tcW w:w="1224" w:type="pct"/>
        </w:tcPr>
        <w:p w:rsidR="000357A2" w:rsidRDefault="000357A2">
          <w:pPr>
            <w:pStyle w:val="itu"/>
          </w:pPr>
          <w:r>
            <w:t>Telegram ITU GENEVE</w:t>
          </w:r>
        </w:p>
      </w:tc>
      <w:tc>
        <w:tcPr>
          <w:tcW w:w="1131" w:type="pct"/>
        </w:tcPr>
        <w:p w:rsidR="000357A2" w:rsidRDefault="000357A2">
          <w:pPr>
            <w:pStyle w:val="itu"/>
          </w:pPr>
          <w:r>
            <w:tab/>
          </w:r>
          <w:hyperlink r:id="rId1" w:history="1">
            <w:r>
              <w:t>http://www.itu.int/</w:t>
            </w:r>
          </w:hyperlink>
        </w:p>
      </w:tc>
    </w:tr>
    <w:tr w:rsidR="000357A2">
      <w:trPr>
        <w:cantSplit/>
      </w:trPr>
      <w:tc>
        <w:tcPr>
          <w:tcW w:w="1062" w:type="pct"/>
        </w:tcPr>
        <w:p w:rsidR="000357A2" w:rsidRDefault="000357A2">
          <w:pPr>
            <w:pStyle w:val="itu"/>
          </w:pPr>
          <w:smartTag w:uri="urn:schemas-microsoft-com:office:smarttags" w:element="country-region">
            <w:smartTag w:uri="urn:schemas-microsoft-com:office:smarttags" w:element="place">
              <w:r>
                <w:t>Switzerland</w:t>
              </w:r>
            </w:smartTag>
          </w:smartTag>
        </w:p>
      </w:tc>
      <w:tc>
        <w:tcPr>
          <w:tcW w:w="1583" w:type="pct"/>
        </w:tcPr>
        <w:p w:rsidR="000357A2" w:rsidRDefault="000357A2">
          <w:pPr>
            <w:pStyle w:val="itu"/>
          </w:pPr>
          <w:r>
            <w:tab/>
            <w:t>Gr4:</w:t>
          </w:r>
          <w:r>
            <w:tab/>
            <w:t>+41 22 730 65 00</w:t>
          </w:r>
        </w:p>
      </w:tc>
      <w:tc>
        <w:tcPr>
          <w:tcW w:w="1224" w:type="pct"/>
        </w:tcPr>
        <w:p w:rsidR="000357A2" w:rsidRDefault="000357A2">
          <w:pPr>
            <w:pStyle w:val="itu"/>
          </w:pPr>
        </w:p>
      </w:tc>
      <w:tc>
        <w:tcPr>
          <w:tcW w:w="1131" w:type="pct"/>
        </w:tcPr>
        <w:p w:rsidR="000357A2" w:rsidRDefault="000357A2">
          <w:pPr>
            <w:pStyle w:val="itu"/>
          </w:pPr>
        </w:p>
      </w:tc>
    </w:tr>
  </w:tbl>
  <w:p w:rsidR="000357A2" w:rsidRPr="009E1957" w:rsidRDefault="000357A2"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A2" w:rsidRDefault="000357A2">
      <w:r>
        <w:t>____________________</w:t>
      </w:r>
    </w:p>
  </w:footnote>
  <w:footnote w:type="continuationSeparator" w:id="0">
    <w:p w:rsidR="000357A2" w:rsidRDefault="00035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A2" w:rsidRDefault="000357A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F0D7A">
      <w:rPr>
        <w:rStyle w:val="PageNumber"/>
        <w:noProof/>
      </w:rPr>
      <w:t>6</w:t>
    </w:r>
    <w:r>
      <w:rPr>
        <w:rStyle w:val="PageNumber"/>
      </w:rPr>
      <w:fldChar w:fldCharType="end"/>
    </w:r>
    <w:r>
      <w:rPr>
        <w:rStyle w:val="PageNumber"/>
      </w:rPr>
      <w:t xml:space="preserve"> -</w:t>
    </w:r>
  </w:p>
  <w:p w:rsidR="000357A2" w:rsidRPr="001E15AA" w:rsidRDefault="000357A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83"/>
    <w:rsid w:val="00016557"/>
    <w:rsid w:val="000357A2"/>
    <w:rsid w:val="000D1D2A"/>
    <w:rsid w:val="000E15C1"/>
    <w:rsid w:val="000E64DA"/>
    <w:rsid w:val="000F0D7A"/>
    <w:rsid w:val="000F527D"/>
    <w:rsid w:val="001015D6"/>
    <w:rsid w:val="001E15AA"/>
    <w:rsid w:val="00210B45"/>
    <w:rsid w:val="00227F65"/>
    <w:rsid w:val="003D3993"/>
    <w:rsid w:val="0044634B"/>
    <w:rsid w:val="004A5AB1"/>
    <w:rsid w:val="004C1881"/>
    <w:rsid w:val="004F26AE"/>
    <w:rsid w:val="0050552C"/>
    <w:rsid w:val="00512FD2"/>
    <w:rsid w:val="005414DF"/>
    <w:rsid w:val="00595800"/>
    <w:rsid w:val="005F130D"/>
    <w:rsid w:val="005F7F4C"/>
    <w:rsid w:val="006136BC"/>
    <w:rsid w:val="006B3F95"/>
    <w:rsid w:val="0071106C"/>
    <w:rsid w:val="00746900"/>
    <w:rsid w:val="00811467"/>
    <w:rsid w:val="00881D43"/>
    <w:rsid w:val="008C1983"/>
    <w:rsid w:val="008D4874"/>
    <w:rsid w:val="0093776F"/>
    <w:rsid w:val="009676DC"/>
    <w:rsid w:val="009746CA"/>
    <w:rsid w:val="009846D5"/>
    <w:rsid w:val="009966D9"/>
    <w:rsid w:val="009C0681"/>
    <w:rsid w:val="009E14F3"/>
    <w:rsid w:val="009E1957"/>
    <w:rsid w:val="00A06093"/>
    <w:rsid w:val="00AB07C5"/>
    <w:rsid w:val="00AB1815"/>
    <w:rsid w:val="00AB327F"/>
    <w:rsid w:val="00B57344"/>
    <w:rsid w:val="00B87E04"/>
    <w:rsid w:val="00BB0777"/>
    <w:rsid w:val="00D35752"/>
    <w:rsid w:val="00D463D0"/>
    <w:rsid w:val="00D61395"/>
    <w:rsid w:val="00D744B4"/>
    <w:rsid w:val="00EC710F"/>
    <w:rsid w:val="00EF7E37"/>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aliases w:val="Section of paper Char,título 1 Char"/>
    <w:basedOn w:val="DefaultParagraphFont"/>
    <w:link w:val="Heading1"/>
    <w:uiPriority w:val="99"/>
    <w:rsid w:val="00512FD2"/>
    <w:rPr>
      <w:rFonts w:ascii="Times New Roman" w:hAnsi="Times New Roman"/>
      <w:b/>
      <w:sz w:val="24"/>
      <w:lang w:val="en-GB" w:eastAsia="en-US"/>
    </w:rPr>
  </w:style>
  <w:style w:type="character" w:customStyle="1" w:styleId="Heading2Char">
    <w:name w:val="Heading 2 Char"/>
    <w:basedOn w:val="DefaultParagraphFont"/>
    <w:link w:val="Heading2"/>
    <w:rsid w:val="00512FD2"/>
    <w:rPr>
      <w:rFonts w:ascii="Times New Roman" w:hAnsi="Times New Roman"/>
      <w:b/>
      <w:sz w:val="24"/>
      <w:lang w:val="en-GB" w:eastAsia="en-US"/>
    </w:rPr>
  </w:style>
  <w:style w:type="paragraph" w:customStyle="1" w:styleId="Times">
    <w:name w:val="Times"/>
    <w:basedOn w:val="Normal"/>
    <w:rsid w:val="00512FD2"/>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rsid w:val="00512FD2"/>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rsid w:val="00512FD2"/>
    <w:rPr>
      <w:rFonts w:ascii="Times New Roman" w:eastAsia="MS Mincho" w:hAnsi="Times New Roman"/>
      <w:sz w:val="16"/>
      <w:u w:val="single"/>
      <w:lang w:val="en-GB" w:eastAsia="en-US"/>
    </w:rPr>
  </w:style>
  <w:style w:type="paragraph" w:styleId="BodyTextIndent">
    <w:name w:val="Body Text Indent"/>
    <w:basedOn w:val="Normal"/>
    <w:link w:val="BodyTextIndentChar"/>
    <w:rsid w:val="00512FD2"/>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512FD2"/>
    <w:rPr>
      <w:rFonts w:ascii="Times New Roman" w:eastAsia="MS Mincho" w:hAnsi="Times New Roman"/>
      <w:sz w:val="16"/>
      <w:lang w:val="en-GB" w:eastAsia="en-US"/>
    </w:rPr>
  </w:style>
  <w:style w:type="paragraph" w:customStyle="1" w:styleId="fig">
    <w:name w:val="fig"/>
    <w:basedOn w:val="Normal"/>
    <w:next w:val="Heading4"/>
    <w:rsid w:val="00512FD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512FD2"/>
    <w:rPr>
      <w:color w:val="0000FF"/>
      <w:u w:val="single"/>
    </w:rPr>
  </w:style>
  <w:style w:type="character" w:customStyle="1" w:styleId="href">
    <w:name w:val="href"/>
    <w:basedOn w:val="DefaultParagraphFont"/>
    <w:rsid w:val="00512FD2"/>
    <w:rPr>
      <w:rFonts w:cs="Times New Roman"/>
    </w:rPr>
  </w:style>
  <w:style w:type="paragraph" w:styleId="NormalWeb">
    <w:name w:val="Normal (Web)"/>
    <w:basedOn w:val="Normal"/>
    <w:uiPriority w:val="99"/>
    <w:unhideWhenUsed/>
    <w:rsid w:val="00512FD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ListParagraph">
    <w:name w:val="List Paragraph"/>
    <w:basedOn w:val="Normal"/>
    <w:uiPriority w:val="34"/>
    <w:qFormat/>
    <w:rsid w:val="00512FD2"/>
    <w:pPr>
      <w:ind w:left="720"/>
      <w:contextualSpacing/>
    </w:pPr>
  </w:style>
  <w:style w:type="character" w:styleId="FollowedHyperlink">
    <w:name w:val="FollowedHyperlink"/>
    <w:basedOn w:val="DefaultParagraphFont"/>
    <w:rsid w:val="00512F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aliases w:val="Section of paper Char,título 1 Char"/>
    <w:basedOn w:val="DefaultParagraphFont"/>
    <w:link w:val="Heading1"/>
    <w:uiPriority w:val="99"/>
    <w:rsid w:val="00512FD2"/>
    <w:rPr>
      <w:rFonts w:ascii="Times New Roman" w:hAnsi="Times New Roman"/>
      <w:b/>
      <w:sz w:val="24"/>
      <w:lang w:val="en-GB" w:eastAsia="en-US"/>
    </w:rPr>
  </w:style>
  <w:style w:type="character" w:customStyle="1" w:styleId="Heading2Char">
    <w:name w:val="Heading 2 Char"/>
    <w:basedOn w:val="DefaultParagraphFont"/>
    <w:link w:val="Heading2"/>
    <w:rsid w:val="00512FD2"/>
    <w:rPr>
      <w:rFonts w:ascii="Times New Roman" w:hAnsi="Times New Roman"/>
      <w:b/>
      <w:sz w:val="24"/>
      <w:lang w:val="en-GB" w:eastAsia="en-US"/>
    </w:rPr>
  </w:style>
  <w:style w:type="paragraph" w:customStyle="1" w:styleId="Times">
    <w:name w:val="Times"/>
    <w:basedOn w:val="Normal"/>
    <w:rsid w:val="00512FD2"/>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link w:val="BodyText3Char"/>
    <w:rsid w:val="00512FD2"/>
    <w:pPr>
      <w:tabs>
        <w:tab w:val="left" w:pos="284"/>
        <w:tab w:val="left" w:pos="568"/>
      </w:tabs>
      <w:overflowPunct/>
      <w:autoSpaceDE/>
      <w:autoSpaceDN/>
      <w:adjustRightInd/>
      <w:spacing w:before="0"/>
      <w:textAlignment w:val="auto"/>
    </w:pPr>
    <w:rPr>
      <w:rFonts w:eastAsia="MS Mincho"/>
      <w:sz w:val="16"/>
      <w:u w:val="single"/>
    </w:rPr>
  </w:style>
  <w:style w:type="character" w:customStyle="1" w:styleId="BodyText3Char">
    <w:name w:val="Body Text 3 Char"/>
    <w:basedOn w:val="DefaultParagraphFont"/>
    <w:link w:val="BodyText3"/>
    <w:rsid w:val="00512FD2"/>
    <w:rPr>
      <w:rFonts w:ascii="Times New Roman" w:eastAsia="MS Mincho" w:hAnsi="Times New Roman"/>
      <w:sz w:val="16"/>
      <w:u w:val="single"/>
      <w:lang w:val="en-GB" w:eastAsia="en-US"/>
    </w:rPr>
  </w:style>
  <w:style w:type="paragraph" w:styleId="BodyTextIndent">
    <w:name w:val="Body Text Indent"/>
    <w:basedOn w:val="Normal"/>
    <w:link w:val="BodyTextIndentChar"/>
    <w:rsid w:val="00512FD2"/>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512FD2"/>
    <w:rPr>
      <w:rFonts w:ascii="Times New Roman" w:eastAsia="MS Mincho" w:hAnsi="Times New Roman"/>
      <w:sz w:val="16"/>
      <w:lang w:val="en-GB" w:eastAsia="en-US"/>
    </w:rPr>
  </w:style>
  <w:style w:type="paragraph" w:customStyle="1" w:styleId="fig">
    <w:name w:val="fig"/>
    <w:basedOn w:val="Normal"/>
    <w:next w:val="Heading4"/>
    <w:rsid w:val="00512FD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512FD2"/>
    <w:rPr>
      <w:color w:val="0000FF"/>
      <w:u w:val="single"/>
    </w:rPr>
  </w:style>
  <w:style w:type="character" w:customStyle="1" w:styleId="href">
    <w:name w:val="href"/>
    <w:basedOn w:val="DefaultParagraphFont"/>
    <w:rsid w:val="00512FD2"/>
    <w:rPr>
      <w:rFonts w:cs="Times New Roman"/>
    </w:rPr>
  </w:style>
  <w:style w:type="paragraph" w:styleId="NormalWeb">
    <w:name w:val="Normal (Web)"/>
    <w:basedOn w:val="Normal"/>
    <w:uiPriority w:val="99"/>
    <w:unhideWhenUsed/>
    <w:rsid w:val="00512FD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ListParagraph">
    <w:name w:val="List Paragraph"/>
    <w:basedOn w:val="Normal"/>
    <w:uiPriority w:val="34"/>
    <w:qFormat/>
    <w:rsid w:val="00512FD2"/>
    <w:pPr>
      <w:ind w:left="720"/>
      <w:contextualSpacing/>
    </w:pPr>
  </w:style>
  <w:style w:type="character" w:styleId="FollowedHyperlink">
    <w:name w:val="FollowedHyperlink"/>
    <w:basedOn w:val="DefaultParagraphFont"/>
    <w:rsid w:val="00512F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run.as/itu.int/jr158e" TargetMode="External"/><Relationship Id="rId18" Type="http://schemas.openxmlformats.org/officeDocument/2006/relationships/hyperlink" Target="http://www.itu.int/md/R07-SG06-C-0371/en" TargetMode="External"/><Relationship Id="rId26" Type="http://schemas.openxmlformats.org/officeDocument/2006/relationships/hyperlink" Target="http://www.itu.int/md/R07-WP6B-C-0280/en"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itu.int/md/R07-WP6A-C-0546/en" TargetMode="External"/><Relationship Id="rId34" Type="http://schemas.openxmlformats.org/officeDocument/2006/relationships/hyperlink" Target="http://www.itu.int/md/R07-WP6c-C-049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http://www.itu.int/travel/index.html" TargetMode="External"/><Relationship Id="rId25" Type="http://schemas.openxmlformats.org/officeDocument/2006/relationships/hyperlink" Target="http://www.itu.int/md/R07-WP6B-C-0280/en" TargetMode="External"/><Relationship Id="rId33" Type="http://schemas.openxmlformats.org/officeDocument/2006/relationships/hyperlink" Target="http://www.itu.int/md/R07-WP6c-C-0490"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sg6@itu.int" TargetMode="External"/><Relationship Id="rId20" Type="http://schemas.openxmlformats.org/officeDocument/2006/relationships/hyperlink" Target="http://www.itu.int/md/R07-WP6A-C-0546/en" TargetMode="External"/><Relationship Id="rId29" Type="http://schemas.openxmlformats.org/officeDocument/2006/relationships/hyperlink" Target="http://www.itu.int/md/R07-WP6c-C-049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go/r07-SG06-c/en" TargetMode="External"/><Relationship Id="rId24" Type="http://schemas.openxmlformats.org/officeDocument/2006/relationships/hyperlink" Target="http://www.itu.int/md/R07-WP6A-C-0546/en" TargetMode="External"/><Relationship Id="rId32" Type="http://schemas.openxmlformats.org/officeDocument/2006/relationships/hyperlink" Target="http://www.itu.int/md/R07-WP6c-C-0490" TargetMode="External"/><Relationship Id="rId37" Type="http://schemas.openxmlformats.org/officeDocument/2006/relationships/hyperlink" Target="http://www.itu.int/md/R07-WP6c-C-0490"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hyperlink" Target="http://www.itu.int/md/R07-WP6A-C-0546/en" TargetMode="External"/><Relationship Id="rId28" Type="http://schemas.openxmlformats.org/officeDocument/2006/relationships/hyperlink" Target="http://www.itu.int/md/R07-WP6c-C-0490" TargetMode="External"/><Relationship Id="rId36" Type="http://schemas.openxmlformats.org/officeDocument/2006/relationships/hyperlink" Target="http://www.itu.int/md/R07-WP6c-C-0490" TargetMode="External"/><Relationship Id="rId10" Type="http://schemas.openxmlformats.org/officeDocument/2006/relationships/hyperlink" Target="http://www.itu.int/ITU-R/go/que-rsg6/en" TargetMode="External"/><Relationship Id="rId19" Type="http://schemas.openxmlformats.org/officeDocument/2006/relationships/hyperlink" Target="http://www.itu.int/md/R07-WP6A-C-0546/en" TargetMode="External"/><Relationship Id="rId31" Type="http://schemas.openxmlformats.org/officeDocument/2006/relationships/hyperlink" Target="http://www.itu.int/md/R07-WP6c-C-0490" TargetMode="External"/><Relationship Id="rId4" Type="http://schemas.openxmlformats.org/officeDocument/2006/relationships/settings" Target="settings.xml"/><Relationship Id="rId9" Type="http://schemas.openxmlformats.org/officeDocument/2006/relationships/hyperlink" Target="http://www.itu.int/md/R00-SG06-CIR-0075/en" TargetMode="External"/><Relationship Id="rId14" Type="http://schemas.openxmlformats.org/officeDocument/2006/relationships/hyperlink" Target="http://www.itu.int/ITU-R/go/delegate-reg-info/en" TargetMode="External"/><Relationship Id="rId22" Type="http://schemas.openxmlformats.org/officeDocument/2006/relationships/hyperlink" Target="http://www.itu.int/md/R07-WP6A-C-0546/en" TargetMode="External"/><Relationship Id="rId27" Type="http://schemas.openxmlformats.org/officeDocument/2006/relationships/hyperlink" Target="http://www.itu.int/md/R07-WP6B-C-0280/en" TargetMode="External"/><Relationship Id="rId30" Type="http://schemas.openxmlformats.org/officeDocument/2006/relationships/hyperlink" Target="http://www.itu.int/md/R07-WP6c-C-0490" TargetMode="External"/><Relationship Id="rId35" Type="http://schemas.openxmlformats.org/officeDocument/2006/relationships/hyperlink" Target="http://www.itu.int/md/R07-WP6c-C-049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24</TotalTime>
  <Pages>6</Pages>
  <Words>1638</Words>
  <Characters>11064</Characters>
  <Application>Microsoft Office Word</Application>
  <DocSecurity>0</DocSecurity>
  <Lines>92</Lines>
  <Paragraphs>25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vt:lpstr>
      <vt:lpstr>1	Introduction</vt:lpstr>
      <vt:lpstr>2	Programme of the meeting</vt:lpstr>
      <vt:lpstr>    2.1	Adoption of draft Recommendations at the Study Group meeting  (§ 10.2.2 of R</vt:lpstr>
      <vt:lpstr>    2.2	Adoption of draft Recommendations by a Study Group by correspondence  (§ 10.</vt:lpstr>
      <vt:lpstr>    2.3	Decision on approval procedure</vt:lpstr>
      <vt:lpstr>3	Contributions</vt:lpstr>
      <vt:lpstr>4	Participation/Visa requirements</vt:lpstr>
      <vt:lpstr>5	Interpretation</vt:lpstr>
    </vt:vector>
  </TitlesOfParts>
  <Company>ITU</Company>
  <LinksUpToDate>false</LinksUpToDate>
  <CharactersWithSpaces>12677</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Fernandez Virginia</dc:creator>
  <cp:keywords/>
  <dc:description/>
  <cp:lastModifiedBy>Fernandez Virginia</cp:lastModifiedBy>
  <cp:revision>6</cp:revision>
  <cp:lastPrinted>2011-06-30T12:36:00Z</cp:lastPrinted>
  <dcterms:created xsi:type="dcterms:W3CDTF">2011-06-24T06:46:00Z</dcterms:created>
  <dcterms:modified xsi:type="dcterms:W3CDTF">2011-06-30T12:36:00Z</dcterms:modified>
</cp:coreProperties>
</file>