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tblW w:w="0" w:type="auto"/>
        <w:tblLook w:val="01E0"/>
      </w:tblPr>
      <w:tblGrid>
        <w:gridCol w:w="8188"/>
        <w:gridCol w:w="1667"/>
      </w:tblGrid>
      <w:tr w:rsidR="00D67D2E" w:rsidRPr="00D35752" w:rsidTr="0051072C">
        <w:tc>
          <w:tcPr>
            <w:tcW w:w="8188" w:type="dxa"/>
            <w:vAlign w:val="center"/>
          </w:tcPr>
          <w:p w:rsidR="00D67D2E" w:rsidRPr="009828BD" w:rsidRDefault="00D67D2E" w:rsidP="00A56E42">
            <w:pPr>
              <w:tabs>
                <w:tab w:val="right" w:pos="8647"/>
              </w:tabs>
              <w:spacing w:before="240"/>
              <w:rPr>
                <w:rFonts w:ascii="SimSun"/>
                <w:sz w:val="36"/>
                <w:szCs w:val="36"/>
              </w:rPr>
            </w:pP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国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际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电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信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联</w:t>
            </w:r>
            <w:r w:rsidRPr="009828BD">
              <w:rPr>
                <w:rFonts w:ascii="SimSun" w:hAnsi="SimSun"/>
                <w:spacing w:val="24"/>
                <w:sz w:val="44"/>
                <w:szCs w:val="44"/>
              </w:rPr>
              <w:t xml:space="preserve"> </w:t>
            </w:r>
            <w:r w:rsidRPr="009828BD">
              <w:rPr>
                <w:rFonts w:ascii="SimSun" w:hAnsi="SimSun" w:hint="eastAsia"/>
                <w:spacing w:val="24"/>
                <w:sz w:val="44"/>
                <w:szCs w:val="44"/>
              </w:rPr>
              <w:t>盟</w:t>
            </w:r>
          </w:p>
          <w:p w:rsidR="00D67D2E" w:rsidRPr="00D35752" w:rsidRDefault="00D67D2E" w:rsidP="00A56E42">
            <w:pPr>
              <w:spacing w:before="0"/>
            </w:pPr>
          </w:p>
        </w:tc>
        <w:tc>
          <w:tcPr>
            <w:tcW w:w="1667" w:type="dxa"/>
          </w:tcPr>
          <w:p w:rsidR="00D67D2E" w:rsidRPr="00D35752" w:rsidRDefault="000D12B0" w:rsidP="00A56E4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904875"/>
                  <wp:effectExtent l="19050" t="0" r="0" b="0"/>
                  <wp:docPr id="1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D67D2E" w:rsidTr="0051072C">
        <w:trPr>
          <w:cantSplit/>
        </w:trPr>
        <w:tc>
          <w:tcPr>
            <w:tcW w:w="5075" w:type="dxa"/>
          </w:tcPr>
          <w:p w:rsidR="00D67D2E" w:rsidRDefault="00D67D2E" w:rsidP="00A56E42">
            <w:pPr>
              <w:tabs>
                <w:tab w:val="right" w:pos="8647"/>
              </w:tabs>
              <w:spacing w:before="0"/>
              <w:rPr>
                <w:rFonts w:ascii="STKaiti" w:eastAsia="STKaiti"/>
                <w:sz w:val="28"/>
                <w:szCs w:val="28"/>
                <w:lang w:eastAsia="zh-CN"/>
              </w:rPr>
            </w:pPr>
            <w:r>
              <w:rPr>
                <w:rFonts w:ascii="STKaiti" w:eastAsia="STKaiti" w:hAnsi="STKaiti" w:hint="eastAsia"/>
                <w:sz w:val="28"/>
                <w:szCs w:val="28"/>
                <w:lang w:eastAsia="zh-CN"/>
              </w:rPr>
              <w:t>无线电通信局</w:t>
            </w:r>
          </w:p>
          <w:p w:rsidR="00D67D2E" w:rsidRDefault="00D67D2E" w:rsidP="00A56E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  <w:lang w:eastAsia="zh-CN"/>
              </w:rPr>
            </w:pPr>
            <w:r>
              <w:rPr>
                <w:rFonts w:ascii="STKaiti" w:hAnsi="STKaiti" w:hint="eastAsia"/>
                <w:sz w:val="20"/>
                <w:lang w:eastAsia="zh-CN"/>
              </w:rPr>
              <w:t>（</w:t>
            </w:r>
            <w:r>
              <w:rPr>
                <w:rFonts w:ascii="STKaiti" w:eastAsia="STKaiti" w:hAnsi="STKaiti" w:hint="eastAsia"/>
                <w:sz w:val="20"/>
                <w:lang w:eastAsia="zh-CN"/>
              </w:rPr>
              <w:t>传真</w:t>
            </w:r>
            <w:r>
              <w:rPr>
                <w:rFonts w:ascii="STKaiti" w:hAnsi="STKaiti" w:hint="eastAsia"/>
                <w:sz w:val="20"/>
                <w:lang w:eastAsia="zh-CN"/>
              </w:rPr>
              <w:t>：</w:t>
            </w:r>
            <w:r>
              <w:rPr>
                <w:sz w:val="20"/>
                <w:lang w:eastAsia="zh-CN"/>
              </w:rPr>
              <w:t>+41 22 730 57 85</w:t>
            </w:r>
            <w:r>
              <w:rPr>
                <w:rFonts w:ascii="STKaiti" w:hAnsi="STKaiti" w:hint="eastAsia"/>
                <w:sz w:val="20"/>
                <w:lang w:eastAsia="zh-CN"/>
              </w:rPr>
              <w:t>）</w:t>
            </w:r>
          </w:p>
        </w:tc>
      </w:tr>
    </w:tbl>
    <w:p w:rsidR="00D67D2E" w:rsidRDefault="00D67D2E" w:rsidP="00A56E42">
      <w:pPr>
        <w:tabs>
          <w:tab w:val="left" w:pos="7513"/>
        </w:tabs>
        <w:rPr>
          <w:lang w:eastAsia="zh-CN"/>
        </w:rPr>
      </w:pPr>
    </w:p>
    <w:tbl>
      <w:tblPr>
        <w:tblW w:w="10020" w:type="dxa"/>
        <w:tblLayout w:type="fixed"/>
        <w:tblLook w:val="0000"/>
      </w:tblPr>
      <w:tblGrid>
        <w:gridCol w:w="2518"/>
        <w:gridCol w:w="7502"/>
      </w:tblGrid>
      <w:tr w:rsidR="00D67D2E" w:rsidTr="0051072C">
        <w:trPr>
          <w:cantSplit/>
        </w:trPr>
        <w:tc>
          <w:tcPr>
            <w:tcW w:w="2518" w:type="dxa"/>
          </w:tcPr>
          <w:p w:rsidR="00D67D2E" w:rsidRPr="00F40936" w:rsidRDefault="00D67D2E" w:rsidP="00A56E42">
            <w:pPr>
              <w:tabs>
                <w:tab w:val="left" w:pos="7513"/>
              </w:tabs>
              <w:jc w:val="center"/>
              <w:rPr>
                <w:rFonts w:ascii="SimSun"/>
                <w:b/>
                <w:lang w:val="fr-FR" w:eastAsia="zh-CN"/>
              </w:rPr>
            </w:pPr>
            <w:bookmarkStart w:id="0" w:name="dletter"/>
            <w:bookmarkEnd w:id="0"/>
            <w:r w:rsidRPr="00F40936">
              <w:rPr>
                <w:rFonts w:ascii="SimSun" w:hAnsi="SimSun" w:hint="eastAsia"/>
                <w:b/>
                <w:lang w:eastAsia="zh-CN"/>
              </w:rPr>
              <w:t>行政通函</w:t>
            </w:r>
          </w:p>
          <w:p w:rsidR="00D67D2E" w:rsidRPr="0068376F" w:rsidRDefault="00D67D2E" w:rsidP="00A56E42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lang w:val="fr-FR" w:eastAsia="zh-CN"/>
              </w:rPr>
            </w:pPr>
            <w:bookmarkStart w:id="1" w:name="dnum"/>
            <w:bookmarkEnd w:id="1"/>
            <w:r w:rsidRPr="00F40936">
              <w:rPr>
                <w:b/>
                <w:bCs/>
                <w:lang w:val="fr-FR" w:eastAsia="zh-CN"/>
              </w:rPr>
              <w:t>CACE/</w:t>
            </w:r>
            <w:r w:rsidR="00FE2737">
              <w:rPr>
                <w:rFonts w:hint="eastAsia"/>
                <w:b/>
                <w:bCs/>
                <w:lang w:val="fr-FR" w:eastAsia="zh-CN"/>
              </w:rPr>
              <w:t>520</w:t>
            </w:r>
          </w:p>
        </w:tc>
        <w:tc>
          <w:tcPr>
            <w:tcW w:w="7502" w:type="dxa"/>
          </w:tcPr>
          <w:p w:rsidR="001F323F" w:rsidRDefault="00D67D2E" w:rsidP="00A56E42">
            <w:pPr>
              <w:tabs>
                <w:tab w:val="left" w:pos="7513"/>
              </w:tabs>
              <w:ind w:right="120"/>
              <w:jc w:val="right"/>
              <w:rPr>
                <w:lang w:eastAsia="zh-CN"/>
              </w:rPr>
            </w:pPr>
            <w:bookmarkStart w:id="2" w:name="ddate"/>
            <w:bookmarkEnd w:id="2"/>
            <w:r>
              <w:rPr>
                <w:lang w:eastAsia="zh-CN"/>
              </w:rPr>
              <w:t>2010</w:t>
            </w:r>
            <w:r>
              <w:rPr>
                <w:rFonts w:hint="eastAsia"/>
                <w:lang w:eastAsia="zh-CN"/>
              </w:rPr>
              <w:t>年</w:t>
            </w:r>
            <w:r w:rsidR="00FE2737"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 w:rsidR="00FE2737"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>日</w:t>
            </w:r>
          </w:p>
        </w:tc>
      </w:tr>
    </w:tbl>
    <w:p w:rsidR="00D67D2E" w:rsidRDefault="00D67D2E" w:rsidP="00A56E42">
      <w:pPr>
        <w:pStyle w:val="Head"/>
        <w:tabs>
          <w:tab w:val="left" w:pos="7513"/>
        </w:tabs>
        <w:spacing w:before="360"/>
        <w:jc w:val="center"/>
        <w:rPr>
          <w:rFonts w:ascii="SimSun"/>
          <w:b/>
          <w:bCs/>
          <w:lang w:eastAsia="zh-CN"/>
        </w:rPr>
      </w:pPr>
      <w:r w:rsidRPr="00147E21">
        <w:rPr>
          <w:rFonts w:ascii="SimSun" w:hAnsi="SimSun" w:hint="eastAsia"/>
          <w:b/>
          <w:bCs/>
          <w:lang w:eastAsia="zh-CN"/>
        </w:rPr>
        <w:t>致国际电联</w:t>
      </w:r>
      <w:r w:rsidRPr="00593F5A">
        <w:rPr>
          <w:rFonts w:ascii="SimSun" w:hAnsi="SimSun" w:hint="eastAsia"/>
          <w:b/>
          <w:spacing w:val="12"/>
          <w:lang w:eastAsia="zh-CN"/>
        </w:rPr>
        <w:t>成员国</w:t>
      </w:r>
      <w:r w:rsidRPr="00147E21">
        <w:rPr>
          <w:rFonts w:ascii="SimSun" w:hAnsi="SimSun" w:hint="eastAsia"/>
          <w:b/>
          <w:bCs/>
          <w:lang w:eastAsia="zh-CN"/>
        </w:rPr>
        <w:t>主管部门</w:t>
      </w:r>
      <w:r>
        <w:rPr>
          <w:rFonts w:ascii="SimSun" w:hAnsi="SimSun" w:hint="eastAsia"/>
          <w:b/>
          <w:bCs/>
          <w:lang w:eastAsia="zh-CN"/>
        </w:rPr>
        <w:t>和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参加无线</w:t>
      </w:r>
      <w:r w:rsidR="00A56E42">
        <w:rPr>
          <w:rFonts w:ascii="SimSun" w:hAnsi="SimSun" w:hint="eastAsia"/>
          <w:b/>
          <w:bCs/>
          <w:lang w:eastAsia="zh-CN"/>
        </w:rPr>
        <w:t>电</w:t>
      </w:r>
      <w:r>
        <w:rPr>
          <w:rFonts w:ascii="SimSun" w:hAnsi="SimSun" w:hint="eastAsia"/>
          <w:b/>
          <w:bCs/>
          <w:lang w:eastAsia="zh-CN"/>
        </w:rPr>
        <w:t>通信</w:t>
      </w:r>
      <w:r>
        <w:rPr>
          <w:rFonts w:ascii="SimSun" w:hAnsi="SimSun" w:hint="eastAsia"/>
          <w:b/>
          <w:bCs/>
          <w:lang w:val="fr-CH" w:eastAsia="zh-CN"/>
        </w:rPr>
        <w:t>第</w:t>
      </w:r>
      <w:r>
        <w:rPr>
          <w:b/>
          <w:bCs/>
          <w:lang w:val="fr-CH" w:eastAsia="zh-CN"/>
        </w:rPr>
        <w:t>4</w:t>
      </w:r>
      <w:r>
        <w:rPr>
          <w:rFonts w:ascii="SimSun" w:hAnsi="SimSun" w:hint="eastAsia"/>
          <w:b/>
          <w:bCs/>
          <w:lang w:eastAsia="zh-CN"/>
        </w:rPr>
        <w:t>研究组及规则</w:t>
      </w:r>
      <w:r>
        <w:rPr>
          <w:rFonts w:ascii="SimSun" w:hAnsi="SimSun"/>
          <w:b/>
          <w:bCs/>
          <w:lang w:eastAsia="zh-CN"/>
        </w:rPr>
        <w:t>/</w:t>
      </w:r>
      <w:r>
        <w:rPr>
          <w:rFonts w:ascii="SimSun" w:hAnsi="SimSun" w:hint="eastAsia"/>
          <w:b/>
          <w:bCs/>
          <w:lang w:eastAsia="zh-CN"/>
        </w:rPr>
        <w:t>程序问题特别委员会</w:t>
      </w:r>
      <w:r>
        <w:rPr>
          <w:rFonts w:ascii="SimSun"/>
          <w:b/>
          <w:bCs/>
          <w:lang w:eastAsia="zh-CN"/>
        </w:rPr>
        <w:br/>
      </w:r>
      <w:r>
        <w:rPr>
          <w:rFonts w:ascii="SimSun" w:hAnsi="SimSun" w:hint="eastAsia"/>
          <w:b/>
          <w:bCs/>
          <w:lang w:eastAsia="zh-CN"/>
        </w:rPr>
        <w:t>工作的无线电通信部门成员、</w:t>
      </w:r>
      <w:r w:rsidRPr="00FC1EFE">
        <w:rPr>
          <w:rFonts w:cs="SimSun"/>
          <w:b/>
          <w:lang w:val="en-US" w:eastAsia="zh-CN"/>
        </w:rPr>
        <w:t>ITU-R</w:t>
      </w:r>
      <w:r w:rsidRPr="00FC1EFE">
        <w:rPr>
          <w:rFonts w:ascii="SimSun" w:hAnsi="SimSun" w:hint="eastAsia"/>
          <w:b/>
          <w:bCs/>
          <w:lang w:eastAsia="zh-CN"/>
        </w:rPr>
        <w:t>部</w:t>
      </w:r>
      <w:r>
        <w:rPr>
          <w:rFonts w:ascii="SimSun" w:hAnsi="SimSun" w:hint="eastAsia"/>
          <w:b/>
          <w:bCs/>
          <w:lang w:eastAsia="zh-CN"/>
        </w:rPr>
        <w:t>门准成员</w:t>
      </w:r>
    </w:p>
    <w:p w:rsidR="00D67D2E" w:rsidRDefault="00D67D2E" w:rsidP="00A56E42">
      <w:pPr>
        <w:pStyle w:val="Head"/>
        <w:tabs>
          <w:tab w:val="left" w:pos="7513"/>
        </w:tabs>
        <w:jc w:val="center"/>
        <w:rPr>
          <w:rFonts w:ascii="SimSun"/>
          <w:b/>
          <w:bCs/>
          <w:lang w:eastAsia="zh-CN"/>
        </w:rPr>
      </w:pPr>
    </w:p>
    <w:p w:rsidR="00D67D2E" w:rsidRPr="00722C6B" w:rsidRDefault="00D67D2E" w:rsidP="00A56E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  <w:r w:rsidRPr="00722C6B">
        <w:rPr>
          <w:rFonts w:ascii="SimSun" w:hAnsi="SimSun" w:hint="eastAsia"/>
          <w:b/>
          <w:bCs/>
          <w:szCs w:val="24"/>
          <w:lang w:eastAsia="zh-CN"/>
        </w:rPr>
        <w:t>事由：</w:t>
      </w:r>
      <w:r w:rsidRPr="00722C6B">
        <w:rPr>
          <w:rFonts w:ascii="SimSun"/>
          <w:b/>
          <w:bCs/>
          <w:lang w:eastAsia="zh-CN"/>
        </w:rPr>
        <w:tab/>
      </w:r>
      <w:bookmarkStart w:id="3" w:name="dtitle1"/>
      <w:bookmarkEnd w:id="3"/>
      <w:r w:rsidRPr="00722C6B">
        <w:rPr>
          <w:rFonts w:hint="eastAsia"/>
          <w:b/>
          <w:bCs/>
          <w:lang w:val="fr-FR" w:eastAsia="zh-CN"/>
        </w:rPr>
        <w:t>无线电通信</w:t>
      </w:r>
      <w:r w:rsidRPr="00722C6B">
        <w:rPr>
          <w:rFonts w:ascii="SimSun" w:hAnsi="SimSun"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4</w:t>
      </w:r>
      <w:r w:rsidRPr="00722C6B">
        <w:rPr>
          <w:rFonts w:ascii="SimSun" w:hAnsi="SimSun" w:hint="eastAsia"/>
          <w:b/>
          <w:bCs/>
          <w:lang w:eastAsia="zh-CN"/>
        </w:rPr>
        <w:t>研究组</w:t>
      </w:r>
    </w:p>
    <w:p w:rsidR="00D67D2E" w:rsidRPr="00722C6B" w:rsidRDefault="00D67D2E" w:rsidP="00A56E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100"/>
        <w:ind w:left="1843" w:hanging="1843"/>
        <w:rPr>
          <w:rFonts w:ascii="SimSun"/>
          <w:b/>
          <w:bCs/>
          <w:lang w:eastAsia="zh-CN"/>
        </w:rPr>
      </w:pPr>
    </w:p>
    <w:p w:rsidR="001F323F" w:rsidRDefault="00D67D2E" w:rsidP="00A56E42">
      <w:pPr>
        <w:tabs>
          <w:tab w:val="clear" w:pos="1191"/>
          <w:tab w:val="clear" w:pos="1588"/>
          <w:tab w:val="clear" w:pos="1985"/>
          <w:tab w:val="left" w:pos="1843"/>
        </w:tabs>
        <w:spacing w:before="0"/>
        <w:ind w:left="1843" w:hanging="555"/>
        <w:rPr>
          <w:b/>
          <w:bCs/>
          <w:lang w:eastAsia="zh-CN" w:bidi="ar-EG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根据</w:t>
      </w:r>
      <w:r w:rsidRPr="00722C6B">
        <w:rPr>
          <w:b/>
          <w:bCs/>
          <w:lang w:eastAsia="zh-CN"/>
        </w:rPr>
        <w:t>ITU-R</w:t>
      </w:r>
      <w:r w:rsidRPr="00722C6B">
        <w:rPr>
          <w:rFonts w:hint="eastAsia"/>
          <w:b/>
          <w:bCs/>
          <w:lang w:eastAsia="zh-CN"/>
        </w:rPr>
        <w:t>第</w:t>
      </w:r>
      <w:r w:rsidRPr="00722C6B">
        <w:rPr>
          <w:b/>
          <w:bCs/>
          <w:lang w:eastAsia="zh-CN"/>
        </w:rPr>
        <w:t>1-5</w:t>
      </w:r>
      <w:r w:rsidRPr="00722C6B">
        <w:rPr>
          <w:rFonts w:hint="eastAsia"/>
          <w:b/>
          <w:bCs/>
          <w:lang w:eastAsia="zh-CN"/>
        </w:rPr>
        <w:t>号决议第</w:t>
      </w:r>
      <w:r w:rsidRPr="00722C6B">
        <w:rPr>
          <w:b/>
          <w:bCs/>
          <w:lang w:eastAsia="zh-CN"/>
        </w:rPr>
        <w:t>10.3</w:t>
      </w:r>
      <w:r w:rsidRPr="00722C6B">
        <w:rPr>
          <w:rFonts w:hint="eastAsia"/>
          <w:b/>
          <w:bCs/>
          <w:lang w:eastAsia="zh-CN"/>
        </w:rPr>
        <w:t>段（以信函方式同时通过和批准程序）</w:t>
      </w:r>
      <w:r w:rsidRPr="00722C6B">
        <w:rPr>
          <w:rFonts w:hint="eastAsia"/>
          <w:b/>
          <w:bCs/>
          <w:lang w:val="es-ES_tradnl" w:eastAsia="zh-CN" w:bidi="ar-EG"/>
        </w:rPr>
        <w:t>以信函方式通过</w:t>
      </w:r>
      <w:r w:rsidR="00A56E42">
        <w:rPr>
          <w:rFonts w:hint="eastAsia"/>
          <w:b/>
          <w:bCs/>
          <w:lang w:val="es-ES_tradnl" w:eastAsia="zh-CN" w:bidi="ar-EG"/>
        </w:rPr>
        <w:t>并同时批准</w:t>
      </w:r>
      <w:r w:rsidR="00FE2737">
        <w:rPr>
          <w:rFonts w:hint="eastAsia"/>
          <w:b/>
          <w:bCs/>
          <w:lang w:val="es-ES_tradnl" w:eastAsia="zh-CN" w:bidi="ar-EG"/>
        </w:rPr>
        <w:t>1</w:t>
      </w:r>
      <w:r w:rsidRPr="00722C6B">
        <w:rPr>
          <w:rFonts w:hint="eastAsia"/>
          <w:b/>
          <w:bCs/>
          <w:lang w:val="es-ES_tradnl" w:eastAsia="zh-CN" w:bidi="ar-EG"/>
        </w:rPr>
        <w:t>份新建议书和</w:t>
      </w:r>
      <w:r w:rsidR="00FE2737">
        <w:rPr>
          <w:rFonts w:hint="eastAsia"/>
          <w:b/>
          <w:bCs/>
          <w:lang w:val="es-ES_tradnl" w:eastAsia="zh-CN" w:bidi="ar-EG"/>
        </w:rPr>
        <w:t>2</w:t>
      </w:r>
      <w:r w:rsidRPr="00722C6B">
        <w:rPr>
          <w:rFonts w:hint="eastAsia"/>
          <w:b/>
          <w:bCs/>
          <w:lang w:eastAsia="zh-CN"/>
        </w:rPr>
        <w:t>份经修订的建议书</w:t>
      </w:r>
    </w:p>
    <w:p w:rsidR="001F323F" w:rsidRDefault="00D67D2E" w:rsidP="00A56E42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  <w:tab w:val="left" w:pos="1843"/>
        </w:tabs>
        <w:spacing w:before="0" w:after="240"/>
        <w:ind w:left="1843" w:hanging="555"/>
        <w:rPr>
          <w:lang w:eastAsia="zh-CN"/>
        </w:rPr>
      </w:pPr>
      <w:r w:rsidRPr="00722C6B">
        <w:rPr>
          <w:b/>
          <w:bCs/>
          <w:lang w:eastAsia="zh-CN"/>
        </w:rPr>
        <w:t>–</w:t>
      </w:r>
      <w:r w:rsidRPr="00722C6B">
        <w:rPr>
          <w:b/>
          <w:bCs/>
          <w:lang w:eastAsia="zh-CN"/>
        </w:rPr>
        <w:tab/>
      </w:r>
      <w:r w:rsidRPr="00722C6B">
        <w:rPr>
          <w:rFonts w:hint="eastAsia"/>
          <w:b/>
          <w:bCs/>
          <w:lang w:eastAsia="zh-CN"/>
        </w:rPr>
        <w:t>废除</w:t>
      </w:r>
      <w:r w:rsidR="00FE2737">
        <w:rPr>
          <w:rFonts w:hint="eastAsia"/>
          <w:b/>
          <w:bCs/>
          <w:lang w:eastAsia="zh-CN"/>
        </w:rPr>
        <w:t>5</w:t>
      </w:r>
      <w:r w:rsidRPr="00722C6B">
        <w:rPr>
          <w:rFonts w:hint="eastAsia"/>
          <w:b/>
          <w:bCs/>
          <w:lang w:eastAsia="zh-CN"/>
        </w:rPr>
        <w:t>份建议书</w:t>
      </w:r>
    </w:p>
    <w:p w:rsidR="00D67D2E" w:rsidRPr="008A57EC" w:rsidRDefault="00D67D2E" w:rsidP="001F323F">
      <w:pPr>
        <w:pStyle w:val="TableTitle"/>
        <w:keepNext w:val="0"/>
        <w:keepLines w:val="0"/>
        <w:tabs>
          <w:tab w:val="left" w:pos="4111"/>
        </w:tabs>
        <w:spacing w:before="480" w:after="0"/>
        <w:rPr>
          <w:lang w:eastAsia="zh-CN"/>
        </w:rPr>
      </w:pPr>
      <w:r>
        <w:rPr>
          <w:rFonts w:hint="eastAsia"/>
          <w:lang w:eastAsia="zh-CN"/>
        </w:rPr>
        <w:t>卫星</w:t>
      </w:r>
      <w:r w:rsidRPr="008A57EC">
        <w:rPr>
          <w:rFonts w:hint="eastAsia"/>
          <w:lang w:eastAsia="zh-CN"/>
        </w:rPr>
        <w:t>业务</w:t>
      </w:r>
    </w:p>
    <w:p w:rsidR="001F323F" w:rsidRDefault="00D67D2E" w:rsidP="00A56E4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1-5</w:t>
      </w:r>
      <w:r>
        <w:rPr>
          <w:rFonts w:hint="eastAsia"/>
          <w:lang w:eastAsia="zh-CN"/>
        </w:rPr>
        <w:t>号决议（第</w:t>
      </w:r>
      <w:r>
        <w:rPr>
          <w:lang w:eastAsia="zh-CN"/>
        </w:rPr>
        <w:t>10.3</w:t>
      </w:r>
      <w:r>
        <w:rPr>
          <w:rFonts w:hint="eastAsia"/>
          <w:lang w:eastAsia="zh-CN"/>
        </w:rPr>
        <w:t>段）规定的程序，通过</w:t>
      </w:r>
      <w:r w:rsidR="00006ECE">
        <w:rPr>
          <w:rFonts w:hint="eastAsia"/>
          <w:lang w:eastAsia="zh-CN"/>
        </w:rPr>
        <w:t>2010</w:t>
      </w:r>
      <w:r w:rsidR="00006ECE">
        <w:rPr>
          <w:rFonts w:hint="eastAsia"/>
          <w:lang w:eastAsia="zh-CN"/>
        </w:rPr>
        <w:t>年</w:t>
      </w:r>
      <w:r w:rsidR="00006ECE">
        <w:rPr>
          <w:rFonts w:hint="eastAsia"/>
          <w:lang w:eastAsia="zh-CN"/>
        </w:rPr>
        <w:t>9</w:t>
      </w:r>
      <w:r w:rsidR="00006ECE">
        <w:rPr>
          <w:rFonts w:hint="eastAsia"/>
          <w:lang w:eastAsia="zh-CN"/>
        </w:rPr>
        <w:t>月</w:t>
      </w:r>
      <w:r w:rsidR="00006ECE">
        <w:rPr>
          <w:rFonts w:hint="eastAsia"/>
          <w:lang w:eastAsia="zh-CN"/>
        </w:rPr>
        <w:t>17</w:t>
      </w:r>
      <w:r w:rsidR="00006EC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CAR/</w:t>
      </w:r>
      <w:r w:rsidR="00FE2737">
        <w:rPr>
          <w:rFonts w:hint="eastAsia"/>
          <w:lang w:eastAsia="zh-CN"/>
        </w:rPr>
        <w:t>299</w:t>
      </w:r>
      <w:r>
        <w:rPr>
          <w:rFonts w:hint="eastAsia"/>
          <w:lang w:eastAsia="zh-CN"/>
        </w:rPr>
        <w:t>号行政通函，提交了</w:t>
      </w:r>
      <w:r w:rsidR="00006ECE">
        <w:rPr>
          <w:rFonts w:hint="eastAsia"/>
          <w:lang w:eastAsia="zh-CN" w:bidi="ar-EG"/>
        </w:rPr>
        <w:t>1</w:t>
      </w:r>
      <w:r>
        <w:rPr>
          <w:rFonts w:hint="eastAsia"/>
          <w:lang w:eastAsia="zh-CN" w:bidi="ar-EG"/>
        </w:rPr>
        <w:t>份新建议书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和</w:t>
      </w:r>
      <w:r w:rsidR="00006ECE">
        <w:rPr>
          <w:rFonts w:hint="eastAsia"/>
          <w:lang w:eastAsia="zh-CN" w:bidi="ar-EG"/>
        </w:rPr>
        <w:t>2</w:t>
      </w:r>
      <w:r>
        <w:rPr>
          <w:rFonts w:hint="eastAsia"/>
          <w:lang w:eastAsia="zh-CN" w:bidi="ar-EG"/>
        </w:rPr>
        <w:t>份经修订的建议书</w:t>
      </w:r>
      <w:r w:rsidR="00A56E42">
        <w:rPr>
          <w:rFonts w:hint="eastAsia"/>
          <w:lang w:eastAsia="zh-CN" w:bidi="ar-EG"/>
        </w:rPr>
        <w:t>草案</w:t>
      </w:r>
      <w:r>
        <w:rPr>
          <w:rFonts w:hint="eastAsia"/>
          <w:lang w:eastAsia="zh-CN" w:bidi="ar-EG"/>
        </w:rPr>
        <w:t>，</w:t>
      </w:r>
      <w:r>
        <w:rPr>
          <w:rFonts w:hint="eastAsia"/>
          <w:lang w:val="es-ES_tradnl" w:eastAsia="zh-CN" w:bidi="ar-EG"/>
        </w:rPr>
        <w:t>以便</w:t>
      </w:r>
      <w:r w:rsidR="00A56E42">
        <w:rPr>
          <w:rFonts w:hint="eastAsia"/>
          <w:lang w:eastAsia="zh-CN"/>
        </w:rPr>
        <w:t>以信函方式</w:t>
      </w:r>
      <w:r>
        <w:rPr>
          <w:rFonts w:hint="eastAsia"/>
          <w:lang w:val="es-ES_tradnl" w:eastAsia="zh-CN" w:bidi="ar-EG"/>
        </w:rPr>
        <w:t>同时通过和批准</w:t>
      </w:r>
      <w:r w:rsidR="00A56E42">
        <w:rPr>
          <w:rFonts w:hint="eastAsia"/>
          <w:lang w:val="es-ES_tradnl" w:eastAsia="zh-CN" w:bidi="ar-EG"/>
        </w:rPr>
        <w:t>（</w:t>
      </w:r>
      <w:r w:rsidR="00A56E42">
        <w:rPr>
          <w:rFonts w:hint="eastAsia"/>
          <w:lang w:val="es-ES_tradnl" w:eastAsia="zh-CN" w:bidi="ar-EG"/>
        </w:rPr>
        <w:t>PSAA</w:t>
      </w:r>
      <w:r w:rsidR="00A56E42">
        <w:rPr>
          <w:rFonts w:hint="eastAsia"/>
          <w:lang w:val="es-ES_tradnl" w:eastAsia="zh-CN" w:bidi="ar-EG"/>
        </w:rPr>
        <w:t>）</w:t>
      </w:r>
      <w:r>
        <w:rPr>
          <w:rFonts w:hint="eastAsia"/>
          <w:lang w:eastAsia="zh-CN"/>
        </w:rPr>
        <w:t>。另外，研究组建议废除</w:t>
      </w:r>
      <w:r w:rsidR="00006ECE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份建议书。</w:t>
      </w:r>
    </w:p>
    <w:p w:rsidR="00D67D2E" w:rsidRDefault="00D67D2E" w:rsidP="00A56E4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有关该程序的条件已于</w:t>
      </w:r>
      <w:r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 w:rsidR="00006ECE">
        <w:rPr>
          <w:rFonts w:hint="eastAsia"/>
          <w:lang w:eastAsia="zh-CN"/>
        </w:rPr>
        <w:t>12</w:t>
      </w:r>
      <w:r w:rsidR="00006ECE">
        <w:rPr>
          <w:rFonts w:hint="eastAsia"/>
          <w:lang w:eastAsia="zh-CN"/>
        </w:rPr>
        <w:t>月</w:t>
      </w:r>
      <w:r w:rsidR="00006ECE">
        <w:rPr>
          <w:rFonts w:hint="eastAsia"/>
          <w:lang w:eastAsia="zh-CN"/>
        </w:rPr>
        <w:t>17</w:t>
      </w:r>
      <w:r w:rsidR="00006ECE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得到满足</w:t>
      </w:r>
      <w:r w:rsidR="00006ECE">
        <w:rPr>
          <w:rFonts w:hint="eastAsia"/>
          <w:lang w:eastAsia="zh-CN"/>
        </w:rPr>
        <w:t>，</w:t>
      </w:r>
      <w:r w:rsidR="00A56E42">
        <w:rPr>
          <w:rFonts w:hint="eastAsia"/>
          <w:lang w:eastAsia="zh-CN"/>
        </w:rPr>
        <w:t>但</w:t>
      </w:r>
      <w:r w:rsidR="00A56E42">
        <w:rPr>
          <w:rFonts w:hint="eastAsia"/>
          <w:lang w:eastAsia="zh-CN"/>
        </w:rPr>
        <w:t>ITU-R SF.1482</w:t>
      </w:r>
      <w:r w:rsidR="00A56E42">
        <w:rPr>
          <w:rFonts w:hint="eastAsia"/>
          <w:lang w:eastAsia="zh-CN"/>
        </w:rPr>
        <w:t>和</w:t>
      </w:r>
      <w:r w:rsidR="00A56E42">
        <w:rPr>
          <w:rFonts w:hint="eastAsia"/>
          <w:lang w:eastAsia="zh-CN"/>
        </w:rPr>
        <w:t>ITU-R SF.1483</w:t>
      </w:r>
      <w:r w:rsidR="00A56E42">
        <w:rPr>
          <w:rFonts w:hint="eastAsia"/>
          <w:lang w:eastAsia="zh-CN"/>
        </w:rPr>
        <w:t>建议书的废除除外，因而两步建议书将继续有效。</w:t>
      </w:r>
    </w:p>
    <w:p w:rsidR="00D67D2E" w:rsidRDefault="00D67D2E" w:rsidP="00A56E42">
      <w:pPr>
        <w:tabs>
          <w:tab w:val="clear" w:pos="794"/>
          <w:tab w:val="left" w:pos="518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已经批准的建议书将由国际电联公布出版。本通函附件</w:t>
      </w:r>
      <w:r>
        <w:rPr>
          <w:lang w:eastAsia="zh-CN"/>
        </w:rPr>
        <w:t>1</w:t>
      </w:r>
      <w:r>
        <w:rPr>
          <w:rFonts w:hint="eastAsia"/>
          <w:lang w:eastAsia="zh-CN"/>
        </w:rPr>
        <w:t>列出了这些建议书的标题和分配给它们的编号。</w:t>
      </w:r>
      <w:bookmarkStart w:id="4" w:name="StartTyping_E"/>
      <w:bookmarkEnd w:id="4"/>
      <w:r>
        <w:rPr>
          <w:rFonts w:hint="eastAsia"/>
          <w:lang w:eastAsia="zh-CN"/>
        </w:rPr>
        <w:t>附件</w:t>
      </w:r>
      <w:r>
        <w:rPr>
          <w:lang w:eastAsia="zh-CN"/>
        </w:rPr>
        <w:t>2</w:t>
      </w:r>
      <w:r>
        <w:rPr>
          <w:rFonts w:hint="eastAsia"/>
          <w:lang w:eastAsia="zh-CN"/>
        </w:rPr>
        <w:t>为废除的建议书</w:t>
      </w:r>
      <w:r w:rsidR="00A56E42">
        <w:rPr>
          <w:rFonts w:hint="eastAsia"/>
          <w:lang w:eastAsia="zh-CN"/>
        </w:rPr>
        <w:t>清单</w:t>
      </w:r>
      <w:r>
        <w:rPr>
          <w:rFonts w:hint="eastAsia"/>
          <w:lang w:eastAsia="zh-CN"/>
        </w:rPr>
        <w:t>。</w:t>
      </w:r>
    </w:p>
    <w:p w:rsidR="00D67D2E" w:rsidRDefault="00D67D2E" w:rsidP="001F323F">
      <w:pPr>
        <w:pStyle w:val="BodyTextIndent2"/>
        <w:tabs>
          <w:tab w:val="left" w:pos="8364"/>
        </w:tabs>
        <w:spacing w:before="1418" w:line="240" w:lineRule="auto"/>
        <w:ind w:left="6095" w:right="420" w:firstLine="1"/>
        <w:rPr>
          <w:lang w:val="en-US" w:eastAsia="zh-CN"/>
        </w:rPr>
      </w:pPr>
      <w:r>
        <w:rPr>
          <w:rFonts w:hint="eastAsia"/>
          <w:lang w:val="en-US" w:eastAsia="zh-CN"/>
        </w:rPr>
        <w:t>无线电通信局主任</w:t>
      </w:r>
      <w:r>
        <w:rPr>
          <w:lang w:val="en-US" w:eastAsia="zh-CN"/>
        </w:rPr>
        <w:br/>
      </w:r>
      <w:r>
        <w:rPr>
          <w:rFonts w:hint="eastAsia"/>
          <w:lang w:eastAsia="zh-CN"/>
        </w:rPr>
        <w:t>瓦列里</w:t>
      </w:r>
      <w:r w:rsidR="00A56E42" w:rsidRPr="00A56E42">
        <w:rPr>
          <w:rFonts w:ascii="SimSun"/>
          <w:color w:val="000000"/>
          <w:sz w:val="20"/>
          <w:lang w:eastAsia="zh-CN"/>
        </w:rPr>
        <w:t>•</w:t>
      </w:r>
      <w:r>
        <w:rPr>
          <w:rFonts w:hint="eastAsia"/>
          <w:lang w:eastAsia="zh-CN"/>
        </w:rPr>
        <w:t>吉莫弗耶夫</w:t>
      </w:r>
    </w:p>
    <w:p w:rsidR="00D67D2E" w:rsidRDefault="00D67D2E" w:rsidP="00A56E42">
      <w:pPr>
        <w:tabs>
          <w:tab w:val="left" w:pos="4820"/>
        </w:tabs>
        <w:spacing w:before="60"/>
        <w:rPr>
          <w:lang w:val="en-US" w:eastAsia="zh-CN"/>
        </w:rPr>
      </w:pPr>
      <w:r>
        <w:rPr>
          <w:rFonts w:hint="eastAsia"/>
          <w:b/>
          <w:lang w:val="en-US" w:eastAsia="zh-CN"/>
        </w:rPr>
        <w:t>附件：</w:t>
      </w:r>
      <w:r w:rsidRPr="00E2347F">
        <w:rPr>
          <w:lang w:val="en-US" w:eastAsia="zh-CN"/>
        </w:rPr>
        <w:t>2</w:t>
      </w:r>
      <w:r>
        <w:rPr>
          <w:rFonts w:hint="eastAsia"/>
          <w:bCs/>
          <w:lang w:val="en-US" w:eastAsia="zh-CN"/>
        </w:rPr>
        <w:t>件</w:t>
      </w:r>
    </w:p>
    <w:p w:rsidR="00D67D2E" w:rsidRPr="00A979BC" w:rsidRDefault="00D67D2E" w:rsidP="00A56E42">
      <w:pPr>
        <w:tabs>
          <w:tab w:val="left" w:pos="6237"/>
        </w:tabs>
        <w:rPr>
          <w:sz w:val="18"/>
          <w:szCs w:val="18"/>
          <w:lang w:eastAsia="zh-CN"/>
        </w:rPr>
      </w:pPr>
      <w:r w:rsidRPr="00A979BC">
        <w:rPr>
          <w:rFonts w:hint="eastAsia"/>
          <w:sz w:val="18"/>
          <w:szCs w:val="18"/>
          <w:u w:val="single"/>
          <w:lang w:eastAsia="zh-CN"/>
        </w:rPr>
        <w:t>分发</w:t>
      </w:r>
      <w:r w:rsidRPr="00A979BC">
        <w:rPr>
          <w:rFonts w:hint="eastAsia"/>
          <w:sz w:val="18"/>
          <w:szCs w:val="18"/>
          <w:lang w:eastAsia="zh-CN"/>
        </w:rPr>
        <w:t>：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成员国各主管部门和无线电通信部门成员</w:t>
      </w:r>
    </w:p>
    <w:p w:rsidR="00D67D2E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参加无线电通信第</w:t>
      </w:r>
      <w:r>
        <w:rPr>
          <w:sz w:val="18"/>
          <w:szCs w:val="18"/>
          <w:lang w:val="en-US" w:eastAsia="zh-CN"/>
        </w:rPr>
        <w:t>4</w:t>
      </w:r>
      <w:r w:rsidRPr="00A979BC">
        <w:rPr>
          <w:rFonts w:hint="eastAsia"/>
          <w:sz w:val="18"/>
          <w:szCs w:val="18"/>
          <w:lang w:val="en-US" w:eastAsia="zh-CN"/>
        </w:rPr>
        <w:t>研究组工作的</w:t>
      </w:r>
      <w:r w:rsidRPr="00A979BC">
        <w:rPr>
          <w:sz w:val="18"/>
          <w:szCs w:val="18"/>
          <w:lang w:val="en-US" w:eastAsia="zh-CN"/>
        </w:rPr>
        <w:t>ITU-R</w:t>
      </w:r>
      <w:r w:rsidRPr="00A979BC">
        <w:rPr>
          <w:rFonts w:hint="eastAsia"/>
          <w:sz w:val="18"/>
          <w:szCs w:val="18"/>
          <w:lang w:val="en-US" w:eastAsia="zh-CN"/>
        </w:rPr>
        <w:t>部门准成员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无线电通信研究组和规则</w:t>
      </w:r>
      <w:r w:rsidRPr="00A979BC">
        <w:rPr>
          <w:sz w:val="18"/>
          <w:szCs w:val="18"/>
          <w:lang w:val="en-US" w:eastAsia="zh-CN"/>
        </w:rPr>
        <w:t>/</w:t>
      </w:r>
      <w:r w:rsidRPr="00A979BC">
        <w:rPr>
          <w:rFonts w:hint="eastAsia"/>
          <w:sz w:val="18"/>
          <w:szCs w:val="18"/>
          <w:lang w:val="en-US" w:eastAsia="zh-CN"/>
        </w:rPr>
        <w:t>程序问题特别委员会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Pr="00A979BC">
        <w:rPr>
          <w:rFonts w:hint="eastAsia"/>
          <w:sz w:val="18"/>
          <w:szCs w:val="18"/>
          <w:lang w:val="en-US" w:eastAsia="zh-CN"/>
        </w:rPr>
        <w:t>大会筹备会议</w:t>
      </w:r>
      <w:r w:rsidR="00A56E42">
        <w:rPr>
          <w:rFonts w:hint="eastAsia"/>
          <w:sz w:val="18"/>
          <w:szCs w:val="18"/>
          <w:lang w:val="en-US" w:eastAsia="zh-CN"/>
        </w:rPr>
        <w:t>正</w:t>
      </w:r>
      <w:r w:rsidRPr="00A979BC">
        <w:rPr>
          <w:rFonts w:hint="eastAsia"/>
          <w:sz w:val="18"/>
          <w:szCs w:val="18"/>
          <w:lang w:val="en-US" w:eastAsia="zh-CN"/>
        </w:rPr>
        <w:t>副主席</w:t>
      </w:r>
    </w:p>
    <w:p w:rsidR="00D67D2E" w:rsidRPr="00A979BC" w:rsidRDefault="00D67D2E" w:rsidP="00A56E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  <w:lang w:val="en-US" w:eastAsia="zh-CN"/>
        </w:rPr>
      </w:pPr>
      <w:r w:rsidRPr="00A979BC">
        <w:rPr>
          <w:sz w:val="18"/>
          <w:szCs w:val="18"/>
          <w:lang w:val="en-US" w:eastAsia="zh-CN"/>
        </w:rPr>
        <w:t>–</w:t>
      </w:r>
      <w:r w:rsidRPr="00A979BC">
        <w:rPr>
          <w:sz w:val="18"/>
          <w:szCs w:val="18"/>
          <w:lang w:val="en-US" w:eastAsia="zh-CN"/>
        </w:rPr>
        <w:tab/>
      </w:r>
      <w:r w:rsidR="001F323F">
        <w:rPr>
          <w:rFonts w:hint="eastAsia"/>
          <w:sz w:val="18"/>
          <w:szCs w:val="18"/>
          <w:lang w:val="en-US" w:eastAsia="zh-CN"/>
        </w:rPr>
        <w:t>无线电规则委员会</w:t>
      </w:r>
      <w:r w:rsidRPr="00A979BC">
        <w:rPr>
          <w:rFonts w:hint="eastAsia"/>
          <w:sz w:val="18"/>
          <w:szCs w:val="18"/>
          <w:lang w:val="en-US" w:eastAsia="zh-CN"/>
        </w:rPr>
        <w:t>委员</w:t>
      </w:r>
    </w:p>
    <w:p w:rsidR="00D67D2E" w:rsidRDefault="00D67D2E" w:rsidP="00A56E42">
      <w:pPr>
        <w:numPr>
          <w:ilvl w:val="0"/>
          <w:numId w:val="1"/>
        </w:numPr>
        <w:tabs>
          <w:tab w:val="left" w:pos="567"/>
          <w:tab w:val="left" w:pos="6237"/>
        </w:tabs>
        <w:spacing w:before="0"/>
        <w:ind w:hanging="930"/>
        <w:rPr>
          <w:sz w:val="18"/>
          <w:szCs w:val="18"/>
          <w:lang w:val="en-US" w:eastAsia="zh-CN"/>
        </w:rPr>
      </w:pPr>
      <w:r w:rsidRPr="00A979BC">
        <w:rPr>
          <w:rFonts w:hint="eastAsia"/>
          <w:sz w:val="18"/>
          <w:szCs w:val="18"/>
          <w:lang w:val="en-US" w:eastAsia="zh-CN"/>
        </w:rPr>
        <w:t>国际电联秘书长、电信标准化局主任、电信发展局主任</w:t>
      </w:r>
    </w:p>
    <w:p w:rsidR="00A56E42" w:rsidRDefault="00A56E42" w:rsidP="00A56E4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006ECE" w:rsidRPr="00A56E42" w:rsidRDefault="00D67D2E" w:rsidP="00A56E42">
      <w:pPr>
        <w:pStyle w:val="AnnexNotitle"/>
        <w:rPr>
          <w:lang w:eastAsia="zh-CN"/>
        </w:rPr>
      </w:pPr>
      <w:r w:rsidRPr="00A56E42">
        <w:rPr>
          <w:rFonts w:hint="eastAsia"/>
          <w:lang w:eastAsia="zh-CN"/>
        </w:rPr>
        <w:lastRenderedPageBreak/>
        <w:t>附件</w:t>
      </w:r>
      <w:r w:rsidRPr="00A56E42">
        <w:rPr>
          <w:lang w:eastAsia="zh-CN"/>
        </w:rPr>
        <w:t>1</w:t>
      </w:r>
    </w:p>
    <w:p w:rsidR="00A56E42" w:rsidRPr="00A56E42" w:rsidRDefault="00A56E42" w:rsidP="00A56E42">
      <w:pPr>
        <w:pStyle w:val="AnnexNotitle"/>
        <w:rPr>
          <w:lang w:eastAsia="zh-CN"/>
        </w:rPr>
      </w:pPr>
      <w:r>
        <w:rPr>
          <w:rFonts w:hint="eastAsia"/>
          <w:lang w:eastAsia="zh-CN"/>
        </w:rPr>
        <w:t>经批准的建议书标题</w:t>
      </w:r>
    </w:p>
    <w:p w:rsidR="001F323F" w:rsidRDefault="00006ECE" w:rsidP="00A56E42">
      <w:pPr>
        <w:pStyle w:val="Normalaftertitle"/>
        <w:tabs>
          <w:tab w:val="left" w:pos="7371"/>
        </w:tabs>
        <w:rPr>
          <w:lang w:eastAsia="zh-CN"/>
        </w:rPr>
      </w:pPr>
      <w:r w:rsidRPr="00A56E42">
        <w:rPr>
          <w:u w:val="single"/>
          <w:lang w:eastAsia="zh-CN"/>
        </w:rPr>
        <w:t>ITU-R S.</w:t>
      </w:r>
      <w:r w:rsidRPr="00A56E42">
        <w:rPr>
          <w:rFonts w:hint="eastAsia"/>
          <w:u w:val="single"/>
          <w:lang w:eastAsia="zh-CN"/>
        </w:rPr>
        <w:t>1878</w:t>
      </w:r>
      <w:r w:rsidRPr="00A56E42">
        <w:rPr>
          <w:rFonts w:hint="eastAsia"/>
          <w:u w:val="single"/>
          <w:lang w:eastAsia="zh-CN"/>
        </w:rPr>
        <w:t>建议书</w:t>
      </w:r>
      <w:r>
        <w:rPr>
          <w:rFonts w:hint="eastAsia"/>
          <w:lang w:eastAsia="zh-CN"/>
        </w:rPr>
        <w:tab/>
      </w:r>
      <w:r>
        <w:rPr>
          <w:lang w:eastAsia="zh-CN"/>
        </w:rPr>
        <w:t>4/</w:t>
      </w:r>
      <w:r>
        <w:rPr>
          <w:rFonts w:hint="eastAsia"/>
          <w:lang w:eastAsia="zh-CN"/>
        </w:rPr>
        <w:t>136</w:t>
      </w:r>
      <w:r>
        <w:rPr>
          <w:lang w:eastAsia="zh-CN"/>
        </w:rPr>
        <w:t>(Rev.1)</w:t>
      </w:r>
      <w:r>
        <w:rPr>
          <w:rFonts w:hint="eastAsia"/>
          <w:lang w:eastAsia="zh-CN"/>
        </w:rPr>
        <w:t>号文件</w:t>
      </w:r>
    </w:p>
    <w:p w:rsidR="00D67D2E" w:rsidRDefault="00546F8B" w:rsidP="00A56E42">
      <w:pPr>
        <w:pStyle w:val="Rectitle"/>
        <w:rPr>
          <w:lang w:eastAsia="zh-CN"/>
        </w:rPr>
      </w:pPr>
      <w:r>
        <w:rPr>
          <w:rFonts w:hint="eastAsia"/>
          <w:lang w:eastAsia="zh-CN"/>
        </w:rPr>
        <w:t>卫星系统多载波传输技术</w:t>
      </w:r>
    </w:p>
    <w:p w:rsidR="00D67D2E" w:rsidRPr="00E543EB" w:rsidRDefault="00D67D2E" w:rsidP="00A56E42">
      <w:pPr>
        <w:pStyle w:val="Normalaftertitle"/>
        <w:rPr>
          <w:lang w:eastAsia="zh-CN"/>
        </w:rPr>
      </w:pPr>
    </w:p>
    <w:p w:rsidR="001F323F" w:rsidRDefault="00546F8B" w:rsidP="00A56E42">
      <w:pPr>
        <w:tabs>
          <w:tab w:val="left" w:pos="7371"/>
          <w:tab w:val="right" w:pos="9639"/>
        </w:tabs>
        <w:spacing w:before="360"/>
        <w:rPr>
          <w:lang w:eastAsia="zh-CN"/>
        </w:rPr>
      </w:pPr>
      <w:r w:rsidRPr="0074543F">
        <w:rPr>
          <w:bCs/>
          <w:szCs w:val="24"/>
          <w:u w:val="single"/>
          <w:lang w:eastAsia="zh-CN"/>
        </w:rPr>
        <w:t>ITU-R M.633-</w:t>
      </w:r>
      <w:r>
        <w:rPr>
          <w:rFonts w:hint="eastAsia"/>
          <w:bCs/>
          <w:szCs w:val="24"/>
          <w:u w:val="single"/>
          <w:lang w:eastAsia="zh-CN"/>
        </w:rPr>
        <w:t>4</w:t>
      </w:r>
      <w:r w:rsidRPr="0074543F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</w:t>
      </w:r>
      <w:r>
        <w:rPr>
          <w:rFonts w:hint="eastAsia"/>
          <w:lang w:eastAsia="zh-CN"/>
        </w:rPr>
        <w:t>34</w:t>
      </w:r>
      <w:r>
        <w:rPr>
          <w:lang w:eastAsia="zh-CN"/>
        </w:rPr>
        <w:t>(Rev.1)</w:t>
      </w:r>
      <w:r>
        <w:rPr>
          <w:rFonts w:hint="eastAsia"/>
          <w:lang w:eastAsia="zh-CN"/>
        </w:rPr>
        <w:t>号文件</w:t>
      </w:r>
    </w:p>
    <w:p w:rsidR="00D67D2E" w:rsidRPr="00A56E42" w:rsidRDefault="00546F8B" w:rsidP="00A56E42">
      <w:pPr>
        <w:pStyle w:val="Rectitle"/>
      </w:pPr>
      <w:r w:rsidRPr="00A56E42">
        <w:rPr>
          <w:rFonts w:hint="eastAsia"/>
        </w:rPr>
        <w:t>通过</w:t>
      </w:r>
      <w:r w:rsidRPr="00A56E42">
        <w:rPr>
          <w:rFonts w:hint="eastAsia"/>
        </w:rPr>
        <w:t>406 MHz</w:t>
      </w:r>
      <w:r w:rsidRPr="00A56E42">
        <w:rPr>
          <w:rFonts w:hint="eastAsia"/>
        </w:rPr>
        <w:t>频段卫星系统操作的卫星应急</w:t>
      </w:r>
      <w:r w:rsidRPr="00A56E42">
        <w:br/>
      </w:r>
      <w:r w:rsidRPr="00A56E42">
        <w:rPr>
          <w:rFonts w:hint="eastAsia"/>
        </w:rPr>
        <w:t>无线电示位标（卫星</w:t>
      </w:r>
      <w:r w:rsidRPr="00A56E42">
        <w:rPr>
          <w:rFonts w:hint="eastAsia"/>
        </w:rPr>
        <w:t>EPIRB</w:t>
      </w:r>
      <w:r w:rsidRPr="00A56E42">
        <w:rPr>
          <w:rFonts w:hint="eastAsia"/>
        </w:rPr>
        <w:t>）系统的传输特性</w:t>
      </w:r>
    </w:p>
    <w:p w:rsidR="001F323F" w:rsidRDefault="00546F8B" w:rsidP="00A56E42">
      <w:pPr>
        <w:pStyle w:val="Normalaftertitle"/>
        <w:tabs>
          <w:tab w:val="left" w:pos="7371"/>
          <w:tab w:val="right" w:pos="9639"/>
        </w:tabs>
        <w:rPr>
          <w:lang w:eastAsia="zh-CN"/>
        </w:rPr>
      </w:pPr>
      <w:r w:rsidRPr="0074543F">
        <w:rPr>
          <w:bCs/>
          <w:szCs w:val="24"/>
          <w:u w:val="single"/>
          <w:lang w:eastAsia="zh-CN"/>
        </w:rPr>
        <w:t>ITU-R M.</w:t>
      </w:r>
      <w:r w:rsidRPr="0074543F">
        <w:rPr>
          <w:rFonts w:hint="eastAsia"/>
          <w:bCs/>
          <w:szCs w:val="24"/>
          <w:u w:val="single"/>
          <w:lang w:eastAsia="zh-CN"/>
        </w:rPr>
        <w:t>1731</w:t>
      </w:r>
      <w:r>
        <w:rPr>
          <w:rFonts w:hint="eastAsia"/>
          <w:bCs/>
          <w:szCs w:val="24"/>
          <w:u w:val="single"/>
          <w:lang w:eastAsia="zh-CN"/>
        </w:rPr>
        <w:t>-1</w:t>
      </w:r>
      <w:r w:rsidRPr="0074543F">
        <w:rPr>
          <w:rFonts w:hint="eastAsia"/>
          <w:u w:val="single"/>
          <w:lang w:eastAsia="zh-CN"/>
        </w:rPr>
        <w:t>建议书</w:t>
      </w:r>
      <w:r>
        <w:rPr>
          <w:lang w:eastAsia="zh-CN"/>
        </w:rPr>
        <w:tab/>
        <w:t>4/1</w:t>
      </w:r>
      <w:r>
        <w:rPr>
          <w:rFonts w:hint="eastAsia"/>
          <w:lang w:eastAsia="zh-CN"/>
        </w:rPr>
        <w:t>35</w:t>
      </w:r>
      <w:r>
        <w:rPr>
          <w:lang w:eastAsia="zh-CN"/>
        </w:rPr>
        <w:t>(Rev.1)</w:t>
      </w:r>
      <w:r>
        <w:rPr>
          <w:rFonts w:hint="eastAsia"/>
          <w:lang w:eastAsia="zh-CN"/>
        </w:rPr>
        <w:t>号文件</w:t>
      </w:r>
    </w:p>
    <w:p w:rsidR="00D67D2E" w:rsidRPr="00A56E42" w:rsidRDefault="00546F8B" w:rsidP="00A56E42">
      <w:pPr>
        <w:pStyle w:val="Rectitle"/>
        <w:rPr>
          <w:lang w:eastAsia="zh-CN"/>
        </w:rPr>
      </w:pPr>
      <w:r w:rsidRPr="00A56E42">
        <w:rPr>
          <w:lang w:eastAsia="zh-CN"/>
        </w:rPr>
        <w:t>1 544-1 545 MHz</w:t>
      </w:r>
      <w:r w:rsidRPr="00A56E42">
        <w:rPr>
          <w:rFonts w:hint="eastAsia"/>
          <w:lang w:eastAsia="zh-CN"/>
        </w:rPr>
        <w:t>频段</w:t>
      </w:r>
      <w:r w:rsidRPr="00A56E42">
        <w:rPr>
          <w:lang w:eastAsia="zh-CN"/>
        </w:rPr>
        <w:br/>
        <w:t>Cospas-Sarsat</w:t>
      </w:r>
      <w:r w:rsidRPr="00A56E42">
        <w:rPr>
          <w:rFonts w:hint="eastAsia"/>
          <w:lang w:eastAsia="zh-CN"/>
        </w:rPr>
        <w:t>本地用户终端的保护标准</w:t>
      </w:r>
    </w:p>
    <w:p w:rsidR="00A56E42" w:rsidRPr="00A56E42" w:rsidRDefault="00D67D2E" w:rsidP="00A56E42">
      <w:pPr>
        <w:pStyle w:val="AnnexNotitle"/>
      </w:pPr>
      <w:r>
        <w:rPr>
          <w:lang w:eastAsia="zh-CN"/>
        </w:rPr>
        <w:br w:type="page"/>
      </w:r>
      <w:r w:rsidRPr="00A56E42">
        <w:rPr>
          <w:rFonts w:hint="eastAsia"/>
        </w:rPr>
        <w:lastRenderedPageBreak/>
        <w:t>附件</w:t>
      </w:r>
      <w:r w:rsidRPr="00A56E42">
        <w:t>2</w:t>
      </w:r>
    </w:p>
    <w:p w:rsidR="00D67D2E" w:rsidRPr="00A56E42" w:rsidRDefault="00546F8B" w:rsidP="00A56E42">
      <w:pPr>
        <w:pStyle w:val="AnnexNotitle"/>
      </w:pPr>
      <w:r w:rsidRPr="00A56E42">
        <w:rPr>
          <w:rFonts w:hint="eastAsia"/>
        </w:rPr>
        <w:t>废除的建议书</w:t>
      </w:r>
      <w:r w:rsidR="00A56E42" w:rsidRPr="00A56E42">
        <w:rPr>
          <w:rFonts w:hint="eastAsia"/>
        </w:rPr>
        <w:t>清单</w:t>
      </w:r>
    </w:p>
    <w:p w:rsidR="00D67D2E" w:rsidRDefault="00D67D2E" w:rsidP="00A56E42">
      <w:pPr>
        <w:rPr>
          <w:lang w:eastAsia="zh-CN"/>
        </w:rPr>
      </w:pPr>
    </w:p>
    <w:p w:rsidR="00D67D2E" w:rsidRDefault="00D67D2E" w:rsidP="00A56E42">
      <w:pPr>
        <w:rPr>
          <w:lang w:eastAsia="zh-CN"/>
        </w:rPr>
      </w:pPr>
    </w:p>
    <w:tbl>
      <w:tblPr>
        <w:tblW w:w="9854" w:type="dxa"/>
        <w:jc w:val="center"/>
        <w:tblLayout w:type="fixed"/>
        <w:tblLook w:val="0000"/>
      </w:tblPr>
      <w:tblGrid>
        <w:gridCol w:w="1951"/>
        <w:gridCol w:w="7903"/>
      </w:tblGrid>
      <w:tr w:rsidR="00D67D2E" w:rsidRPr="00AD0930" w:rsidTr="0051072C">
        <w:trPr>
          <w:trHeight w:val="51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2E" w:rsidRPr="00AD0930" w:rsidRDefault="00D67D2E" w:rsidP="00A56E42">
            <w:pPr>
              <w:pStyle w:val="Tablehead"/>
              <w:rPr>
                <w:lang w:val="en-US" w:eastAsia="ja-JP"/>
              </w:rPr>
            </w:pPr>
            <w:r w:rsidRPr="00AD0930">
              <w:rPr>
                <w:lang w:val="en-US" w:eastAsia="ja-JP"/>
              </w:rPr>
              <w:t>ITU-R</w:t>
            </w:r>
            <w:r>
              <w:rPr>
                <w:rFonts w:hint="eastAsia"/>
                <w:lang w:val="en-US" w:eastAsia="zh-CN"/>
              </w:rPr>
              <w:t>建议书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D2E" w:rsidRPr="00AD0930" w:rsidRDefault="00D67D2E" w:rsidP="00A56E42">
            <w:pPr>
              <w:pStyle w:val="Tablehead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标题</w:t>
            </w:r>
          </w:p>
        </w:tc>
      </w:tr>
      <w:tr w:rsidR="00546F8B" w:rsidRPr="00AD0930" w:rsidTr="00510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546F8B" w:rsidRPr="00E03872" w:rsidRDefault="00681CC7" w:rsidP="00A56E42">
            <w:pPr>
              <w:pStyle w:val="Tabletext"/>
              <w:jc w:val="center"/>
              <w:rPr>
                <w:rFonts w:eastAsia="Arial Unicode MS"/>
                <w:lang w:val="fr-CH"/>
              </w:rPr>
            </w:pPr>
            <w:hyperlink r:id="rId9" w:history="1">
              <w:r w:rsidR="00546F8B" w:rsidRPr="00E03872">
                <w:rPr>
                  <w:rStyle w:val="Strong"/>
                  <w:b w:val="0"/>
                  <w:bCs w:val="0"/>
                  <w:lang w:val="fr-CH"/>
                </w:rPr>
                <w:t>BO.786</w:t>
              </w:r>
            </w:hyperlink>
          </w:p>
        </w:tc>
        <w:tc>
          <w:tcPr>
            <w:tcW w:w="7903" w:type="dxa"/>
            <w:vAlign w:val="center"/>
          </w:tcPr>
          <w:p w:rsidR="00546F8B" w:rsidRPr="00E03872" w:rsidRDefault="00546F8B" w:rsidP="00A56E42">
            <w:pPr>
              <w:pStyle w:val="Tabletext"/>
              <w:rPr>
                <w:rFonts w:eastAsia="Arial Unicode MS"/>
                <w:lang w:val="fr-CH" w:eastAsia="zh-CN"/>
              </w:rPr>
            </w:pPr>
            <w:r>
              <w:rPr>
                <w:rFonts w:hint="eastAsia"/>
                <w:lang w:eastAsia="zh-CN"/>
              </w:rPr>
              <w:t>高清晰度电视（</w:t>
            </w:r>
            <w:r>
              <w:rPr>
                <w:lang w:eastAsia="zh-CN"/>
              </w:rPr>
              <w:t>HDTV</w:t>
            </w:r>
            <w:r>
              <w:rPr>
                <w:rFonts w:hint="eastAsia"/>
                <w:lang w:eastAsia="zh-CN"/>
              </w:rPr>
              <w:t>）卫星广播业务的</w:t>
            </w:r>
            <w:r>
              <w:rPr>
                <w:lang w:eastAsia="zh-CN"/>
              </w:rPr>
              <w:t>MUSE</w:t>
            </w:r>
            <w:r>
              <w:rPr>
                <w:rFonts w:hint="eastAsia"/>
                <w:lang w:eastAsia="zh-CN"/>
              </w:rPr>
              <w:t>系统</w:t>
            </w:r>
          </w:p>
        </w:tc>
      </w:tr>
      <w:tr w:rsidR="00546F8B" w:rsidRPr="00AD0930" w:rsidTr="001F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546F8B" w:rsidRPr="00712557" w:rsidRDefault="00546F8B" w:rsidP="00A56E42">
            <w:pPr>
              <w:pStyle w:val="Tabletext"/>
              <w:jc w:val="center"/>
              <w:rPr>
                <w:szCs w:val="22"/>
              </w:rPr>
            </w:pPr>
            <w:r w:rsidRPr="00712557">
              <w:rPr>
                <w:szCs w:val="22"/>
              </w:rPr>
              <w:t>SF.1484-1</w:t>
            </w:r>
          </w:p>
        </w:tc>
        <w:tc>
          <w:tcPr>
            <w:tcW w:w="7903" w:type="dxa"/>
          </w:tcPr>
          <w:p w:rsidR="00546F8B" w:rsidRPr="00712557" w:rsidRDefault="00546F8B" w:rsidP="00A56E42">
            <w:pPr>
              <w:pStyle w:val="Tabletext"/>
              <w:rPr>
                <w:szCs w:val="22"/>
                <w:lang w:eastAsia="zh-CN"/>
              </w:rPr>
            </w:pPr>
            <w:r>
              <w:rPr>
                <w:rFonts w:hAnsi="SimSun" w:hint="eastAsia"/>
                <w:szCs w:val="22"/>
                <w:lang w:eastAsia="zh-CN"/>
              </w:rPr>
              <w:t>旨在保护固定业务的</w:t>
            </w:r>
            <w:r w:rsidRPr="00712557">
              <w:rPr>
                <w:rFonts w:hAnsi="SimSun"/>
                <w:szCs w:val="22"/>
                <w:lang w:eastAsia="zh-CN"/>
              </w:rPr>
              <w:t>运行于</w:t>
            </w:r>
            <w:r w:rsidRPr="00712557">
              <w:rPr>
                <w:szCs w:val="22"/>
                <w:lang w:eastAsia="zh-CN"/>
              </w:rPr>
              <w:t>37.5-42.5 GHz</w:t>
            </w:r>
            <w:r w:rsidRPr="00712557">
              <w:rPr>
                <w:rFonts w:hAnsi="SimSun"/>
                <w:szCs w:val="22"/>
                <w:lang w:eastAsia="zh-CN"/>
              </w:rPr>
              <w:t>频段的卫星固定</w:t>
            </w:r>
            <w:r>
              <w:rPr>
                <w:rFonts w:hAnsi="SimSun" w:hint="eastAsia"/>
                <w:szCs w:val="22"/>
                <w:lang w:eastAsia="zh-CN"/>
              </w:rPr>
              <w:t>业务</w:t>
            </w:r>
            <w:r w:rsidRPr="00712557">
              <w:rPr>
                <w:rFonts w:hAnsi="SimSun"/>
                <w:szCs w:val="22"/>
                <w:lang w:eastAsia="zh-CN"/>
              </w:rPr>
              <w:t>非对地静止轨道卫星在地球表面产生的功率通量密度（</w:t>
            </w:r>
            <w:r w:rsidRPr="00712557">
              <w:rPr>
                <w:szCs w:val="22"/>
                <w:lang w:eastAsia="zh-CN"/>
              </w:rPr>
              <w:t>pfd</w:t>
            </w:r>
            <w:r w:rsidRPr="00712557">
              <w:rPr>
                <w:rFonts w:hAnsi="SimSun"/>
                <w:szCs w:val="22"/>
                <w:lang w:eastAsia="zh-CN"/>
              </w:rPr>
              <w:t>）的最大容许值</w:t>
            </w:r>
          </w:p>
        </w:tc>
      </w:tr>
      <w:tr w:rsidR="00546F8B" w:rsidRPr="00AD0930" w:rsidTr="001F3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951" w:type="dxa"/>
          </w:tcPr>
          <w:p w:rsidR="00546F8B" w:rsidRPr="00712557" w:rsidRDefault="00546F8B" w:rsidP="00A56E42">
            <w:pPr>
              <w:pStyle w:val="Tabletext"/>
              <w:jc w:val="center"/>
              <w:rPr>
                <w:szCs w:val="22"/>
              </w:rPr>
            </w:pPr>
            <w:r w:rsidRPr="00712557">
              <w:rPr>
                <w:szCs w:val="22"/>
              </w:rPr>
              <w:t>SF.1573</w:t>
            </w:r>
          </w:p>
        </w:tc>
        <w:tc>
          <w:tcPr>
            <w:tcW w:w="7903" w:type="dxa"/>
          </w:tcPr>
          <w:p w:rsidR="00546F8B" w:rsidRPr="00712557" w:rsidRDefault="00546F8B" w:rsidP="00A56E42">
            <w:pPr>
              <w:pStyle w:val="Tabletext"/>
              <w:rPr>
                <w:szCs w:val="22"/>
                <w:lang w:eastAsia="zh-CN"/>
              </w:rPr>
            </w:pPr>
            <w:r>
              <w:rPr>
                <w:rFonts w:hAnsi="SimSun" w:hint="eastAsia"/>
                <w:szCs w:val="22"/>
                <w:lang w:eastAsia="zh-CN"/>
              </w:rPr>
              <w:t>旨在保护固定业务的</w:t>
            </w:r>
            <w:r w:rsidRPr="00712557">
              <w:rPr>
                <w:rFonts w:hAnsi="SimSun"/>
                <w:szCs w:val="22"/>
                <w:lang w:eastAsia="zh-CN"/>
              </w:rPr>
              <w:t>运行于</w:t>
            </w:r>
            <w:r w:rsidRPr="00712557">
              <w:rPr>
                <w:szCs w:val="22"/>
                <w:lang w:eastAsia="zh-CN"/>
              </w:rPr>
              <w:t>37.5-42.5 GHz</w:t>
            </w:r>
            <w:r w:rsidRPr="00712557">
              <w:rPr>
                <w:rFonts w:hAnsi="SimSun"/>
                <w:szCs w:val="22"/>
                <w:lang w:eastAsia="zh-CN"/>
              </w:rPr>
              <w:t>频段的卫星固定</w:t>
            </w:r>
            <w:r>
              <w:rPr>
                <w:rFonts w:hAnsi="SimSun" w:hint="eastAsia"/>
                <w:szCs w:val="22"/>
                <w:lang w:eastAsia="zh-CN"/>
              </w:rPr>
              <w:t>业务</w:t>
            </w:r>
            <w:r w:rsidRPr="00712557">
              <w:rPr>
                <w:rFonts w:hAnsi="SimSun"/>
                <w:szCs w:val="22"/>
                <w:lang w:eastAsia="zh-CN"/>
              </w:rPr>
              <w:t>对地静止轨道卫星在地球表面产生的功率通量密度（</w:t>
            </w:r>
            <w:r w:rsidRPr="00712557">
              <w:rPr>
                <w:szCs w:val="22"/>
                <w:lang w:eastAsia="zh-CN"/>
              </w:rPr>
              <w:t>pfd</w:t>
            </w:r>
            <w:r w:rsidRPr="00712557">
              <w:rPr>
                <w:rFonts w:hAnsi="SimSun"/>
                <w:szCs w:val="22"/>
                <w:lang w:eastAsia="zh-CN"/>
              </w:rPr>
              <w:t>）的最大容许值</w:t>
            </w:r>
          </w:p>
        </w:tc>
      </w:tr>
    </w:tbl>
    <w:p w:rsidR="00D67D2E" w:rsidRDefault="00D67D2E" w:rsidP="00A56E42">
      <w:pPr>
        <w:rPr>
          <w:lang w:eastAsia="zh-CN"/>
        </w:rPr>
      </w:pPr>
    </w:p>
    <w:p w:rsidR="00D67D2E" w:rsidRDefault="00D67D2E" w:rsidP="00A56E42">
      <w:pPr>
        <w:rPr>
          <w:lang w:eastAsia="zh-CN"/>
        </w:rPr>
      </w:pPr>
    </w:p>
    <w:p w:rsidR="00D67D2E" w:rsidRDefault="00D67D2E" w:rsidP="00A56E42">
      <w:pPr>
        <w:rPr>
          <w:lang w:eastAsia="zh-CN"/>
        </w:rPr>
      </w:pPr>
    </w:p>
    <w:p w:rsidR="00D67D2E" w:rsidRPr="0051072C" w:rsidRDefault="00D67D2E" w:rsidP="00A56E42">
      <w:pPr>
        <w:pStyle w:val="Normalaftertitle"/>
        <w:jc w:val="center"/>
        <w:rPr>
          <w:lang w:eastAsia="zh-CN"/>
        </w:rPr>
      </w:pPr>
      <w:r>
        <w:rPr>
          <w:lang w:eastAsia="zh-CN"/>
        </w:rPr>
        <w:t>______________</w:t>
      </w:r>
    </w:p>
    <w:p w:rsidR="00D67D2E" w:rsidRDefault="00D67D2E" w:rsidP="00A56E42">
      <w:pPr>
        <w:rPr>
          <w:lang w:eastAsia="zh-CN"/>
        </w:rPr>
      </w:pPr>
    </w:p>
    <w:sectPr w:rsidR="00D67D2E" w:rsidSect="006E28BB">
      <w:headerReference w:type="default" r:id="rId10"/>
      <w:footerReference w:type="default" r:id="rId11"/>
      <w:footerReference w:type="first" r:id="rId12"/>
      <w:pgSz w:w="11907" w:h="16840" w:code="9"/>
      <w:pgMar w:top="1440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3F" w:rsidRDefault="001F323F" w:rsidP="00C1315E">
      <w:pPr>
        <w:spacing w:before="0"/>
      </w:pPr>
      <w:r>
        <w:separator/>
      </w:r>
    </w:p>
  </w:endnote>
  <w:endnote w:type="continuationSeparator" w:id="0">
    <w:p w:rsidR="001F323F" w:rsidRDefault="001F323F" w:rsidP="00C1315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3F" w:rsidRPr="004A5571" w:rsidRDefault="004A5571" w:rsidP="004A5571">
    <w:pPr>
      <w:pStyle w:val="Footer"/>
      <w:rPr>
        <w:sz w:val="16"/>
        <w:szCs w:val="16"/>
      </w:rPr>
    </w:pPr>
    <w:fldSimple w:instr=" FILENAME  \p  \* MERGEFORMAT ">
      <w:r>
        <w:rPr>
          <w:noProof/>
          <w:sz w:val="16"/>
          <w:szCs w:val="16"/>
        </w:rPr>
        <w:t>Y:\APP\BR\CIRCS_DMS\CACE\500\520\520C.DOCX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1F323F" w:rsidTr="001632A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F323F" w:rsidRDefault="001F323F" w:rsidP="001632A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F323F" w:rsidTr="001632A6">
      <w:trPr>
        <w:cantSplit/>
      </w:trPr>
      <w:tc>
        <w:tcPr>
          <w:tcW w:w="1062" w:type="pct"/>
        </w:tcPr>
        <w:p w:rsidR="001F323F" w:rsidRDefault="001F323F" w:rsidP="001632A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1F323F" w:rsidRDefault="001F323F" w:rsidP="001632A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1F323F" w:rsidRDefault="001F323F" w:rsidP="001632A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1F323F" w:rsidRDefault="001F323F" w:rsidP="001632A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F323F" w:rsidTr="001632A6">
      <w:trPr>
        <w:cantSplit/>
      </w:trPr>
      <w:tc>
        <w:tcPr>
          <w:tcW w:w="1062" w:type="pct"/>
        </w:tcPr>
        <w:p w:rsidR="001F323F" w:rsidRDefault="001F323F" w:rsidP="001632A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1F323F" w:rsidRDefault="001F323F" w:rsidP="001632A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1F323F" w:rsidRDefault="001F323F" w:rsidP="001632A6">
          <w:pPr>
            <w:pStyle w:val="itu"/>
          </w:pPr>
        </w:p>
      </w:tc>
      <w:tc>
        <w:tcPr>
          <w:tcW w:w="1131" w:type="pct"/>
        </w:tcPr>
        <w:p w:rsidR="001F323F" w:rsidRDefault="001F323F" w:rsidP="001632A6">
          <w:pPr>
            <w:pStyle w:val="itu"/>
          </w:pPr>
        </w:p>
      </w:tc>
    </w:tr>
  </w:tbl>
  <w:p w:rsidR="001F323F" w:rsidRPr="006E28BB" w:rsidRDefault="001F323F" w:rsidP="006E28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3F" w:rsidRDefault="001F323F" w:rsidP="00C1315E">
      <w:pPr>
        <w:spacing w:before="0"/>
      </w:pPr>
      <w:r>
        <w:separator/>
      </w:r>
    </w:p>
  </w:footnote>
  <w:footnote w:type="continuationSeparator" w:id="0">
    <w:p w:rsidR="001F323F" w:rsidRDefault="001F323F" w:rsidP="00C1315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23F" w:rsidRPr="008D1EB1" w:rsidRDefault="001F323F" w:rsidP="008D1EB1">
    <w:pPr>
      <w:pStyle w:val="Header"/>
      <w:jc w:val="center"/>
      <w:rPr>
        <w:sz w:val="18"/>
        <w:szCs w:val="18"/>
      </w:rPr>
    </w:pPr>
    <w:r w:rsidRPr="00C1315E">
      <w:rPr>
        <w:sz w:val="18"/>
        <w:szCs w:val="18"/>
        <w:lang w:eastAsia="zh-CN"/>
      </w:rPr>
      <w:t xml:space="preserve">- </w:t>
    </w:r>
    <w:r w:rsidR="00681CC7" w:rsidRPr="00C1315E">
      <w:rPr>
        <w:sz w:val="18"/>
        <w:szCs w:val="18"/>
      </w:rPr>
      <w:fldChar w:fldCharType="begin"/>
    </w:r>
    <w:r w:rsidRPr="00C1315E">
      <w:rPr>
        <w:sz w:val="18"/>
        <w:szCs w:val="18"/>
      </w:rPr>
      <w:instrText xml:space="preserve"> PAGE   \* MERGEFORMAT </w:instrText>
    </w:r>
    <w:r w:rsidR="00681CC7" w:rsidRPr="00C1315E">
      <w:rPr>
        <w:sz w:val="18"/>
        <w:szCs w:val="18"/>
      </w:rPr>
      <w:fldChar w:fldCharType="separate"/>
    </w:r>
    <w:r w:rsidR="004A5571">
      <w:rPr>
        <w:noProof/>
        <w:sz w:val="18"/>
        <w:szCs w:val="18"/>
      </w:rPr>
      <w:t>3</w:t>
    </w:r>
    <w:r w:rsidR="00681CC7" w:rsidRPr="00C1315E">
      <w:rPr>
        <w:sz w:val="18"/>
        <w:szCs w:val="18"/>
      </w:rPr>
      <w:fldChar w:fldCharType="end"/>
    </w:r>
    <w:r w:rsidRPr="00C1315E">
      <w:rPr>
        <w:sz w:val="18"/>
        <w:szCs w:val="18"/>
        <w:lang w:eastAsia="zh-CN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8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072C"/>
    <w:rsid w:val="00006ECE"/>
    <w:rsid w:val="0001176A"/>
    <w:rsid w:val="00040CB7"/>
    <w:rsid w:val="00097F15"/>
    <w:rsid w:val="000B3543"/>
    <w:rsid w:val="000D12B0"/>
    <w:rsid w:val="001245EA"/>
    <w:rsid w:val="00147E21"/>
    <w:rsid w:val="001632A6"/>
    <w:rsid w:val="00181FBC"/>
    <w:rsid w:val="001A6C73"/>
    <w:rsid w:val="001C17A3"/>
    <w:rsid w:val="001F08C6"/>
    <w:rsid w:val="001F323F"/>
    <w:rsid w:val="001F4E9F"/>
    <w:rsid w:val="002514A0"/>
    <w:rsid w:val="002B7671"/>
    <w:rsid w:val="002F00FB"/>
    <w:rsid w:val="00322B64"/>
    <w:rsid w:val="00324FA5"/>
    <w:rsid w:val="00396BAB"/>
    <w:rsid w:val="004A1A52"/>
    <w:rsid w:val="004A5571"/>
    <w:rsid w:val="004D29AD"/>
    <w:rsid w:val="0051072C"/>
    <w:rsid w:val="005369A0"/>
    <w:rsid w:val="00546F8B"/>
    <w:rsid w:val="005631E9"/>
    <w:rsid w:val="00575F05"/>
    <w:rsid w:val="00593F5A"/>
    <w:rsid w:val="005C0E7E"/>
    <w:rsid w:val="00681CC7"/>
    <w:rsid w:val="0068376F"/>
    <w:rsid w:val="00694F01"/>
    <w:rsid w:val="006E28BB"/>
    <w:rsid w:val="00722C6B"/>
    <w:rsid w:val="00765EF4"/>
    <w:rsid w:val="007820B4"/>
    <w:rsid w:val="007C5368"/>
    <w:rsid w:val="008A57EC"/>
    <w:rsid w:val="008D1EB1"/>
    <w:rsid w:val="009071C5"/>
    <w:rsid w:val="00912040"/>
    <w:rsid w:val="00937F87"/>
    <w:rsid w:val="009828BD"/>
    <w:rsid w:val="00A100CE"/>
    <w:rsid w:val="00A56E42"/>
    <w:rsid w:val="00A66FD4"/>
    <w:rsid w:val="00A82B27"/>
    <w:rsid w:val="00A979BC"/>
    <w:rsid w:val="00AD0930"/>
    <w:rsid w:val="00AE6011"/>
    <w:rsid w:val="00B321BC"/>
    <w:rsid w:val="00B47A42"/>
    <w:rsid w:val="00B63556"/>
    <w:rsid w:val="00BC231B"/>
    <w:rsid w:val="00C1315E"/>
    <w:rsid w:val="00C247D9"/>
    <w:rsid w:val="00C725EC"/>
    <w:rsid w:val="00C950AA"/>
    <w:rsid w:val="00CE3212"/>
    <w:rsid w:val="00D35752"/>
    <w:rsid w:val="00D65BE9"/>
    <w:rsid w:val="00D67D2E"/>
    <w:rsid w:val="00E2347F"/>
    <w:rsid w:val="00E543EB"/>
    <w:rsid w:val="00E90353"/>
    <w:rsid w:val="00EE1E7B"/>
    <w:rsid w:val="00EF40A9"/>
    <w:rsid w:val="00F40936"/>
    <w:rsid w:val="00F664A6"/>
    <w:rsid w:val="00F90081"/>
    <w:rsid w:val="00FA0912"/>
    <w:rsid w:val="00FC1EFE"/>
    <w:rsid w:val="00FD707E"/>
    <w:rsid w:val="00FE2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uiPriority w:val="99"/>
    <w:rsid w:val="0051072C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odyTextIndent2">
    <w:name w:val="Body Text Indent 2"/>
    <w:basedOn w:val="Normal"/>
    <w:link w:val="BodyTextIndent2Char"/>
    <w:uiPriority w:val="99"/>
    <w:rsid w:val="005107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664A6"/>
    <w:rPr>
      <w:rFonts w:cs="Times New Roman"/>
      <w:sz w:val="20"/>
      <w:szCs w:val="20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51072C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Notitle">
    <w:name w:val="Annex_No &amp; title"/>
    <w:basedOn w:val="Normal"/>
    <w:next w:val="Normalaftertitle"/>
    <w:uiPriority w:val="99"/>
    <w:rsid w:val="0051072C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51072C"/>
    <w:pPr>
      <w:spacing w:before="360"/>
    </w:pPr>
  </w:style>
  <w:style w:type="paragraph" w:customStyle="1" w:styleId="Rectitle">
    <w:name w:val="Rec_title"/>
    <w:basedOn w:val="Normal"/>
    <w:next w:val="Normalaftertitle"/>
    <w:uiPriority w:val="99"/>
    <w:rsid w:val="0051072C"/>
    <w:pPr>
      <w:keepNext/>
      <w:keepLines/>
      <w:spacing w:before="360"/>
      <w:jc w:val="center"/>
    </w:pPr>
    <w:rPr>
      <w:b/>
      <w:sz w:val="28"/>
    </w:rPr>
  </w:style>
  <w:style w:type="paragraph" w:customStyle="1" w:styleId="Arttitle">
    <w:name w:val="Art_title"/>
    <w:basedOn w:val="Normal"/>
    <w:next w:val="Normal"/>
    <w:uiPriority w:val="99"/>
    <w:rsid w:val="0051072C"/>
    <w:pPr>
      <w:keepNext/>
      <w:keepLines/>
      <w:spacing w:before="240"/>
      <w:jc w:val="center"/>
    </w:pPr>
    <w:rPr>
      <w:b/>
      <w:sz w:val="28"/>
    </w:rPr>
  </w:style>
  <w:style w:type="paragraph" w:customStyle="1" w:styleId="Tablehead">
    <w:name w:val="Table_head"/>
    <w:basedOn w:val="Normal"/>
    <w:next w:val="Tabletext"/>
    <w:uiPriority w:val="99"/>
    <w:rsid w:val="0051072C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51072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styleId="Header">
    <w:name w:val="header"/>
    <w:basedOn w:val="Normal"/>
    <w:link w:val="HeaderChar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1315E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rsid w:val="00C1315E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15E"/>
    <w:rPr>
      <w:rFonts w:cs="Times New Roman"/>
      <w:sz w:val="24"/>
      <w:lang w:val="en-GB" w:eastAsia="en-US"/>
    </w:rPr>
  </w:style>
  <w:style w:type="paragraph" w:customStyle="1" w:styleId="itu">
    <w:name w:val="itu"/>
    <w:basedOn w:val="Normal"/>
    <w:uiPriority w:val="99"/>
    <w:rsid w:val="00C1315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character" w:styleId="Hyperlink">
    <w:name w:val="Hyperlink"/>
    <w:basedOn w:val="DefaultParagraphFont"/>
    <w:uiPriority w:val="99"/>
    <w:rsid w:val="006E28BB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locked/>
    <w:rsid w:val="00546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eb.itu.int/rec/recommendation.asp?type=folders&amp;lang=f&amp;parent=R-REC-BO.78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F86B-0849-41CC-A169-6C9227D2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 际 电 信 联 盟</vt:lpstr>
    </vt:vector>
  </TitlesOfParts>
  <Company>ITU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 际 电 信 联 盟</dc:title>
  <dc:subject/>
  <dc:creator>lei</dc:creator>
  <cp:keywords/>
  <dc:description/>
  <cp:lastModifiedBy>fernandv</cp:lastModifiedBy>
  <cp:revision>3</cp:revision>
  <cp:lastPrinted>2010-12-10T13:39:00Z</cp:lastPrinted>
  <dcterms:created xsi:type="dcterms:W3CDTF">2010-12-10T13:38:00Z</dcterms:created>
  <dcterms:modified xsi:type="dcterms:W3CDTF">2010-12-10T13:39:00Z</dcterms:modified>
</cp:coreProperties>
</file>