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081D6E">
            <w:pPr>
              <w:spacing w:before="0"/>
              <w:jc w:val="left"/>
              <w:rPr>
                <w:rFonts w:cstheme="minorHAnsi"/>
                <w:b/>
                <w:bCs/>
                <w:color w:val="808080"/>
                <w:sz w:val="28"/>
                <w:szCs w:val="28"/>
                <w:lang w:val="en-GB"/>
              </w:rPr>
            </w:pPr>
            <w:bookmarkStart w:id="0" w:name="_GoBack"/>
            <w:bookmarkEnd w:id="0"/>
            <w:r w:rsidRPr="00140FEC">
              <w:rPr>
                <w:rFonts w:cstheme="minorHAnsi"/>
                <w:b/>
                <w:bCs/>
                <w:color w:val="808080"/>
                <w:sz w:val="28"/>
                <w:szCs w:val="28"/>
              </w:rPr>
              <w:t>Bureau des radiocommunications (BR)</w:t>
            </w:r>
          </w:p>
          <w:p w:rsidR="00E53DCE" w:rsidRDefault="00E53DCE" w:rsidP="00081D6E">
            <w:pPr>
              <w:spacing w:before="0"/>
              <w:jc w:val="left"/>
              <w:rPr>
                <w:rFonts w:cstheme="minorHAnsi"/>
                <w:b/>
                <w:bCs/>
                <w:color w:val="808080"/>
                <w:sz w:val="28"/>
                <w:szCs w:val="28"/>
                <w:lang w:val="en-GB"/>
              </w:rPr>
            </w:pPr>
          </w:p>
          <w:p w:rsidR="00E53DCE" w:rsidRPr="00AF70DA" w:rsidRDefault="00E53DCE" w:rsidP="00081D6E">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081D6E">
            <w:pPr>
              <w:spacing w:before="0"/>
              <w:jc w:val="left"/>
              <w:rPr>
                <w:sz w:val="28"/>
                <w:szCs w:val="28"/>
                <w:lang w:val="fr-CH"/>
              </w:rPr>
            </w:pPr>
            <w:r w:rsidRPr="00773F7E">
              <w:rPr>
                <w:szCs w:val="24"/>
              </w:rPr>
              <w:t>Circulaire administrative</w:t>
            </w:r>
          </w:p>
          <w:p w:rsidR="00E53DCE" w:rsidRPr="00773F7E" w:rsidRDefault="00E53DCE" w:rsidP="00081D6E">
            <w:pPr>
              <w:spacing w:before="0"/>
              <w:jc w:val="left"/>
              <w:rPr>
                <w:b/>
                <w:bCs/>
                <w:sz w:val="28"/>
                <w:szCs w:val="28"/>
                <w:lang w:val="fr-CH"/>
              </w:rPr>
            </w:pPr>
            <w:r w:rsidRPr="00773F7E">
              <w:rPr>
                <w:b/>
                <w:bCs/>
                <w:szCs w:val="24"/>
                <w:lang w:val="fr-CH"/>
              </w:rPr>
              <w:t>CA/</w:t>
            </w:r>
            <w:r w:rsidR="00081D6E">
              <w:rPr>
                <w:b/>
                <w:bCs/>
                <w:szCs w:val="24"/>
                <w:lang w:val="fr-CH"/>
              </w:rPr>
              <w:t>229</w:t>
            </w:r>
          </w:p>
        </w:tc>
        <w:tc>
          <w:tcPr>
            <w:tcW w:w="2835" w:type="dxa"/>
            <w:shd w:val="clear" w:color="auto" w:fill="auto"/>
          </w:tcPr>
          <w:p w:rsidR="00E53DCE" w:rsidRPr="00773F7E" w:rsidRDefault="00081D6E" w:rsidP="00081D6E">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68BE52C4B33D42B9A9E341A88DC7E93A"/>
                </w:placeholder>
                <w:date>
                  <w:dateFormat w:val="d MMMM yyyy"/>
                  <w:lid w:val="fr-FR"/>
                  <w:storeMappedDataAs w:val="date"/>
                  <w:calendar w:val="gregorian"/>
                </w:date>
              </w:sdtPr>
              <w:sdtEndPr/>
              <w:sdtContent>
                <w:r>
                  <w:rPr>
                    <w:rFonts w:cs="Arial"/>
                    <w:szCs w:val="24"/>
                  </w:rPr>
                  <w:t>24 juin 2016</w:t>
                </w:r>
              </w:sdtContent>
            </w:sdt>
          </w:p>
        </w:tc>
      </w:tr>
      <w:tr w:rsidR="00E53DCE" w:rsidRPr="00773F7E" w:rsidTr="004228FA">
        <w:trPr>
          <w:jc w:val="center"/>
        </w:trPr>
        <w:tc>
          <w:tcPr>
            <w:tcW w:w="9889" w:type="dxa"/>
            <w:gridSpan w:val="3"/>
            <w:shd w:val="clear" w:color="auto" w:fill="auto"/>
          </w:tcPr>
          <w:p w:rsidR="00E53DCE" w:rsidRPr="00773F7E" w:rsidRDefault="00E53DCE" w:rsidP="00081D6E">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081D6E">
            <w:pPr>
              <w:spacing w:before="0"/>
              <w:jc w:val="left"/>
              <w:rPr>
                <w:szCs w:val="24"/>
              </w:rPr>
            </w:pPr>
          </w:p>
        </w:tc>
      </w:tr>
      <w:tr w:rsidR="00E53DCE" w:rsidRPr="00081D6E" w:rsidTr="004228FA">
        <w:trPr>
          <w:jc w:val="center"/>
        </w:trPr>
        <w:tc>
          <w:tcPr>
            <w:tcW w:w="9889" w:type="dxa"/>
            <w:gridSpan w:val="3"/>
            <w:shd w:val="clear" w:color="auto" w:fill="auto"/>
          </w:tcPr>
          <w:p w:rsidR="00E53DCE" w:rsidRPr="002569F7" w:rsidRDefault="00EE1A57" w:rsidP="00081D6E">
            <w:pPr>
              <w:spacing w:before="0"/>
              <w:jc w:val="left"/>
              <w:rPr>
                <w:b/>
                <w:bCs/>
                <w:szCs w:val="24"/>
                <w:lang w:val="fr-CH"/>
              </w:rPr>
            </w:pPr>
            <w:r w:rsidRPr="002569F7">
              <w:rPr>
                <w:b/>
                <w:bCs/>
                <w:szCs w:val="24"/>
                <w:lang w:val="fr-CH"/>
              </w:rPr>
              <w:t>Aux Administrations des Etats Membres de l'UIT</w:t>
            </w:r>
            <w:r w:rsidR="00081D6E" w:rsidRPr="00F04418">
              <w:rPr>
                <w:b/>
                <w:bCs/>
                <w:szCs w:val="24"/>
                <w:lang w:val="fr-FR"/>
              </w:rPr>
              <w:t xml:space="preserve"> et</w:t>
            </w:r>
            <w:r w:rsidR="00081D6E" w:rsidRPr="00F04418">
              <w:rPr>
                <w:b/>
                <w:bCs/>
                <w:szCs w:val="24"/>
                <w:lang w:val="fr-FR"/>
              </w:rPr>
              <w:br/>
              <w:t>aux Membres du Secteur des radiocommunications</w:t>
            </w:r>
          </w:p>
          <w:p w:rsidR="00E53DCE" w:rsidRPr="00773F7E" w:rsidRDefault="00E53DCE" w:rsidP="00081D6E">
            <w:pPr>
              <w:spacing w:before="0"/>
              <w:jc w:val="left"/>
              <w:rPr>
                <w:b/>
                <w:bCs/>
                <w:szCs w:val="24"/>
                <w:lang w:val="fr-CH"/>
              </w:rPr>
            </w:pPr>
          </w:p>
        </w:tc>
      </w:tr>
      <w:tr w:rsidR="00E53DCE" w:rsidRPr="00081D6E" w:rsidTr="004228FA">
        <w:trPr>
          <w:jc w:val="center"/>
        </w:trPr>
        <w:tc>
          <w:tcPr>
            <w:tcW w:w="9889" w:type="dxa"/>
            <w:gridSpan w:val="3"/>
            <w:shd w:val="clear" w:color="auto" w:fill="auto"/>
          </w:tcPr>
          <w:p w:rsidR="00E53DCE" w:rsidRPr="00773F7E" w:rsidRDefault="00E53DCE" w:rsidP="00081D6E">
            <w:pPr>
              <w:spacing w:before="0"/>
              <w:jc w:val="left"/>
              <w:rPr>
                <w:szCs w:val="24"/>
                <w:lang w:val="fr-CH"/>
              </w:rPr>
            </w:pPr>
          </w:p>
        </w:tc>
      </w:tr>
      <w:tr w:rsidR="00E53DCE" w:rsidRPr="00081D6E" w:rsidTr="004228FA">
        <w:trPr>
          <w:jc w:val="center"/>
        </w:trPr>
        <w:tc>
          <w:tcPr>
            <w:tcW w:w="9889" w:type="dxa"/>
            <w:gridSpan w:val="3"/>
            <w:shd w:val="clear" w:color="auto" w:fill="auto"/>
          </w:tcPr>
          <w:p w:rsidR="00E53DCE" w:rsidRPr="00773F7E" w:rsidRDefault="00E53DCE" w:rsidP="00081D6E">
            <w:pPr>
              <w:spacing w:before="0"/>
              <w:jc w:val="left"/>
              <w:rPr>
                <w:szCs w:val="24"/>
                <w:lang w:val="fr-CH"/>
              </w:rPr>
            </w:pPr>
          </w:p>
        </w:tc>
      </w:tr>
      <w:tr w:rsidR="00E53DCE" w:rsidRPr="00081D6E" w:rsidTr="004228FA">
        <w:trPr>
          <w:jc w:val="center"/>
        </w:trPr>
        <w:tc>
          <w:tcPr>
            <w:tcW w:w="1526" w:type="dxa"/>
            <w:shd w:val="clear" w:color="auto" w:fill="auto"/>
          </w:tcPr>
          <w:p w:rsidR="00E53DCE" w:rsidRPr="00773F7E" w:rsidRDefault="003471C9" w:rsidP="00081D6E">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E53DCE" w:rsidRPr="00081D6E" w:rsidRDefault="00081D6E" w:rsidP="00081D6E">
            <w:pPr>
              <w:tabs>
                <w:tab w:val="clear" w:pos="1588"/>
                <w:tab w:val="left" w:pos="1560"/>
              </w:tabs>
              <w:spacing w:before="0"/>
              <w:jc w:val="left"/>
              <w:rPr>
                <w:b/>
                <w:bCs/>
                <w:szCs w:val="24"/>
                <w:lang w:val="fr-CH"/>
              </w:rPr>
            </w:pPr>
            <w:r w:rsidRPr="00F04418">
              <w:rPr>
                <w:b/>
                <w:bCs/>
                <w:lang w:val="fr-FR"/>
              </w:rPr>
              <w:t>Résumé des conclusions de la vingt-</w:t>
            </w:r>
            <w:r>
              <w:rPr>
                <w:b/>
                <w:bCs/>
                <w:lang w:val="fr-FR"/>
              </w:rPr>
              <w:t>troisième</w:t>
            </w:r>
            <w:r w:rsidRPr="00F04418">
              <w:rPr>
                <w:b/>
                <w:bCs/>
                <w:lang w:val="fr-FR"/>
              </w:rPr>
              <w:t xml:space="preserve"> réunion du Groupe consultatif </w:t>
            </w:r>
            <w:r w:rsidRPr="00F04418">
              <w:rPr>
                <w:b/>
                <w:bCs/>
                <w:lang w:val="fr-FR"/>
              </w:rPr>
              <w:br/>
              <w:t>des radiocommunications</w:t>
            </w:r>
          </w:p>
        </w:tc>
      </w:tr>
      <w:tr w:rsidR="00E53DCE" w:rsidRPr="00081D6E" w:rsidTr="004228FA">
        <w:trPr>
          <w:jc w:val="center"/>
        </w:trPr>
        <w:tc>
          <w:tcPr>
            <w:tcW w:w="1526" w:type="dxa"/>
            <w:shd w:val="clear" w:color="auto" w:fill="auto"/>
          </w:tcPr>
          <w:p w:rsidR="00E53DCE" w:rsidRPr="00081D6E" w:rsidRDefault="00E53DCE" w:rsidP="00081D6E">
            <w:pPr>
              <w:tabs>
                <w:tab w:val="clear" w:pos="1588"/>
                <w:tab w:val="left" w:pos="1560"/>
              </w:tabs>
              <w:spacing w:before="0"/>
              <w:jc w:val="left"/>
              <w:rPr>
                <w:b/>
                <w:bCs/>
                <w:szCs w:val="24"/>
                <w:lang w:val="fr-CH"/>
              </w:rPr>
            </w:pPr>
          </w:p>
        </w:tc>
        <w:tc>
          <w:tcPr>
            <w:tcW w:w="8363" w:type="dxa"/>
            <w:gridSpan w:val="2"/>
            <w:vMerge/>
            <w:shd w:val="clear" w:color="auto" w:fill="auto"/>
          </w:tcPr>
          <w:p w:rsidR="00E53DCE" w:rsidRPr="00081D6E" w:rsidRDefault="00E53DCE" w:rsidP="00081D6E">
            <w:pPr>
              <w:tabs>
                <w:tab w:val="clear" w:pos="1588"/>
                <w:tab w:val="left" w:pos="1560"/>
              </w:tabs>
              <w:spacing w:before="0"/>
              <w:rPr>
                <w:b/>
                <w:bCs/>
                <w:szCs w:val="24"/>
                <w:lang w:val="fr-CH"/>
              </w:rPr>
            </w:pPr>
          </w:p>
        </w:tc>
      </w:tr>
      <w:tr w:rsidR="00E53DCE" w:rsidRPr="00081D6E" w:rsidTr="004228FA">
        <w:trPr>
          <w:jc w:val="center"/>
        </w:trPr>
        <w:tc>
          <w:tcPr>
            <w:tcW w:w="1526" w:type="dxa"/>
            <w:shd w:val="clear" w:color="auto" w:fill="auto"/>
          </w:tcPr>
          <w:p w:rsidR="00E53DCE" w:rsidRPr="00081D6E" w:rsidRDefault="00E53DCE" w:rsidP="00081D6E">
            <w:pPr>
              <w:tabs>
                <w:tab w:val="clear" w:pos="1588"/>
                <w:tab w:val="left" w:pos="1560"/>
              </w:tabs>
              <w:spacing w:before="0"/>
              <w:jc w:val="left"/>
              <w:rPr>
                <w:b/>
                <w:bCs/>
                <w:szCs w:val="24"/>
                <w:lang w:val="fr-CH"/>
              </w:rPr>
            </w:pPr>
          </w:p>
        </w:tc>
        <w:tc>
          <w:tcPr>
            <w:tcW w:w="8363" w:type="dxa"/>
            <w:gridSpan w:val="2"/>
            <w:vMerge/>
            <w:shd w:val="clear" w:color="auto" w:fill="auto"/>
          </w:tcPr>
          <w:p w:rsidR="00E53DCE" w:rsidRPr="00081D6E" w:rsidRDefault="00E53DCE" w:rsidP="00081D6E">
            <w:pPr>
              <w:tabs>
                <w:tab w:val="clear" w:pos="1588"/>
                <w:tab w:val="left" w:pos="1560"/>
              </w:tabs>
              <w:spacing w:before="0"/>
              <w:rPr>
                <w:b/>
                <w:bCs/>
                <w:szCs w:val="24"/>
                <w:lang w:val="fr-CH"/>
              </w:rPr>
            </w:pPr>
          </w:p>
        </w:tc>
      </w:tr>
      <w:tr w:rsidR="00081D6E" w:rsidRPr="00081D6E" w:rsidTr="00081D6E">
        <w:trPr>
          <w:jc w:val="center"/>
        </w:trPr>
        <w:tc>
          <w:tcPr>
            <w:tcW w:w="1526" w:type="dxa"/>
            <w:shd w:val="clear" w:color="auto" w:fill="auto"/>
          </w:tcPr>
          <w:p w:rsidR="00081D6E" w:rsidRPr="00081D6E" w:rsidRDefault="00081D6E" w:rsidP="00E53DCE">
            <w:pPr>
              <w:tabs>
                <w:tab w:val="clear" w:pos="1588"/>
                <w:tab w:val="left" w:pos="1560"/>
              </w:tabs>
              <w:spacing w:before="0"/>
              <w:jc w:val="left"/>
              <w:rPr>
                <w:szCs w:val="24"/>
                <w:lang w:val="fr-CH"/>
              </w:rPr>
            </w:pPr>
            <w:r>
              <w:rPr>
                <w:szCs w:val="24"/>
                <w:lang w:val="fr-CH"/>
              </w:rPr>
              <w:t xml:space="preserve">Référence: </w:t>
            </w:r>
          </w:p>
        </w:tc>
        <w:tc>
          <w:tcPr>
            <w:tcW w:w="8363" w:type="dxa"/>
            <w:gridSpan w:val="2"/>
            <w:shd w:val="clear" w:color="auto" w:fill="auto"/>
          </w:tcPr>
          <w:p w:rsidR="00081D6E" w:rsidRPr="00081D6E" w:rsidRDefault="00081D6E" w:rsidP="00E53DCE">
            <w:pPr>
              <w:tabs>
                <w:tab w:val="clear" w:pos="1588"/>
                <w:tab w:val="left" w:pos="1560"/>
              </w:tabs>
              <w:spacing w:before="0"/>
              <w:jc w:val="left"/>
              <w:rPr>
                <w:szCs w:val="24"/>
                <w:lang w:val="fr-CH"/>
              </w:rPr>
            </w:pPr>
            <w:r w:rsidRPr="00F04418">
              <w:rPr>
                <w:b/>
                <w:bCs/>
                <w:lang w:val="fr-FR"/>
              </w:rPr>
              <w:t>Circulaire administrative CA/2</w:t>
            </w:r>
            <w:r>
              <w:rPr>
                <w:b/>
                <w:bCs/>
                <w:lang w:val="fr-FR"/>
              </w:rPr>
              <w:t>27</w:t>
            </w:r>
            <w:r w:rsidRPr="00F04418">
              <w:rPr>
                <w:b/>
                <w:bCs/>
                <w:lang w:val="fr-FR"/>
              </w:rPr>
              <w:t xml:space="preserve"> du 2</w:t>
            </w:r>
            <w:r>
              <w:rPr>
                <w:b/>
                <w:bCs/>
                <w:lang w:val="fr-FR"/>
              </w:rPr>
              <w:t>5</w:t>
            </w:r>
            <w:r w:rsidRPr="00F04418">
              <w:rPr>
                <w:b/>
                <w:bCs/>
                <w:lang w:val="fr-FR"/>
              </w:rPr>
              <w:t xml:space="preserve"> janvier 201</w:t>
            </w:r>
            <w:r>
              <w:rPr>
                <w:b/>
                <w:bCs/>
                <w:lang w:val="fr-FR"/>
              </w:rPr>
              <w:t>6</w:t>
            </w:r>
          </w:p>
        </w:tc>
      </w:tr>
      <w:tr w:rsidR="00E53DCE" w:rsidRPr="00081D6E" w:rsidTr="004228FA">
        <w:trPr>
          <w:jc w:val="center"/>
        </w:trPr>
        <w:tc>
          <w:tcPr>
            <w:tcW w:w="9889" w:type="dxa"/>
            <w:gridSpan w:val="3"/>
            <w:shd w:val="clear" w:color="auto" w:fill="auto"/>
          </w:tcPr>
          <w:p w:rsidR="00E53DCE" w:rsidRPr="00081D6E" w:rsidRDefault="00E53DCE" w:rsidP="00081D6E">
            <w:pPr>
              <w:spacing w:before="0"/>
              <w:jc w:val="left"/>
              <w:rPr>
                <w:b/>
                <w:bCs/>
                <w:szCs w:val="24"/>
                <w:lang w:val="fr-CH"/>
              </w:rPr>
            </w:pPr>
          </w:p>
        </w:tc>
      </w:tr>
    </w:tbl>
    <w:p w:rsidR="00081D6E" w:rsidRPr="00F04418" w:rsidRDefault="00081D6E" w:rsidP="00F75790">
      <w:pPr>
        <w:spacing w:before="120" w:line="240" w:lineRule="auto"/>
        <w:jc w:val="left"/>
        <w:rPr>
          <w:lang w:val="fr-FR"/>
        </w:rPr>
      </w:pPr>
      <w:r w:rsidRPr="00F04418">
        <w:rPr>
          <w:lang w:val="fr-FR"/>
        </w:rPr>
        <w:t>Le Groupe consultatif des radiocommunications (GCR) a tenu sa vingt</w:t>
      </w:r>
      <w:r w:rsidRPr="00F04418">
        <w:rPr>
          <w:lang w:val="fr-FR"/>
        </w:rPr>
        <w:noBreakHyphen/>
      </w:r>
      <w:r>
        <w:rPr>
          <w:lang w:val="fr-FR"/>
        </w:rPr>
        <w:t>troisième</w:t>
      </w:r>
      <w:r w:rsidRPr="00F04418">
        <w:rPr>
          <w:lang w:val="fr-FR"/>
        </w:rPr>
        <w:t xml:space="preserve"> réunion du </w:t>
      </w:r>
      <w:r>
        <w:rPr>
          <w:lang w:val="fr-FR"/>
        </w:rPr>
        <w:t>10 au 13 mai 2016</w:t>
      </w:r>
      <w:r w:rsidRPr="00F04418">
        <w:rPr>
          <w:lang w:val="fr-FR"/>
        </w:rPr>
        <w:t xml:space="preserve"> à Genève.</w:t>
      </w:r>
    </w:p>
    <w:p w:rsidR="00081D6E" w:rsidRPr="00F04418" w:rsidRDefault="00081D6E" w:rsidP="00F75790">
      <w:pPr>
        <w:spacing w:before="120" w:line="240" w:lineRule="auto"/>
        <w:rPr>
          <w:lang w:val="fr-FR"/>
        </w:rPr>
      </w:pPr>
      <w:r w:rsidRPr="00F04418">
        <w:rPr>
          <w:lang w:val="fr-FR"/>
        </w:rPr>
        <w:t>Le résumé des conclusions de la réunion figure dans l'Annexe de la présente lettre.</w:t>
      </w:r>
    </w:p>
    <w:p w:rsidR="00D21694" w:rsidRPr="00081D6E" w:rsidRDefault="00081D6E" w:rsidP="00F75790">
      <w:pPr>
        <w:spacing w:before="120" w:line="240" w:lineRule="auto"/>
        <w:jc w:val="left"/>
        <w:rPr>
          <w:rFonts w:asciiTheme="minorHAnsi" w:hAnsiTheme="minorHAnsi" w:cstheme="minorHAnsi"/>
          <w:szCs w:val="24"/>
          <w:lang w:val="fr-CH"/>
        </w:rPr>
      </w:pPr>
      <w:r w:rsidRPr="00F04418">
        <w:rPr>
          <w:lang w:val="fr-FR"/>
        </w:rPr>
        <w:t xml:space="preserve">On trouvera des renseignements complémentaires sur cette réunion sur le site web du GCR, à l'adresse: </w:t>
      </w:r>
      <w:hyperlink r:id="rId8" w:history="1">
        <w:r w:rsidRPr="00F04418">
          <w:rPr>
            <w:color w:val="0000FF"/>
            <w:u w:val="single"/>
            <w:lang w:val="fr-FR"/>
          </w:rPr>
          <w:t>http://www.itu.int/ITU-R/go/RAG</w:t>
        </w:r>
      </w:hyperlink>
      <w:r w:rsidRPr="00F04418">
        <w:rPr>
          <w:lang w:val="fr-FR"/>
        </w:rPr>
        <w:t>.</w:t>
      </w:r>
    </w:p>
    <w:p w:rsidR="002569F7" w:rsidRDefault="00E53DCE" w:rsidP="00081D6E">
      <w:pPr>
        <w:spacing w:before="840" w:line="240" w:lineRule="auto"/>
        <w:jc w:val="left"/>
        <w:rPr>
          <w:szCs w:val="24"/>
          <w:lang w:val="fr-FR"/>
        </w:rPr>
      </w:pPr>
      <w:r w:rsidRPr="00773F7E">
        <w:rPr>
          <w:szCs w:val="24"/>
          <w:lang w:val="fr-FR"/>
        </w:rPr>
        <w:t>François Rancy</w:t>
      </w:r>
      <w:r w:rsidRPr="00773F7E">
        <w:rPr>
          <w:szCs w:val="24"/>
          <w:lang w:val="fr-FR"/>
        </w:rPr>
        <w:br/>
        <w:t xml:space="preserve">Directeur </w:t>
      </w:r>
    </w:p>
    <w:p w:rsidR="00081D6E" w:rsidRPr="00F04418" w:rsidRDefault="00081D6E" w:rsidP="00081D6E">
      <w:pPr>
        <w:tabs>
          <w:tab w:val="left" w:pos="284"/>
          <w:tab w:val="left" w:pos="568"/>
        </w:tabs>
        <w:spacing w:before="1680" w:line="240" w:lineRule="auto"/>
        <w:rPr>
          <w:szCs w:val="24"/>
          <w:lang w:val="fr-FR"/>
        </w:rPr>
      </w:pPr>
      <w:r w:rsidRPr="00F04418">
        <w:rPr>
          <w:b/>
          <w:bCs/>
          <w:szCs w:val="24"/>
          <w:lang w:val="fr-FR"/>
        </w:rPr>
        <w:t>Annexe</w:t>
      </w:r>
      <w:r w:rsidRPr="00F04418">
        <w:rPr>
          <w:szCs w:val="24"/>
          <w:lang w:val="fr-FR"/>
        </w:rPr>
        <w:t>: 1</w:t>
      </w:r>
    </w:p>
    <w:p w:rsidR="00081D6E" w:rsidRPr="00F04418" w:rsidRDefault="00081D6E" w:rsidP="00081D6E">
      <w:pPr>
        <w:keepNext/>
        <w:keepLines/>
        <w:tabs>
          <w:tab w:val="left" w:pos="284"/>
          <w:tab w:val="left" w:pos="568"/>
        </w:tabs>
        <w:spacing w:before="720" w:line="240" w:lineRule="auto"/>
        <w:rPr>
          <w:sz w:val="18"/>
          <w:lang w:val="fr-FR"/>
        </w:rPr>
      </w:pPr>
      <w:r w:rsidRPr="00F04418">
        <w:rPr>
          <w:b/>
          <w:bCs/>
          <w:sz w:val="18"/>
          <w:lang w:val="fr-FR"/>
        </w:rPr>
        <w:t>Distribution</w:t>
      </w:r>
      <w:r w:rsidRPr="00F04418">
        <w:rPr>
          <w:sz w:val="18"/>
          <w:lang w:val="fr-FR"/>
        </w:rPr>
        <w:t>:</w:t>
      </w:r>
    </w:p>
    <w:p w:rsidR="00081D6E" w:rsidRPr="00F04418" w:rsidRDefault="00081D6E" w:rsidP="00081D6E">
      <w:pPr>
        <w:tabs>
          <w:tab w:val="left" w:pos="284"/>
        </w:tabs>
        <w:spacing w:before="60" w:line="240" w:lineRule="auto"/>
        <w:ind w:left="284" w:hanging="284"/>
        <w:rPr>
          <w:sz w:val="18"/>
          <w:szCs w:val="18"/>
          <w:lang w:val="fr-FR"/>
        </w:rPr>
      </w:pPr>
      <w:r w:rsidRPr="00F04418">
        <w:rPr>
          <w:sz w:val="18"/>
          <w:szCs w:val="18"/>
          <w:lang w:val="fr-FR"/>
        </w:rPr>
        <w:t>–</w:t>
      </w:r>
      <w:r w:rsidRPr="00F04418">
        <w:rPr>
          <w:sz w:val="18"/>
          <w:szCs w:val="18"/>
          <w:lang w:val="fr-FR"/>
        </w:rPr>
        <w:tab/>
        <w:t>Administrations des Etats Membres de l'UIT</w:t>
      </w:r>
    </w:p>
    <w:p w:rsidR="00081D6E" w:rsidRPr="00F04418" w:rsidRDefault="00081D6E" w:rsidP="00081D6E">
      <w:pPr>
        <w:tabs>
          <w:tab w:val="left" w:pos="284"/>
        </w:tabs>
        <w:spacing w:before="0" w:line="240" w:lineRule="auto"/>
        <w:ind w:left="284" w:hanging="284"/>
        <w:rPr>
          <w:sz w:val="18"/>
          <w:szCs w:val="18"/>
          <w:lang w:val="fr-FR"/>
        </w:rPr>
      </w:pPr>
      <w:r w:rsidRPr="00F04418">
        <w:rPr>
          <w:sz w:val="18"/>
          <w:szCs w:val="18"/>
          <w:lang w:val="fr-FR"/>
        </w:rPr>
        <w:t>–</w:t>
      </w:r>
      <w:r w:rsidRPr="00F04418">
        <w:rPr>
          <w:sz w:val="18"/>
          <w:szCs w:val="18"/>
          <w:lang w:val="fr-FR"/>
        </w:rPr>
        <w:tab/>
        <w:t>Membres du Secteur des radiocommunications</w:t>
      </w:r>
    </w:p>
    <w:p w:rsidR="00081D6E" w:rsidRDefault="00081D6E" w:rsidP="00081D6E">
      <w:pPr>
        <w:tabs>
          <w:tab w:val="left" w:pos="284"/>
          <w:tab w:val="left" w:pos="568"/>
        </w:tabs>
        <w:spacing w:before="0" w:line="240" w:lineRule="auto"/>
        <w:ind w:left="284" w:hanging="284"/>
        <w:rPr>
          <w:sz w:val="18"/>
          <w:szCs w:val="18"/>
          <w:lang w:val="fr-FR"/>
        </w:rPr>
      </w:pPr>
      <w:r w:rsidRPr="00F04418">
        <w:rPr>
          <w:sz w:val="18"/>
          <w:szCs w:val="18"/>
          <w:lang w:val="fr-FR"/>
        </w:rPr>
        <w:t>–</w:t>
      </w:r>
      <w:r w:rsidRPr="00F04418">
        <w:rPr>
          <w:sz w:val="18"/>
          <w:szCs w:val="18"/>
          <w:lang w:val="fr-FR"/>
        </w:rPr>
        <w:tab/>
        <w:t>Présidents et Vice</w:t>
      </w:r>
      <w:r w:rsidRPr="00F04418">
        <w:rPr>
          <w:sz w:val="18"/>
          <w:szCs w:val="18"/>
          <w:lang w:val="fr-FR"/>
        </w:rPr>
        <w:noBreakHyphen/>
        <w:t>Présidents des Commissions d'études des radiocommunications</w:t>
      </w:r>
    </w:p>
    <w:p w:rsidR="00081D6E" w:rsidRPr="00F04418" w:rsidRDefault="00081D6E" w:rsidP="00081D6E">
      <w:pPr>
        <w:tabs>
          <w:tab w:val="left" w:pos="284"/>
          <w:tab w:val="left" w:pos="568"/>
        </w:tabs>
        <w:spacing w:before="0" w:line="240" w:lineRule="auto"/>
        <w:ind w:left="284" w:hanging="284"/>
        <w:rPr>
          <w:sz w:val="18"/>
          <w:szCs w:val="18"/>
          <w:lang w:val="fr-FR"/>
        </w:rPr>
      </w:pPr>
      <w:r w:rsidRPr="00F04418">
        <w:rPr>
          <w:sz w:val="18"/>
          <w:szCs w:val="18"/>
          <w:lang w:val="fr-FR"/>
        </w:rPr>
        <w:t>–</w:t>
      </w:r>
      <w:r w:rsidRPr="00F04418">
        <w:rPr>
          <w:sz w:val="18"/>
          <w:szCs w:val="18"/>
          <w:lang w:val="fr-FR"/>
        </w:rPr>
        <w:tab/>
        <w:t>Président et Vice</w:t>
      </w:r>
      <w:r w:rsidRPr="00F04418">
        <w:rPr>
          <w:sz w:val="18"/>
          <w:szCs w:val="18"/>
          <w:lang w:val="fr-FR"/>
        </w:rPr>
        <w:noBreakHyphen/>
        <w:t>Présidents du Groupe consultatif des radiocommunications</w:t>
      </w:r>
    </w:p>
    <w:p w:rsidR="00081D6E" w:rsidRPr="00F04418" w:rsidRDefault="00081D6E" w:rsidP="00081D6E">
      <w:pPr>
        <w:tabs>
          <w:tab w:val="left" w:pos="284"/>
          <w:tab w:val="left" w:pos="568"/>
        </w:tabs>
        <w:spacing w:before="0" w:line="240" w:lineRule="auto"/>
        <w:ind w:left="284" w:hanging="284"/>
        <w:rPr>
          <w:sz w:val="18"/>
          <w:szCs w:val="18"/>
          <w:lang w:val="fr-FR"/>
        </w:rPr>
      </w:pPr>
      <w:r w:rsidRPr="00F04418">
        <w:rPr>
          <w:sz w:val="18"/>
          <w:szCs w:val="18"/>
          <w:lang w:val="fr-FR"/>
        </w:rPr>
        <w:t>–</w:t>
      </w:r>
      <w:r w:rsidRPr="00F04418">
        <w:rPr>
          <w:sz w:val="18"/>
          <w:szCs w:val="18"/>
          <w:lang w:val="fr-FR"/>
        </w:rPr>
        <w:tab/>
        <w:t>Président et Vice</w:t>
      </w:r>
      <w:r w:rsidRPr="00F04418">
        <w:rPr>
          <w:sz w:val="18"/>
          <w:szCs w:val="18"/>
          <w:lang w:val="fr-FR"/>
        </w:rPr>
        <w:noBreakHyphen/>
        <w:t>Présidents de la Réunion de préparation à la Conférence</w:t>
      </w:r>
    </w:p>
    <w:p w:rsidR="00C3556B" w:rsidRDefault="00081D6E" w:rsidP="00081D6E">
      <w:pPr>
        <w:tabs>
          <w:tab w:val="left" w:pos="284"/>
          <w:tab w:val="left" w:pos="568"/>
        </w:tabs>
        <w:spacing w:before="0" w:line="240" w:lineRule="auto"/>
        <w:ind w:left="284" w:hanging="284"/>
        <w:rPr>
          <w:sz w:val="18"/>
          <w:szCs w:val="18"/>
          <w:lang w:val="fr-FR"/>
        </w:rPr>
      </w:pPr>
      <w:r w:rsidRPr="00F04418">
        <w:rPr>
          <w:sz w:val="18"/>
          <w:szCs w:val="18"/>
          <w:lang w:val="fr-FR"/>
        </w:rPr>
        <w:t>–</w:t>
      </w:r>
      <w:r w:rsidRPr="00F04418">
        <w:rPr>
          <w:sz w:val="18"/>
          <w:szCs w:val="18"/>
          <w:lang w:val="fr-FR"/>
        </w:rPr>
        <w:tab/>
        <w:t>Membres du Comité du Règlement des radiocommunications</w:t>
      </w:r>
    </w:p>
    <w:p w:rsidR="00081D6E" w:rsidRDefault="00081D6E" w:rsidP="00081D6E">
      <w:pPr>
        <w:tabs>
          <w:tab w:val="left" w:pos="284"/>
          <w:tab w:val="left" w:pos="568"/>
        </w:tabs>
        <w:spacing w:before="0" w:line="240" w:lineRule="auto"/>
        <w:ind w:left="284" w:hanging="284"/>
        <w:rPr>
          <w:szCs w:val="24"/>
          <w:lang w:val="fr-FR"/>
        </w:rPr>
        <w:sectPr w:rsidR="00081D6E"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p>
    <w:p w:rsidR="00F75790" w:rsidRDefault="00F75790"/>
    <w:tbl>
      <w:tblPr>
        <w:tblpPr w:leftFromText="180" w:rightFromText="180" w:tblpY="-766"/>
        <w:tblW w:w="10065" w:type="dxa"/>
        <w:tblLayout w:type="fixed"/>
        <w:tblLook w:val="0000" w:firstRow="0" w:lastRow="0" w:firstColumn="0" w:lastColumn="0" w:noHBand="0" w:noVBand="0"/>
      </w:tblPr>
      <w:tblGrid>
        <w:gridCol w:w="1526"/>
        <w:gridCol w:w="4995"/>
        <w:gridCol w:w="1809"/>
        <w:gridCol w:w="1735"/>
      </w:tblGrid>
      <w:tr w:rsidR="00F75790" w:rsidTr="00512DB7">
        <w:trPr>
          <w:cantSplit/>
        </w:trPr>
        <w:tc>
          <w:tcPr>
            <w:tcW w:w="1526" w:type="dxa"/>
            <w:vAlign w:val="center"/>
          </w:tcPr>
          <w:p w:rsidR="00F75790" w:rsidRPr="002D238A" w:rsidRDefault="00F75790" w:rsidP="00D930CF">
            <w:pPr>
              <w:shd w:val="solid" w:color="FFFFFF" w:fill="FFFFFF"/>
              <w:tabs>
                <w:tab w:val="clear" w:pos="794"/>
                <w:tab w:val="clear" w:pos="1191"/>
                <w:tab w:val="clear" w:pos="1588"/>
                <w:tab w:val="clear" w:pos="1985"/>
                <w:tab w:val="left" w:pos="510"/>
              </w:tabs>
              <w:spacing w:before="360" w:after="100" w:afterAutospacing="1"/>
              <w:jc w:val="left"/>
              <w:rPr>
                <w:rFonts w:ascii="Verdana" w:hAnsi="Verdana"/>
                <w:b/>
                <w:bCs/>
              </w:rPr>
            </w:pPr>
            <w:r>
              <w:rPr>
                <w:noProof/>
                <w:lang w:eastAsia="zh-CN"/>
              </w:rPr>
              <w:drawing>
                <wp:anchor distT="0" distB="0" distL="114300" distR="114300" simplePos="0" relativeHeight="251662336" behindDoc="0" locked="0" layoutInCell="1" allowOverlap="1" wp14:anchorId="16D45A36" wp14:editId="6B958748">
                  <wp:simplePos x="0" y="0"/>
                  <wp:positionH relativeFrom="column">
                    <wp:posOffset>120650</wp:posOffset>
                  </wp:positionH>
                  <wp:positionV relativeFrom="paragraph">
                    <wp:posOffset>6985</wp:posOffset>
                  </wp:positionV>
                  <wp:extent cx="577850" cy="65659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50" cy="656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gridSpan w:val="2"/>
            <w:vAlign w:val="center"/>
          </w:tcPr>
          <w:p w:rsidR="00F75790" w:rsidRPr="00081D6E" w:rsidRDefault="00F75790" w:rsidP="00D930CF">
            <w:pPr>
              <w:shd w:val="solid" w:color="FFFFFF" w:fill="FFFFFF"/>
              <w:spacing w:before="360" w:after="240"/>
              <w:jc w:val="left"/>
              <w:rPr>
                <w:rFonts w:ascii="Verdana" w:hAnsi="Verdana"/>
                <w:b/>
                <w:bCs/>
                <w:lang w:val="fr-CH"/>
              </w:rPr>
            </w:pPr>
            <w:r w:rsidRPr="00081D6E">
              <w:rPr>
                <w:rFonts w:ascii="Verdana" w:hAnsi="Verdana" w:cs="Times New Roman Bold"/>
                <w:b/>
                <w:sz w:val="25"/>
                <w:szCs w:val="25"/>
                <w:lang w:val="fr-CH"/>
              </w:rPr>
              <w:t>Groupe Consultatif des Radiocommunications</w:t>
            </w:r>
            <w:r w:rsidRPr="00081D6E">
              <w:rPr>
                <w:rFonts w:ascii="Verdana" w:hAnsi="Verdana"/>
                <w:b/>
                <w:sz w:val="25"/>
                <w:szCs w:val="25"/>
                <w:lang w:val="fr-CH"/>
              </w:rPr>
              <w:br/>
            </w:r>
            <w:r w:rsidRPr="00081D6E">
              <w:rPr>
                <w:rFonts w:ascii="Verdana" w:hAnsi="Verdana" w:cs="Times New Roman Bold"/>
                <w:b/>
                <w:bCs/>
                <w:sz w:val="20"/>
                <w:lang w:val="fr-CH"/>
              </w:rPr>
              <w:t>Genève,</w:t>
            </w:r>
            <w:r w:rsidRPr="00081D6E">
              <w:rPr>
                <w:rFonts w:ascii="Verdana" w:hAnsi="Verdana"/>
                <w:b/>
                <w:bCs/>
                <w:sz w:val="20"/>
                <w:lang w:val="fr-CH"/>
              </w:rPr>
              <w:t xml:space="preserve"> 10-13 mai 2016</w:t>
            </w:r>
          </w:p>
        </w:tc>
        <w:tc>
          <w:tcPr>
            <w:tcW w:w="1735" w:type="dxa"/>
          </w:tcPr>
          <w:p w:rsidR="00F75790" w:rsidRDefault="00F75790" w:rsidP="00D930CF">
            <w:pPr>
              <w:shd w:val="solid" w:color="FFFFFF" w:fill="FFFFFF"/>
              <w:spacing w:before="360" w:line="240" w:lineRule="atLeast"/>
              <w:jc w:val="right"/>
            </w:pPr>
            <w:r w:rsidRPr="00975D6F">
              <w:rPr>
                <w:rFonts w:cs="Arial"/>
                <w:noProof/>
                <w:lang w:eastAsia="zh-CN"/>
              </w:rPr>
              <w:drawing>
                <wp:inline distT="0" distB="0" distL="0" distR="0" wp14:anchorId="46250C08" wp14:editId="164B781C">
                  <wp:extent cx="1017905" cy="925067"/>
                  <wp:effectExtent l="0" t="0" r="0" b="889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F75790" w:rsidRPr="0051782D" w:rsidTr="00512DB7">
        <w:trPr>
          <w:cantSplit/>
        </w:trPr>
        <w:tc>
          <w:tcPr>
            <w:tcW w:w="6521" w:type="dxa"/>
            <w:gridSpan w:val="2"/>
            <w:tcBorders>
              <w:bottom w:val="single" w:sz="12" w:space="0" w:color="auto"/>
            </w:tcBorders>
          </w:tcPr>
          <w:p w:rsidR="00F75790" w:rsidRPr="0051782D" w:rsidRDefault="00F75790" w:rsidP="00512DB7">
            <w:pPr>
              <w:shd w:val="solid" w:color="FFFFFF" w:fill="FFFFFF"/>
              <w:spacing w:before="0" w:after="48"/>
              <w:rPr>
                <w:rFonts w:ascii="Verdana" w:hAnsi="Verdana" w:cs="Times New Roman Bold"/>
                <w:b/>
                <w:sz w:val="22"/>
              </w:rPr>
            </w:pPr>
            <w:r w:rsidRPr="00642DBE">
              <w:rPr>
                <w:rFonts w:ascii="Verdana" w:hAnsi="Verdana"/>
                <w:b/>
                <w:bCs/>
                <w:sz w:val="20"/>
              </w:rPr>
              <w:t>UNION INTERNATIONALE DES TÉLÉCOMMUNICATIONS</w:t>
            </w:r>
          </w:p>
        </w:tc>
        <w:tc>
          <w:tcPr>
            <w:tcW w:w="3544" w:type="dxa"/>
            <w:gridSpan w:val="2"/>
            <w:tcBorders>
              <w:bottom w:val="single" w:sz="12" w:space="0" w:color="auto"/>
            </w:tcBorders>
          </w:tcPr>
          <w:p w:rsidR="00F75790" w:rsidRPr="0051782D" w:rsidRDefault="00F75790" w:rsidP="00512DB7">
            <w:pPr>
              <w:shd w:val="solid" w:color="FFFFFF" w:fill="FFFFFF"/>
              <w:spacing w:before="0" w:after="48" w:line="240" w:lineRule="atLeast"/>
              <w:rPr>
                <w:sz w:val="22"/>
              </w:rPr>
            </w:pPr>
          </w:p>
        </w:tc>
      </w:tr>
      <w:tr w:rsidR="00F75790" w:rsidRPr="00710D66" w:rsidTr="00512DB7">
        <w:trPr>
          <w:cantSplit/>
        </w:trPr>
        <w:tc>
          <w:tcPr>
            <w:tcW w:w="6521" w:type="dxa"/>
            <w:gridSpan w:val="2"/>
            <w:tcBorders>
              <w:top w:val="single" w:sz="12" w:space="0" w:color="auto"/>
            </w:tcBorders>
          </w:tcPr>
          <w:p w:rsidR="00F75790" w:rsidRPr="0051782D" w:rsidRDefault="00F75790" w:rsidP="00512DB7">
            <w:pPr>
              <w:shd w:val="solid" w:color="FFFFFF" w:fill="FFFFFF"/>
              <w:tabs>
                <w:tab w:val="clear" w:pos="794"/>
                <w:tab w:val="clear" w:pos="1191"/>
                <w:tab w:val="clear" w:pos="1588"/>
                <w:tab w:val="clear" w:pos="1985"/>
                <w:tab w:val="left" w:pos="2060"/>
              </w:tabs>
              <w:spacing w:before="0" w:after="48"/>
              <w:rPr>
                <w:rFonts w:ascii="Verdana" w:hAnsi="Verdana" w:cs="Times New Roman Bold"/>
                <w:bCs/>
                <w:sz w:val="22"/>
              </w:rPr>
            </w:pPr>
            <w:r>
              <w:rPr>
                <w:rFonts w:ascii="Verdana" w:hAnsi="Verdana" w:cs="Times New Roman Bold"/>
                <w:bCs/>
                <w:sz w:val="22"/>
              </w:rPr>
              <w:tab/>
            </w:r>
          </w:p>
        </w:tc>
        <w:tc>
          <w:tcPr>
            <w:tcW w:w="3544" w:type="dxa"/>
            <w:gridSpan w:val="2"/>
            <w:tcBorders>
              <w:top w:val="single" w:sz="12" w:space="0" w:color="auto"/>
            </w:tcBorders>
          </w:tcPr>
          <w:p w:rsidR="00F75790" w:rsidRPr="002D238A" w:rsidRDefault="00F75790" w:rsidP="00512DB7">
            <w:pPr>
              <w:shd w:val="solid" w:color="FFFFFF" w:fill="FFFFFF"/>
              <w:spacing w:before="0" w:after="48" w:line="240" w:lineRule="atLeast"/>
              <w:rPr>
                <w:rFonts w:ascii="Verdana" w:hAnsi="Verdana"/>
                <w:sz w:val="22"/>
              </w:rPr>
            </w:pPr>
          </w:p>
        </w:tc>
      </w:tr>
      <w:tr w:rsidR="00F75790" w:rsidRPr="00081D6E" w:rsidTr="00512DB7">
        <w:trPr>
          <w:cantSplit/>
        </w:trPr>
        <w:tc>
          <w:tcPr>
            <w:tcW w:w="6521" w:type="dxa"/>
            <w:gridSpan w:val="2"/>
            <w:vMerge w:val="restart"/>
          </w:tcPr>
          <w:p w:rsidR="00F75790" w:rsidRDefault="00F75790" w:rsidP="00512DB7">
            <w:pPr>
              <w:shd w:val="solid" w:color="FFFFFF" w:fill="FFFFFF"/>
              <w:spacing w:after="240"/>
              <w:rPr>
                <w:sz w:val="20"/>
              </w:rPr>
            </w:pPr>
            <w:bookmarkStart w:id="1" w:name="dnum" w:colFirst="1" w:colLast="1"/>
          </w:p>
        </w:tc>
        <w:tc>
          <w:tcPr>
            <w:tcW w:w="3544" w:type="dxa"/>
            <w:gridSpan w:val="2"/>
          </w:tcPr>
          <w:p w:rsidR="00F75790" w:rsidRPr="00081D6E" w:rsidRDefault="00F75790" w:rsidP="00512DB7">
            <w:pPr>
              <w:shd w:val="solid" w:color="FFFFFF" w:fill="FFFFFF"/>
              <w:spacing w:before="0" w:line="240" w:lineRule="atLeast"/>
              <w:jc w:val="left"/>
              <w:rPr>
                <w:rFonts w:ascii="Verdana" w:hAnsi="Verdana"/>
                <w:sz w:val="20"/>
                <w:lang w:val="fr-CH"/>
              </w:rPr>
            </w:pPr>
            <w:r w:rsidRPr="00081D6E">
              <w:rPr>
                <w:rFonts w:ascii="Verdana" w:hAnsi="Verdana"/>
                <w:b/>
                <w:sz w:val="20"/>
                <w:lang w:val="fr-CH"/>
              </w:rPr>
              <w:t>Révision 1 du</w:t>
            </w:r>
            <w:r w:rsidRPr="00081D6E">
              <w:rPr>
                <w:rFonts w:ascii="Verdana" w:hAnsi="Verdana"/>
                <w:b/>
                <w:sz w:val="20"/>
                <w:lang w:val="fr-CH"/>
              </w:rPr>
              <w:br/>
              <w:t>Document RAG16/TEMP/3-F</w:t>
            </w:r>
          </w:p>
        </w:tc>
      </w:tr>
      <w:tr w:rsidR="00F75790" w:rsidRPr="002A127E" w:rsidTr="00512DB7">
        <w:trPr>
          <w:cantSplit/>
        </w:trPr>
        <w:tc>
          <w:tcPr>
            <w:tcW w:w="6521" w:type="dxa"/>
            <w:gridSpan w:val="2"/>
            <w:vMerge/>
          </w:tcPr>
          <w:p w:rsidR="00F75790" w:rsidRPr="00081D6E" w:rsidRDefault="00F75790" w:rsidP="00512DB7">
            <w:pPr>
              <w:spacing w:before="60"/>
              <w:jc w:val="center"/>
              <w:rPr>
                <w:b/>
                <w:smallCaps/>
                <w:sz w:val="32"/>
                <w:lang w:val="fr-CH"/>
              </w:rPr>
            </w:pPr>
            <w:bookmarkStart w:id="2" w:name="ddate" w:colFirst="1" w:colLast="1"/>
            <w:bookmarkEnd w:id="1"/>
          </w:p>
        </w:tc>
        <w:tc>
          <w:tcPr>
            <w:tcW w:w="3544" w:type="dxa"/>
            <w:gridSpan w:val="2"/>
          </w:tcPr>
          <w:p w:rsidR="00F75790" w:rsidRPr="00B96CFF" w:rsidRDefault="00F75790" w:rsidP="00512DB7">
            <w:pPr>
              <w:shd w:val="solid" w:color="FFFFFF" w:fill="FFFFFF"/>
              <w:spacing w:before="0" w:line="240" w:lineRule="atLeast"/>
              <w:rPr>
                <w:rFonts w:ascii="Verdana" w:hAnsi="Verdana"/>
                <w:sz w:val="20"/>
              </w:rPr>
            </w:pPr>
            <w:r>
              <w:rPr>
                <w:rFonts w:ascii="Verdana" w:hAnsi="Verdana"/>
                <w:b/>
                <w:sz w:val="20"/>
              </w:rPr>
              <w:t>13 mai 2016</w:t>
            </w:r>
          </w:p>
        </w:tc>
      </w:tr>
      <w:tr w:rsidR="00F75790" w:rsidRPr="002A127E" w:rsidTr="00512DB7">
        <w:trPr>
          <w:cantSplit/>
        </w:trPr>
        <w:tc>
          <w:tcPr>
            <w:tcW w:w="6521" w:type="dxa"/>
            <w:gridSpan w:val="2"/>
            <w:vMerge/>
          </w:tcPr>
          <w:p w:rsidR="00F75790" w:rsidRDefault="00F75790" w:rsidP="00512DB7">
            <w:pPr>
              <w:spacing w:before="60"/>
              <w:jc w:val="center"/>
              <w:rPr>
                <w:b/>
                <w:smallCaps/>
                <w:sz w:val="32"/>
              </w:rPr>
            </w:pPr>
            <w:bookmarkStart w:id="3" w:name="dorlang" w:colFirst="1" w:colLast="1"/>
            <w:bookmarkEnd w:id="2"/>
          </w:p>
        </w:tc>
        <w:tc>
          <w:tcPr>
            <w:tcW w:w="3544" w:type="dxa"/>
            <w:gridSpan w:val="2"/>
          </w:tcPr>
          <w:p w:rsidR="00F75790" w:rsidRPr="00B96CFF" w:rsidRDefault="00F75790" w:rsidP="00512DB7">
            <w:pPr>
              <w:shd w:val="solid" w:color="FFFFFF" w:fill="FFFFFF"/>
              <w:spacing w:before="0" w:after="120" w:line="240" w:lineRule="atLeast"/>
              <w:rPr>
                <w:rFonts w:ascii="Verdana" w:hAnsi="Verdana"/>
                <w:sz w:val="20"/>
              </w:rPr>
            </w:pPr>
            <w:r>
              <w:rPr>
                <w:rFonts w:ascii="Verdana" w:hAnsi="Verdana"/>
                <w:b/>
                <w:sz w:val="20"/>
              </w:rPr>
              <w:t>Original: anglais</w:t>
            </w:r>
          </w:p>
        </w:tc>
      </w:tr>
      <w:tr w:rsidR="00F75790" w:rsidTr="00512DB7">
        <w:trPr>
          <w:cantSplit/>
        </w:trPr>
        <w:tc>
          <w:tcPr>
            <w:tcW w:w="10065" w:type="dxa"/>
            <w:gridSpan w:val="4"/>
          </w:tcPr>
          <w:p w:rsidR="00F75790" w:rsidRDefault="00F75790" w:rsidP="00512DB7">
            <w:pPr>
              <w:pStyle w:val="Source"/>
            </w:pPr>
            <w:bookmarkStart w:id="4" w:name="dsource" w:colFirst="0" w:colLast="0"/>
            <w:bookmarkEnd w:id="3"/>
            <w:r>
              <w:t>Président du GCR</w:t>
            </w:r>
          </w:p>
        </w:tc>
      </w:tr>
      <w:tr w:rsidR="00F75790" w:rsidRPr="00081D6E" w:rsidTr="00512DB7">
        <w:trPr>
          <w:cantSplit/>
        </w:trPr>
        <w:tc>
          <w:tcPr>
            <w:tcW w:w="10065" w:type="dxa"/>
            <w:gridSpan w:val="4"/>
          </w:tcPr>
          <w:p w:rsidR="00F75790" w:rsidRPr="00081D6E" w:rsidRDefault="00F75790" w:rsidP="00512DB7">
            <w:pPr>
              <w:pStyle w:val="Title1"/>
              <w:rPr>
                <w:lang w:val="fr-CH"/>
              </w:rPr>
            </w:pPr>
            <w:bookmarkStart w:id="5" w:name="dtitle1" w:colFirst="0" w:colLast="0"/>
            <w:bookmarkEnd w:id="4"/>
            <w:r w:rsidRPr="00081D6E">
              <w:rPr>
                <w:lang w:val="fr-CH"/>
              </w:rPr>
              <w:t>vINGT</w:t>
            </w:r>
            <w:r w:rsidRPr="00081D6E">
              <w:rPr>
                <w:lang w:val="fr-CH"/>
              </w:rPr>
              <w:noBreakHyphen/>
              <w:t>troisième RéUNION DU GROUPE CONsulTATIF</w:t>
            </w:r>
            <w:r w:rsidRPr="00081D6E">
              <w:rPr>
                <w:lang w:val="fr-CH"/>
              </w:rPr>
              <w:br/>
              <w:t>DES RADIOCOMMUNICATIONS</w:t>
            </w:r>
          </w:p>
        </w:tc>
      </w:tr>
      <w:tr w:rsidR="00F75790" w:rsidRPr="00081D6E" w:rsidTr="00512DB7">
        <w:trPr>
          <w:cantSplit/>
        </w:trPr>
        <w:tc>
          <w:tcPr>
            <w:tcW w:w="10065" w:type="dxa"/>
            <w:gridSpan w:val="4"/>
          </w:tcPr>
          <w:p w:rsidR="00F75790" w:rsidRPr="00081D6E" w:rsidRDefault="00F75790" w:rsidP="00512DB7">
            <w:pPr>
              <w:pStyle w:val="Title1"/>
              <w:rPr>
                <w:lang w:val="fr-CH"/>
              </w:rPr>
            </w:pPr>
            <w:r w:rsidRPr="00081D6E">
              <w:rPr>
                <w:lang w:val="fr-CH" w:eastAsia="zh-CN"/>
              </w:rPr>
              <w:t>projet de RéSUMé DES CONCLUSIONS</w:t>
            </w:r>
          </w:p>
        </w:tc>
      </w:tr>
    </w:tbl>
    <w:bookmarkEnd w:id="5"/>
    <w:p w:rsidR="00F75790" w:rsidRDefault="00F75790" w:rsidP="00F75790">
      <w:pPr>
        <w:pStyle w:val="Normalaftertitle"/>
        <w:rPr>
          <w:lang w:val="fr-CH"/>
        </w:rPr>
      </w:pPr>
      <w:r>
        <w:rPr>
          <w:noProof/>
          <w:lang w:eastAsia="zh-CN"/>
        </w:rPr>
        <mc:AlternateContent>
          <mc:Choice Requires="wpc">
            <w:drawing>
              <wp:anchor distT="0" distB="0" distL="114300" distR="114300" simplePos="0" relativeHeight="251660288" behindDoc="0" locked="0" layoutInCell="1" allowOverlap="1">
                <wp:simplePos x="0" y="0"/>
                <wp:positionH relativeFrom="column">
                  <wp:posOffset>-720090</wp:posOffset>
                </wp:positionH>
                <wp:positionV relativeFrom="paragraph">
                  <wp:posOffset>-900430</wp:posOffset>
                </wp:positionV>
                <wp:extent cx="579755" cy="658495"/>
                <wp:effectExtent l="0" t="0" r="0" b="0"/>
                <wp:wrapNone/>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F05CA8D" id="Canvas 15" o:spid="_x0000_s1026" editas="canvas" style="position:absolute;margin-left:-56.7pt;margin-top:-70.9pt;width:45.65pt;height:51.85pt;z-index:251660288" coordsize="5797,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97;height:6584;visibility:visible;mso-wrap-style:square">
                  <v:fill o:detectmouseclick="t"/>
                  <v:path o:connecttype="none"/>
                </v:shape>
              </v:group>
            </w:pict>
          </mc:Fallback>
        </mc:AlternateContent>
      </w:r>
    </w:p>
    <w:p w:rsidR="00F75790" w:rsidRDefault="00F75790" w:rsidP="00F75790">
      <w:pPr>
        <w:rPr>
          <w:lang w:val="fr-CH"/>
        </w:rPr>
      </w:pPr>
    </w:p>
    <w:p w:rsidR="00F75790" w:rsidRDefault="00F75790" w:rsidP="00F75790">
      <w:pPr>
        <w:rPr>
          <w:lang w:val="fr-CH"/>
        </w:rPr>
      </w:pPr>
    </w:p>
    <w:p w:rsidR="00F75790" w:rsidRPr="00F75790" w:rsidRDefault="00F75790" w:rsidP="00F75790">
      <w:pPr>
        <w:rPr>
          <w:lang w:val="fr-CH"/>
        </w:rPr>
      </w:pPr>
    </w:p>
    <w:p w:rsidR="00081D6E" w:rsidRPr="00081D6E" w:rsidRDefault="00081D6E" w:rsidP="00081D6E">
      <w:pPr>
        <w:rPr>
          <w:lang w:val="fr-CH"/>
        </w:rPr>
      </w:pPr>
    </w:p>
    <w:p w:rsidR="00081D6E" w:rsidRPr="00081D6E" w:rsidRDefault="00081D6E" w:rsidP="00081D6E">
      <w:pPr>
        <w:tabs>
          <w:tab w:val="clear" w:pos="794"/>
          <w:tab w:val="clear" w:pos="1191"/>
          <w:tab w:val="clear" w:pos="1588"/>
          <w:tab w:val="clear" w:pos="1985"/>
        </w:tabs>
        <w:overflowPunct/>
        <w:autoSpaceDE/>
        <w:autoSpaceDN/>
        <w:adjustRightInd/>
        <w:spacing w:before="0"/>
        <w:textAlignment w:val="auto"/>
        <w:rPr>
          <w:lang w:val="fr-CH"/>
        </w:rPr>
        <w:sectPr w:rsidR="00081D6E" w:rsidRPr="00081D6E">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pPr>
    </w:p>
    <w:p w:rsidR="00081D6E" w:rsidRDefault="00081D6E" w:rsidP="00081D6E"/>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50"/>
        <w:gridCol w:w="9691"/>
      </w:tblGrid>
      <w:tr w:rsidR="00081D6E" w:rsidRPr="00402315" w:rsidTr="00081D6E">
        <w:trPr>
          <w:tblHeader/>
          <w:jc w:val="center"/>
        </w:trPr>
        <w:tc>
          <w:tcPr>
            <w:tcW w:w="1037" w:type="dxa"/>
            <w:vAlign w:val="center"/>
          </w:tcPr>
          <w:p w:rsidR="00081D6E" w:rsidRPr="00081D6E" w:rsidRDefault="00081D6E" w:rsidP="00081D6E">
            <w:pPr>
              <w:pStyle w:val="Tablehead"/>
              <w:rPr>
                <w:lang w:val="fr-CH"/>
              </w:rPr>
            </w:pPr>
            <w:r w:rsidRPr="00081D6E">
              <w:rPr>
                <w:lang w:val="fr-CH"/>
              </w:rPr>
              <w:br w:type="page"/>
              <w:t>Point de l'ordre du jour</w:t>
            </w:r>
            <w:r w:rsidRPr="00081D6E">
              <w:rPr>
                <w:lang w:val="fr-CH"/>
              </w:rPr>
              <w:br/>
              <w:t>N°</w:t>
            </w:r>
          </w:p>
        </w:tc>
        <w:tc>
          <w:tcPr>
            <w:tcW w:w="3350" w:type="dxa"/>
            <w:vAlign w:val="center"/>
          </w:tcPr>
          <w:p w:rsidR="00081D6E" w:rsidRPr="00402315" w:rsidRDefault="00081D6E" w:rsidP="00081D6E">
            <w:pPr>
              <w:pStyle w:val="Tablehead"/>
            </w:pPr>
            <w:r w:rsidRPr="00402315">
              <w:t>Objet</w:t>
            </w:r>
          </w:p>
        </w:tc>
        <w:tc>
          <w:tcPr>
            <w:tcW w:w="9691" w:type="dxa"/>
            <w:vAlign w:val="center"/>
          </w:tcPr>
          <w:p w:rsidR="00081D6E" w:rsidRPr="00402315" w:rsidRDefault="00081D6E" w:rsidP="00081D6E">
            <w:pPr>
              <w:pStyle w:val="Tablehead"/>
            </w:pPr>
            <w:r w:rsidRPr="00402315">
              <w:t>Conclusions</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t>1</w:t>
            </w:r>
          </w:p>
        </w:tc>
        <w:tc>
          <w:tcPr>
            <w:tcW w:w="3350" w:type="dxa"/>
          </w:tcPr>
          <w:p w:rsidR="00081D6E" w:rsidRPr="00402315" w:rsidRDefault="00081D6E" w:rsidP="00081D6E">
            <w:pPr>
              <w:pStyle w:val="Tabletext"/>
              <w:rPr>
                <w:sz w:val="24"/>
                <w:szCs w:val="24"/>
              </w:rPr>
            </w:pPr>
            <w:r w:rsidRPr="00402315">
              <w:rPr>
                <w:sz w:val="24"/>
                <w:szCs w:val="24"/>
              </w:rPr>
              <w:t>Remarques liminaires</w:t>
            </w:r>
          </w:p>
        </w:tc>
        <w:tc>
          <w:tcPr>
            <w:tcW w:w="9691" w:type="dxa"/>
          </w:tcPr>
          <w:p w:rsidR="00081D6E" w:rsidRPr="00081D6E" w:rsidRDefault="00081D6E" w:rsidP="00081D6E">
            <w:pPr>
              <w:pStyle w:val="Tabletext"/>
              <w:rPr>
                <w:lang w:val="fr-CH"/>
              </w:rPr>
            </w:pPr>
            <w:r w:rsidRPr="00081D6E">
              <w:rPr>
                <w:lang w:val="fr-CH"/>
              </w:rPr>
              <w:t>M. Daniel Obam (Kenya) a officiellement déclaré la réunion ouverte. Conformément à l'ordre du jour de la réunion, et en l'absence du Secrétaire général, le Directeur du BR a prononcé les remarques liminaires. M. Obam a remercié tous les Etats Membres qui l'ont élu Président du GCR. Il a invité les Vice-Présidents du GCR présents dans la salle à se présenter brièvement et à prononcer une brève allocution.</w:t>
            </w:r>
          </w:p>
        </w:tc>
      </w:tr>
      <w:tr w:rsidR="00081D6E" w:rsidRPr="00081D6E" w:rsidTr="00081D6E">
        <w:trPr>
          <w:jc w:val="center"/>
        </w:trPr>
        <w:tc>
          <w:tcPr>
            <w:tcW w:w="1037" w:type="dxa"/>
          </w:tcPr>
          <w:p w:rsidR="00081D6E" w:rsidRPr="002C04A0" w:rsidDel="002A034D" w:rsidRDefault="00081D6E" w:rsidP="00081D6E">
            <w:pPr>
              <w:pStyle w:val="Tabletext"/>
              <w:jc w:val="center"/>
              <w:rPr>
                <w:sz w:val="22"/>
              </w:rPr>
            </w:pPr>
            <w:r w:rsidRPr="002C04A0">
              <w:rPr>
                <w:sz w:val="22"/>
              </w:rPr>
              <w:t>2</w:t>
            </w:r>
          </w:p>
        </w:tc>
        <w:tc>
          <w:tcPr>
            <w:tcW w:w="3350" w:type="dxa"/>
          </w:tcPr>
          <w:p w:rsidR="00081D6E" w:rsidRPr="00081D6E" w:rsidRDefault="00081D6E" w:rsidP="00081D6E">
            <w:pPr>
              <w:pStyle w:val="Tabletext"/>
              <w:rPr>
                <w:lang w:val="fr-CH"/>
              </w:rPr>
            </w:pPr>
            <w:r w:rsidRPr="00081D6E">
              <w:rPr>
                <w:lang w:val="fr-CH"/>
              </w:rPr>
              <w:t>Adoption de l'ordre du jour</w:t>
            </w:r>
          </w:p>
        </w:tc>
        <w:tc>
          <w:tcPr>
            <w:tcW w:w="9691" w:type="dxa"/>
          </w:tcPr>
          <w:p w:rsidR="00081D6E" w:rsidRPr="00081D6E" w:rsidRDefault="00081D6E" w:rsidP="00081D6E">
            <w:pPr>
              <w:pStyle w:val="Tabletext"/>
              <w:rPr>
                <w:lang w:val="fr-CH"/>
              </w:rPr>
            </w:pPr>
            <w:r w:rsidRPr="00081D6E">
              <w:rPr>
                <w:lang w:val="fr-CH"/>
              </w:rPr>
              <w:t>Le projet d'ordre du jour (Document RAG16/ADM/1) a été adopté sans modification. Les participants ont également adopté le plan de gestion du temps.</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t>3</w:t>
            </w:r>
          </w:p>
        </w:tc>
        <w:tc>
          <w:tcPr>
            <w:tcW w:w="3350" w:type="dxa"/>
          </w:tcPr>
          <w:p w:rsidR="00081D6E" w:rsidRPr="00081D6E" w:rsidRDefault="00081D6E" w:rsidP="00081D6E">
            <w:pPr>
              <w:pStyle w:val="Tabletext"/>
              <w:rPr>
                <w:i/>
                <w:lang w:val="fr-CH"/>
              </w:rPr>
            </w:pPr>
            <w:r w:rsidRPr="00081D6E">
              <w:rPr>
                <w:lang w:val="fr-CH"/>
              </w:rPr>
              <w:t>Rapport à la 23ème réunion du Groupe consultatif des radiocommunications</w:t>
            </w:r>
          </w:p>
          <w:p w:rsidR="00081D6E" w:rsidRPr="00081D6E" w:rsidRDefault="00081D6E" w:rsidP="00081D6E">
            <w:pPr>
              <w:pStyle w:val="Tabletext"/>
              <w:rPr>
                <w:i/>
                <w:lang w:val="fr-CH"/>
              </w:rPr>
            </w:pPr>
            <w:r w:rsidRPr="00081D6E">
              <w:rPr>
                <w:i/>
                <w:lang w:val="fr-CH"/>
              </w:rPr>
              <w:t>(Documents RAG16/1(Rév.1), RAG16/1(Add.3))</w:t>
            </w:r>
          </w:p>
        </w:tc>
        <w:tc>
          <w:tcPr>
            <w:tcW w:w="9691" w:type="dxa"/>
          </w:tcPr>
          <w:p w:rsidR="00081D6E" w:rsidRPr="00081D6E" w:rsidRDefault="00081D6E" w:rsidP="00081D6E">
            <w:pPr>
              <w:pStyle w:val="Tabletext"/>
              <w:rPr>
                <w:lang w:val="fr-CH"/>
              </w:rPr>
            </w:pPr>
            <w:r w:rsidRPr="00081D6E">
              <w:rPr>
                <w:lang w:val="fr-CH"/>
              </w:rPr>
              <w:t>Le GCR a pris note des informations fournies dans le Rapport du Directeur concernant plusieurs questions relatives au Conseil intéressant l'UIT-R, notamment la gratuité de l'accès en ligne aux publications de l'UIT-R, le recouvrement des coûts pour les fiches de notification des réseaux à satellite, les activités relatives à la conformité et l'interopérabilité, les questions liées au Protocole sur les biens spatiaux et le Mémorandum d'accord sur les GMPCS. Le GCR a en outre pris note du budget adopté par le Conseil pour l'exercice biennal 2016-2017.</w:t>
            </w:r>
          </w:p>
          <w:p w:rsidR="00081D6E" w:rsidRPr="00081D6E" w:rsidRDefault="00081D6E" w:rsidP="00081D6E">
            <w:pPr>
              <w:pStyle w:val="Tabletext"/>
              <w:rPr>
                <w:lang w:val="fr-CH"/>
              </w:rPr>
            </w:pPr>
            <w:r w:rsidRPr="00081D6E">
              <w:rPr>
                <w:lang w:val="fr-CH"/>
              </w:rPr>
              <w:t>Le GCR a noté avec satisfaction que la politique de gratuité de l'accès en ligne n'a pas eu de répercussions négatives sur les ventes des publications UIT-R sur DVD/CD et en version papier. Au contraire, elle a offert un cadre permettant de diffuser les Recommandations et Rapports UIT</w:t>
            </w:r>
            <w:r w:rsidRPr="00081D6E">
              <w:rPr>
                <w:lang w:val="fr-CH"/>
              </w:rPr>
              <w:noBreakHyphen/>
              <w:t>R auprès d'un public plus large. Le GCR a noté qu'actuellement, trois manuels de l'UIT-R pouvaient être téléchargés gratuitement et que la possibilité d'inclure d'autres manuels dans cette politique de gratuité devrait être approuvée par le Conseil. Le GCR a en outre relevé qu'après une période d'essai concluante, l'outil de navigation pour le Règlement des radiocommunications était disponible à la vente et a demandé des informations détaillées concernant les coûts de développement et de maintenance associés à cet outil, afin de pouvoir étudier la possibilité de le proposer gratuitement aux membres. Le GCR a fait observer que, même si le téléchargement gratuit des documents n'avait pas eu de répercussions sur les ventes du Règlement des radiocommunications, un outil de navigation pouvait remplacer la version papier ou sur CD/DVD et, par conséquent, risquait, dans ce cas précis, d'avoir une incidence sur les recettes provenant des ventes correspondantes.</w:t>
            </w:r>
          </w:p>
          <w:p w:rsidR="00081D6E" w:rsidRPr="00081D6E" w:rsidRDefault="00081D6E" w:rsidP="00081D6E">
            <w:pPr>
              <w:pStyle w:val="Tabletext"/>
              <w:keepNext/>
              <w:keepLines/>
              <w:rPr>
                <w:lang w:val="fr-CH"/>
              </w:rPr>
            </w:pPr>
            <w:r w:rsidRPr="00081D6E">
              <w:rPr>
                <w:lang w:val="fr-CH"/>
              </w:rPr>
              <w:t>Le GCR a pris note des principales activités menées par le Bureau l'année dernière concernant l'assistance technique fournie aux Membres, y compris les séminaires et ateliers sur les radiocommunications, et a reconnu qu'il était utile d'offrir de telles possibilités de renforcement des capacités aux administrations, principalement celles des pays en développement, afin d'aider leur personnel à mener à bien leurs tâches en ce qui concerne la gestion des fréquences et les notifications.</w:t>
            </w:r>
          </w:p>
          <w:p w:rsidR="00081D6E" w:rsidRPr="00081D6E" w:rsidRDefault="00081D6E" w:rsidP="00081D6E">
            <w:pPr>
              <w:pStyle w:val="Tabletext"/>
              <w:rPr>
                <w:lang w:val="fr-CH"/>
              </w:rPr>
            </w:pPr>
            <w:r w:rsidRPr="00081D6E">
              <w:rPr>
                <w:lang w:val="fr-CH"/>
              </w:rPr>
              <w:t>Le GCR a pris note des effets positifs qu'avaient eu les efforts déployés par l'UIT-R pour attirer davantage de Membres de Secteur, notamment des établissements universitaires, comme le montrent les données statistiques fournies concernant l'évolution de la composition de l'UIT</w:t>
            </w:r>
            <w:r w:rsidRPr="00081D6E">
              <w:rPr>
                <w:lang w:val="fr-CH"/>
              </w:rPr>
              <w:noBreakHyphen/>
              <w:t>R.</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lastRenderedPageBreak/>
              <w:t>4</w:t>
            </w:r>
          </w:p>
        </w:tc>
        <w:tc>
          <w:tcPr>
            <w:tcW w:w="3350" w:type="dxa"/>
          </w:tcPr>
          <w:p w:rsidR="00081D6E" w:rsidRPr="00081D6E" w:rsidRDefault="00081D6E" w:rsidP="00081D6E">
            <w:pPr>
              <w:pStyle w:val="Tabletext"/>
              <w:rPr>
                <w:lang w:val="fr-CH"/>
              </w:rPr>
            </w:pPr>
            <w:r w:rsidRPr="00402315">
              <w:rPr>
                <w:lang w:val="fr-CH"/>
              </w:rPr>
              <w:t>Résultats de l'AR-15 et de la CMR</w:t>
            </w:r>
            <w:r>
              <w:rPr>
                <w:lang w:val="fr-CH"/>
              </w:rPr>
              <w:noBreakHyphen/>
            </w:r>
            <w:r w:rsidRPr="00402315">
              <w:rPr>
                <w:lang w:val="fr-CH"/>
              </w:rPr>
              <w:t>15</w:t>
            </w:r>
          </w:p>
          <w:p w:rsidR="00081D6E" w:rsidRPr="00402315" w:rsidRDefault="00081D6E" w:rsidP="00081D6E">
            <w:pPr>
              <w:pStyle w:val="Tabletext"/>
            </w:pPr>
            <w:r w:rsidRPr="00402315">
              <w:rPr>
                <w:i/>
              </w:rPr>
              <w:t>(Documents RAG16/1(Rév.1), 12)</w:t>
            </w:r>
          </w:p>
        </w:tc>
        <w:tc>
          <w:tcPr>
            <w:tcW w:w="9691" w:type="dxa"/>
          </w:tcPr>
          <w:p w:rsidR="00081D6E" w:rsidRPr="00081D6E" w:rsidRDefault="00081D6E" w:rsidP="00081D6E">
            <w:pPr>
              <w:pStyle w:val="Tabletext"/>
              <w:rPr>
                <w:lang w:val="fr-CH"/>
              </w:rPr>
            </w:pPr>
            <w:r w:rsidRPr="00081D6E">
              <w:rPr>
                <w:lang w:val="fr-CH"/>
              </w:rPr>
              <w:t xml:space="preserve">Le GCR a pris note des rapports relatifs aux résultats de l'Assemblée des radiocommunications de 2015 et de la Conférence mondiale des radiocommunications de 2015, et a remercié le Directeur et les fonctionnaires du BR pour l'organisation efficace et le bon déroulement de ces deux manifestations. Le GCR a en outre pris note des mesures prises à ce jour par le Bureau afin de mettre en </w:t>
            </w:r>
            <w:r w:rsidR="00D930CF">
              <w:rPr>
                <w:lang w:val="fr-CH"/>
              </w:rPr>
              <w:t>oe</w:t>
            </w:r>
            <w:r w:rsidRPr="00081D6E">
              <w:rPr>
                <w:lang w:val="fr-CH"/>
              </w:rPr>
              <w:t>uvre les décisions de la CMR-15, notamment les activités connexes d'élaboration de logiciels, le regroupement de toutes les décisions prises par la CMR-15 qui n'apparaissent pas dans les Actes finals mais ont été consignées dans les procès-verbaux des séances plénières de la Conférence, la soumission au RRB d'une liste de Règles de procédure qu'il faudra peut-être réexaminer suite aux décisions prises par la CMR-15, ainsi qu'une liste des dispositions et les décisions adoptées en plénière par la CMR-15 qui pourraient nécessiter la publication de nouvelles Règles de procédure.</w:t>
            </w:r>
          </w:p>
          <w:p w:rsidR="00081D6E" w:rsidRPr="00081D6E" w:rsidRDefault="00081D6E" w:rsidP="00081D6E">
            <w:pPr>
              <w:pStyle w:val="Tabletext"/>
              <w:rPr>
                <w:lang w:val="fr-CH"/>
              </w:rPr>
            </w:pPr>
            <w:r w:rsidRPr="00081D6E">
              <w:rPr>
                <w:lang w:val="fr-CH"/>
              </w:rPr>
              <w:t>Le GCR a examiné le Document RAG16/12, soumis par la France, dans lequel il est proposé de créer un Groupe du Rapporteur qui serait chargé de suivre l'élaboration de logiciels en application des Résolutions 907 (Rév.CMR-15) et 908 (Rév.CMR-15). Le GCR a décidé de créer ledit groupe, de lui confier le mandat reproduit dans l'Annexe 1 et de le placer sous la présidence de M. Alexandre Vallet (France). Les membres sont invités à désigner d'ici au 15 juin 2016 des Rapporteurs qui participeront aux travaux de ce Groupe. Les noms des personnes désignées devraient être communiqués à M. Alexandre Vallet (</w:t>
            </w:r>
            <w:hyperlink r:id="rId21" w:history="1">
              <w:r w:rsidRPr="00081D6E">
                <w:rPr>
                  <w:rStyle w:val="Hyperlink"/>
                  <w:lang w:val="fr-CH"/>
                </w:rPr>
                <w:t>alexandre.vallet@anfr.fr</w:t>
              </w:r>
            </w:hyperlink>
            <w:r w:rsidRPr="00081D6E">
              <w:rPr>
                <w:lang w:val="fr-CH"/>
              </w:rPr>
              <w:t xml:space="preserve">) avec copie à </w:t>
            </w:r>
            <w:hyperlink r:id="rId22" w:history="1">
              <w:r w:rsidRPr="00081D6E">
                <w:rPr>
                  <w:rStyle w:val="Hyperlink"/>
                  <w:lang w:val="fr-CH"/>
                </w:rPr>
                <w:t>brrag@itu.int</w:t>
              </w:r>
            </w:hyperlink>
            <w:r w:rsidRPr="00081D6E">
              <w:rPr>
                <w:lang w:val="fr-CH"/>
              </w:rPr>
              <w:t>.</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t>5</w:t>
            </w:r>
          </w:p>
        </w:tc>
        <w:tc>
          <w:tcPr>
            <w:tcW w:w="3350" w:type="dxa"/>
          </w:tcPr>
          <w:p w:rsidR="00081D6E" w:rsidRPr="00081D6E" w:rsidRDefault="00081D6E" w:rsidP="00081D6E">
            <w:pPr>
              <w:pStyle w:val="Tabletext"/>
              <w:rPr>
                <w:lang w:val="fr-CH"/>
              </w:rPr>
            </w:pPr>
            <w:r w:rsidRPr="00081D6E">
              <w:rPr>
                <w:lang w:val="fr-CH"/>
              </w:rPr>
              <w:t>Travaux préparatoires en vue de l'AR/CMR-19</w:t>
            </w:r>
          </w:p>
          <w:p w:rsidR="00081D6E" w:rsidRPr="00402315" w:rsidRDefault="00081D6E" w:rsidP="00081D6E">
            <w:pPr>
              <w:pStyle w:val="Tabletext"/>
              <w:rPr>
                <w:sz w:val="24"/>
                <w:szCs w:val="24"/>
              </w:rPr>
            </w:pPr>
            <w:r w:rsidRPr="00402315">
              <w:rPr>
                <w:i/>
              </w:rPr>
              <w:t>(Documents RAG16/1(Rév.1), 6, 13, 14, 15)</w:t>
            </w:r>
          </w:p>
        </w:tc>
        <w:tc>
          <w:tcPr>
            <w:tcW w:w="9691" w:type="dxa"/>
          </w:tcPr>
          <w:p w:rsidR="00081D6E" w:rsidRPr="00081D6E" w:rsidRDefault="00081D6E" w:rsidP="00081D6E">
            <w:pPr>
              <w:pStyle w:val="Tabletext"/>
              <w:rPr>
                <w:lang w:val="fr-CH"/>
              </w:rPr>
            </w:pPr>
            <w:r w:rsidRPr="00081D6E">
              <w:rPr>
                <w:lang w:val="fr-CH"/>
              </w:rPr>
              <w:t>Le GCR a pris note du rapport concernant les travaux préparatoires en vue de l'AR/CMR-19, qui ont débuté l'année dernière, avec la tenue de la RPC19-1 (30 novembre - 1er décembre 2015) afin d'organiser les études préparatoires en vue de la CMR-19. Les résultats de la réunion, notamment les groupes responsables et les groupes concernés de l'UIT-R pour chacun des points de l'ordre du jour de la CMR-19 ainsi que l'ordre du jour préliminaire de la CMR-23, sont présentés dans la Lettre circulaire CA/226.</w:t>
            </w:r>
          </w:p>
          <w:p w:rsidR="00081D6E" w:rsidRPr="00402315" w:rsidRDefault="00081D6E" w:rsidP="00081D6E">
            <w:pPr>
              <w:pStyle w:val="Tabletext"/>
              <w:rPr>
                <w:lang w:val="fr-CH"/>
              </w:rPr>
            </w:pPr>
            <w:r w:rsidRPr="00081D6E">
              <w:rPr>
                <w:lang w:val="fr-CH"/>
              </w:rPr>
              <w:t>Le GCR a en outre fait observer que l'ordre du jour</w:t>
            </w:r>
            <w:r w:rsidRPr="00402315">
              <w:rPr>
                <w:lang w:val="fr-CH"/>
              </w:rPr>
              <w:t xml:space="preserve"> de la CMR-19, tel qu'il figure dans la Résolution 809 (CMR-15)</w:t>
            </w:r>
            <w:r w:rsidRPr="00081D6E">
              <w:rPr>
                <w:lang w:val="fr-CH"/>
              </w:rPr>
              <w:t xml:space="preserve">, </w:t>
            </w:r>
            <w:r w:rsidRPr="00402315">
              <w:rPr>
                <w:lang w:val="fr-CH"/>
              </w:rPr>
              <w:t>sera examiné par le Conseil à sa session de 2016, qui sera ensuite invité à adopter une Résolution contenant l'ordre du jour, le lieu et les dates de la CMR-19 et de l'AR-19.</w:t>
            </w:r>
          </w:p>
          <w:p w:rsidR="00081D6E" w:rsidRPr="00402315" w:rsidRDefault="00081D6E" w:rsidP="00081D6E">
            <w:pPr>
              <w:pStyle w:val="Tabletext"/>
              <w:rPr>
                <w:lang w:val="fr-CH"/>
              </w:rPr>
            </w:pPr>
            <w:r w:rsidRPr="00402315">
              <w:rPr>
                <w:lang w:val="fr-CH"/>
              </w:rPr>
              <w:t>Le GCR a examiné le Document RAG16/6 soumis par la Chine, dans lequel il est proposé que la date limite recommandée pour la soumission des propositions à la CMR-19 concernant le point 10 de son ordre du jour soit fixée à un mois avant la Conférence, afin que les membres disposent d'un délai suffisant pour examiner ces propositions. Le GCR a pris note du document et a encouragé les administrations à soumettre leurs contributions relatives au point 10 de l'ordre du jour dès que possible, de préférence un mois avant la CMR-19.</w:t>
            </w:r>
          </w:p>
          <w:p w:rsidR="00081D6E" w:rsidRPr="00402315" w:rsidRDefault="00081D6E" w:rsidP="00081D6E">
            <w:pPr>
              <w:pStyle w:val="Tabletext"/>
              <w:rPr>
                <w:lang w:val="fr-CH"/>
              </w:rPr>
            </w:pPr>
            <w:r w:rsidRPr="00402315">
              <w:rPr>
                <w:lang w:val="fr-CH"/>
              </w:rPr>
              <w:t xml:space="preserve">Le GCR a examiné le Document RAG16/13, soumis par la France, contenant une proposition de révision de la Résolution UIT-R 2, qui va dans le sens de l'actuel processus de préparation des CMR et propose une possible réduction de la durée de la seconde session de la RPC, qui serait ramenée à 8 jours, d'un mardi à un jeudi. Le GCR a </w:t>
            </w:r>
            <w:r w:rsidRPr="00402315">
              <w:rPr>
                <w:lang w:val="fr-CH"/>
              </w:rPr>
              <w:lastRenderedPageBreak/>
              <w:t>pris note du document et a demandé aux membres d'étudier plus avant ces propositions en vue de les examiner en détail à la prochaine réunion du GCR en 2017.</w:t>
            </w:r>
          </w:p>
          <w:p w:rsidR="00081D6E" w:rsidRPr="00081D6E" w:rsidRDefault="00081D6E" w:rsidP="00081D6E">
            <w:pPr>
              <w:pStyle w:val="Tabletext"/>
              <w:rPr>
                <w:lang w:val="fr-CH"/>
              </w:rPr>
            </w:pPr>
            <w:r w:rsidRPr="00081D6E">
              <w:rPr>
                <w:lang w:val="fr-CH"/>
              </w:rPr>
              <w:t>Le GCR a en outre examiné le Document RAG16/14 soumis par les Etats-Unis concernant les méthodes de travail pour les travaux préparatoires de la CMR-19. Le GCR a pris note de ce document et a rappelé que les méthodes de travail sont définies dans la Résolution UIT-R 1. Etant donné que certains éléments peuvent être flous, le GCR a encouragé les Etats-Unis à proposer directement à l'Assemblée des radiocommunications des modifications à apporter aux méthodes de travail.</w:t>
            </w:r>
          </w:p>
          <w:p w:rsidR="00081D6E" w:rsidRPr="00081D6E" w:rsidRDefault="00081D6E" w:rsidP="00081D6E">
            <w:pPr>
              <w:pStyle w:val="Tabletext"/>
              <w:rPr>
                <w:lang w:val="fr-CH"/>
              </w:rPr>
            </w:pPr>
            <w:r w:rsidRPr="00081D6E">
              <w:rPr>
                <w:lang w:val="fr-CH"/>
              </w:rPr>
              <w:t>Le GCR a examiné le Document RAG16/15 soumis par les Etats-Unis concernant la date de présentation du rapport du Directeur du BR à la CMR. Le GCR pense lui aussi qu'il est nécessaire que le rapport soit disponible le plus tôt possible, de préférence avant la seconde session de la RPC, reconnaissant qu'il ne pourrait s'agir alors de la version finale, dans la mesure où les travaux concernant certaines questions ne sont pas encore achevés, par exemple les travaux menés au titre du point 9.1 de l'ordre du jour ou les résultats des réunions régionales. La proposition d'une administration visant à adopter pour le rapport la structure de la CMR et non celle de la RPC, et ce afin de répartir facilement les différentes parties du rapport entre les commissions chargées des questions de fond dès lors qu'elles sont identifiées, a reçu un large soutien. En conclusion, le GCR a recommandé au Directeur de ne pas négliger l'utilité de disposer d'un avant-projet de rapport avant la seconde session de la RPC et de suivre la proposition d'organiser ce projet de rapport selon la structure envisagée pour la CMR.</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lastRenderedPageBreak/>
              <w:t>6</w:t>
            </w:r>
          </w:p>
        </w:tc>
        <w:tc>
          <w:tcPr>
            <w:tcW w:w="3350" w:type="dxa"/>
          </w:tcPr>
          <w:p w:rsidR="00081D6E" w:rsidRPr="00081D6E" w:rsidRDefault="00081D6E" w:rsidP="00081D6E">
            <w:pPr>
              <w:pStyle w:val="Tabletext"/>
              <w:rPr>
                <w:i/>
                <w:iCs/>
                <w:lang w:val="fr-CH"/>
              </w:rPr>
            </w:pPr>
            <w:r w:rsidRPr="00081D6E">
              <w:rPr>
                <w:lang w:val="fr-CH"/>
              </w:rPr>
              <w:t>Activités des commissions d'études</w:t>
            </w:r>
            <w:r w:rsidRPr="00081D6E">
              <w:rPr>
                <w:lang w:val="fr-CH"/>
              </w:rPr>
              <w:br/>
            </w:r>
            <w:r w:rsidRPr="00081D6E">
              <w:rPr>
                <w:i/>
                <w:lang w:val="fr-CH"/>
              </w:rPr>
              <w:t>(Documents RAG16/1(Add.1), 11(Rév.1), 8)</w:t>
            </w:r>
          </w:p>
        </w:tc>
        <w:tc>
          <w:tcPr>
            <w:tcW w:w="9691" w:type="dxa"/>
          </w:tcPr>
          <w:p w:rsidR="00081D6E" w:rsidRPr="00081D6E" w:rsidRDefault="00081D6E" w:rsidP="00081D6E">
            <w:pPr>
              <w:pStyle w:val="Tabletext"/>
              <w:rPr>
                <w:lang w:val="fr-CH"/>
              </w:rPr>
            </w:pPr>
            <w:r w:rsidRPr="00081D6E">
              <w:rPr>
                <w:lang w:val="fr-CH"/>
              </w:rPr>
              <w:t>Le GCR a pris note du rapport sur les activités des commissions d'études et a recommandé de mieux harmoniser les modalités de publication des projets de document de travail sur les sites SharePoint des différents sous-groupes des commissions d'études. Il a en outre souligné le fait qu'il est important d'éviter tout chevauchement entre les réunions du GCR et celles des commissions d'études de l'UIT-R ou des différents groupes régionaux. Etant donné que l'un des problèmes que pose la planification des réunions des commissions d'études et d'autres réunions concerne la disponibilité de salles à cet effet au siège de l'UIT, le GCR a encouragé ses membres à tenir compte de ce besoin lorsqu'ils prépareront les discussions qui auront lieu à la session de 2016 du Conseil au sujet des installations que devra offrir le nouveau bâtiment Varembé. Le GCR a en outre noté qu'il est nécessaire que la conception de ce bâtiment facilite l'accès des personnes handicapées.</w:t>
            </w:r>
          </w:p>
          <w:p w:rsidR="00081D6E" w:rsidRPr="00081D6E" w:rsidRDefault="00081D6E" w:rsidP="00081D6E">
            <w:pPr>
              <w:pStyle w:val="Tabletext"/>
              <w:rPr>
                <w:lang w:val="fr-CH"/>
              </w:rPr>
            </w:pPr>
            <w:r w:rsidRPr="00081D6E">
              <w:rPr>
                <w:lang w:val="fr-CH"/>
              </w:rPr>
              <w:t>Le GCR a en outre pris note de la proposition de révision des lignes directrices relatives aux méthodes de travail de l'AR, des commissions d'études de l'UIT-R et des groupes associés, élaborée par le secrétariat en application des décisions de l'AR-15, et a apporté quelques modifications à cette proposition, dont on trouvera la version finale à l'Annexe 2.</w:t>
            </w:r>
          </w:p>
          <w:p w:rsidR="00081D6E" w:rsidRPr="00081D6E" w:rsidRDefault="00081D6E" w:rsidP="00081D6E">
            <w:pPr>
              <w:pStyle w:val="Tabletext"/>
              <w:rPr>
                <w:lang w:val="fr-CH"/>
              </w:rPr>
            </w:pPr>
            <w:r w:rsidRPr="00081D6E">
              <w:rPr>
                <w:lang w:val="fr-CH"/>
              </w:rPr>
              <w:t>Le GCR a examiné le Document RAG16/8 soumis par l'Azerbaïdjan concernant la nécessité de parvenir à une utilisation judicieuse de la bande 694</w:t>
            </w:r>
            <w:r w:rsidRPr="00081D6E">
              <w:rPr>
                <w:lang w:val="fr-CH"/>
              </w:rPr>
              <w:noBreakHyphen/>
              <w:t xml:space="preserve">790 MHz dans la région dont fait partie l'Azerbaïdjan, en veillant à l'absence de brouillages préjudiciables. Le Directeur a indiqué que les pays parties à l'Accord GE06 doivent rechercher l'accord </w:t>
            </w:r>
            <w:r w:rsidRPr="00081D6E">
              <w:rPr>
                <w:lang w:val="fr-CH"/>
              </w:rPr>
              <w:lastRenderedPageBreak/>
              <w:t>des pays limitrophes affectés, ce qui nécessite des activités multilatérales de coordination des fréquences, qui ont déjà été menées en Afrique, dans la région des Etats arabes et débutent en Europe, avec l'appui du Bureau. Le GCR a noté qu'un travail de coordination multilatérale des fréquences doit être mené et a invité l'Azerbaïdjan à coordonner ce travail avec ses voisins de la région de la CEI et les pays limitrophes. Pour ce faire, ces pays peuvent demander l'assistance du Bureau s'ils le souhaitent, compte tenu des avis des administrations concernées prenant part à la coordination.</w:t>
            </w:r>
          </w:p>
        </w:tc>
      </w:tr>
      <w:tr w:rsidR="00081D6E" w:rsidRPr="00081D6E" w:rsidTr="00081D6E">
        <w:trPr>
          <w:jc w:val="center"/>
        </w:trPr>
        <w:tc>
          <w:tcPr>
            <w:tcW w:w="1037" w:type="dxa"/>
          </w:tcPr>
          <w:p w:rsidR="00081D6E" w:rsidRPr="002C04A0" w:rsidRDefault="00081D6E" w:rsidP="00081D6E">
            <w:pPr>
              <w:pStyle w:val="Tabletext"/>
              <w:keepNext/>
              <w:keepLines/>
              <w:jc w:val="center"/>
              <w:rPr>
                <w:sz w:val="22"/>
              </w:rPr>
            </w:pPr>
            <w:r w:rsidRPr="002C04A0">
              <w:rPr>
                <w:sz w:val="22"/>
              </w:rPr>
              <w:lastRenderedPageBreak/>
              <w:t>7</w:t>
            </w:r>
          </w:p>
        </w:tc>
        <w:tc>
          <w:tcPr>
            <w:tcW w:w="3350" w:type="dxa"/>
          </w:tcPr>
          <w:p w:rsidR="00081D6E" w:rsidRPr="00402315" w:rsidRDefault="00081D6E" w:rsidP="00081D6E">
            <w:pPr>
              <w:pStyle w:val="Tabletext"/>
              <w:keepNext/>
              <w:keepLines/>
              <w:rPr>
                <w:i/>
              </w:rPr>
            </w:pPr>
            <w:r w:rsidRPr="00402315">
              <w:t>Coordination intersectorielle</w:t>
            </w:r>
          </w:p>
          <w:p w:rsidR="00081D6E" w:rsidRPr="00402315" w:rsidRDefault="00081D6E" w:rsidP="00081D6E">
            <w:pPr>
              <w:pStyle w:val="Tabletext"/>
              <w:keepNext/>
              <w:keepLines/>
            </w:pPr>
            <w:r w:rsidRPr="00402315">
              <w:rPr>
                <w:i/>
              </w:rPr>
              <w:t>(Documents RAG16/2, 3, 4, 16)</w:t>
            </w:r>
          </w:p>
        </w:tc>
        <w:tc>
          <w:tcPr>
            <w:tcW w:w="9691" w:type="dxa"/>
          </w:tcPr>
          <w:p w:rsidR="00081D6E" w:rsidRPr="00081D6E" w:rsidRDefault="00081D6E" w:rsidP="00081D6E">
            <w:pPr>
              <w:pStyle w:val="Tabletext"/>
              <w:keepNext/>
              <w:keepLines/>
              <w:rPr>
                <w:lang w:val="fr-CH"/>
              </w:rPr>
            </w:pPr>
            <w:r w:rsidRPr="00081D6E">
              <w:rPr>
                <w:lang w:val="fr-CH"/>
              </w:rPr>
              <w:t>Le GCR a pris note de la note de liaison adressée par la Commission d'études 20 de l'UIT-T faisant état de la création d'une nouvelle commission d'études sur l'Internet des objets et ses applications, y compris les villes et les communautés intelligentes; il a encouragé les membres à participer aux travaux de cette Commission et a invité les commissions d'études de l'UIT-R à désigner un Rapporteur chargé de liaison ou un coordonnateur qui assistera et contribuera aux activités de la Commission d'études 20 de l'UIT-T.</w:t>
            </w:r>
          </w:p>
          <w:p w:rsidR="00081D6E" w:rsidRPr="00081D6E" w:rsidRDefault="00081D6E" w:rsidP="00081D6E">
            <w:pPr>
              <w:pStyle w:val="Tabletext"/>
              <w:keepNext/>
              <w:keepLines/>
              <w:rPr>
                <w:lang w:val="fr-CH"/>
              </w:rPr>
            </w:pPr>
            <w:r w:rsidRPr="00081D6E">
              <w:rPr>
                <w:lang w:val="fr-CH"/>
              </w:rPr>
              <w:t>Le GCR a en outre pris note des notes de liaison émanant du GCNT et du GCDT concernant la coordination intersectorielle, ainsi que des rapports de M. Fabio Bigi (Italie), Président de l'Equipe de coordination intersectorielle sur des questions d'intérêt mutuel, et de M. Vladimir Minkin (Fédération de Russie), Président du GCDT. Le GCR s'est dit satisfait de ces rapports détaillés et a confirmé sa volonté de continuer à participer aux travaux de l'Equipe de coordination intersectorielle sur des questions d'intérêt mutuel. Il s'est dit favorable à ce que M. Peter Major (Hongrie) et M. Albert Nalbandian (Arménie) continuent d'assurer leurs fonctions de représentants du GCR auprès de l'Equipe de coordination intersectorielle.</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t>8</w:t>
            </w:r>
          </w:p>
        </w:tc>
        <w:tc>
          <w:tcPr>
            <w:tcW w:w="3350" w:type="dxa"/>
          </w:tcPr>
          <w:p w:rsidR="00081D6E" w:rsidRPr="00081D6E" w:rsidRDefault="00081D6E" w:rsidP="00081D6E">
            <w:pPr>
              <w:pStyle w:val="Tabletext"/>
              <w:rPr>
                <w:lang w:val="fr-CH"/>
              </w:rPr>
            </w:pPr>
            <w:r w:rsidRPr="00081D6E">
              <w:rPr>
                <w:lang w:val="fr-CH"/>
              </w:rPr>
              <w:t>110ème anniversaire du Règlement des radiocommunications</w:t>
            </w:r>
          </w:p>
          <w:p w:rsidR="00081D6E" w:rsidRPr="00402315" w:rsidRDefault="00081D6E" w:rsidP="00081D6E">
            <w:pPr>
              <w:pStyle w:val="Tabletext"/>
            </w:pPr>
            <w:r w:rsidRPr="00402315">
              <w:rPr>
                <w:i/>
              </w:rPr>
              <w:t>(Documents RAG16/9,</w:t>
            </w:r>
            <w:r>
              <w:rPr>
                <w:i/>
              </w:rPr>
              <w:t xml:space="preserve"> </w:t>
            </w:r>
            <w:r w:rsidRPr="00402315">
              <w:rPr>
                <w:i/>
              </w:rPr>
              <w:t>10)</w:t>
            </w:r>
          </w:p>
        </w:tc>
        <w:tc>
          <w:tcPr>
            <w:tcW w:w="9691" w:type="dxa"/>
          </w:tcPr>
          <w:p w:rsidR="00081D6E" w:rsidRPr="00081D6E" w:rsidRDefault="00081D6E" w:rsidP="00081D6E">
            <w:pPr>
              <w:pStyle w:val="Tabletext"/>
              <w:rPr>
                <w:lang w:val="fr-CH"/>
              </w:rPr>
            </w:pPr>
            <w:r w:rsidRPr="00081D6E">
              <w:rPr>
                <w:lang w:val="fr-CH"/>
              </w:rPr>
              <w:t>Le GCR a accueilli favorablement le plan proposé par le Bureau pour les célébrations du 110ème anniversaire du Règlement des radiocommunications et a proposé que des personnalités de renommée internationale soient invitées à la cérémonie prévue lors de l'ouverture du Séminaire mondial des radiocommunications, qui aura lieu en décembre 2016 à Genève. Il a en outre proposé qu'un hommage soit rendu aux membres du RRB et de son ancêtre, l'IFRB, pour leur travail remarquable au service de l'Union. Le Directeur a été invité à étudier comment organiser au mieux cet hommage spécial dans le cadre des célébrations prévues.</w:t>
            </w:r>
          </w:p>
          <w:p w:rsidR="00081D6E" w:rsidRPr="00081D6E" w:rsidRDefault="00081D6E" w:rsidP="00081D6E">
            <w:pPr>
              <w:pStyle w:val="Tabletext"/>
              <w:rPr>
                <w:lang w:val="fr-CH"/>
              </w:rPr>
            </w:pPr>
            <w:r w:rsidRPr="00081D6E">
              <w:rPr>
                <w:lang w:val="fr-CH"/>
              </w:rPr>
              <w:t xml:space="preserve">Le GCR a examiné le Document RAG16/10 soumis par la Fédération de Russie, dans lequel il est proposé de créer des rubriques consacrées à l'histoire sur les pages web de l'UIT-R et de ses commissions d'études, afin de faire connaître les réalisations de l'UIT depuis sa création. Le GCR a noté que les ressources correspondantes seraient élaborées par des volontaires parmi les personnes participant ou ayant participé aux activités de l'UIT-R, avec l'appui du Service de la bibliothèque et des archives de l'UIT. Le GCR a également noté que, même si elles ne devraient pas avoir d'incidences sur le budget du Bureau, ces activités devront être supervisées par le BR afin de garantir la fiabilité des informations publiées sur le web. Le GCR a en outre noté que les tâches liées à ce projet ne devraient pas passer avant les activités habituelles du Bureau. En conclusion, le GCR a appuyé la mise en </w:t>
            </w:r>
            <w:r w:rsidR="00D930CF">
              <w:rPr>
                <w:lang w:val="fr-CH"/>
              </w:rPr>
              <w:t>oe</w:t>
            </w:r>
            <w:r w:rsidRPr="00081D6E">
              <w:rPr>
                <w:lang w:val="fr-CH"/>
              </w:rPr>
              <w:t xml:space="preserve">uvre de la </w:t>
            </w:r>
            <w:r w:rsidRPr="00081D6E">
              <w:rPr>
                <w:lang w:val="fr-CH"/>
              </w:rPr>
              <w:lastRenderedPageBreak/>
              <w:t xml:space="preserve">proposition (en tenant compte des restrictions budgétaires et des priorités) et a encouragé le Directeur à inviter les administrations à contribuer à cette initiative en soumettant les éléments pertinents. </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lastRenderedPageBreak/>
              <w:t>9</w:t>
            </w:r>
          </w:p>
        </w:tc>
        <w:tc>
          <w:tcPr>
            <w:tcW w:w="3350" w:type="dxa"/>
          </w:tcPr>
          <w:p w:rsidR="00081D6E" w:rsidRPr="00081D6E" w:rsidRDefault="00081D6E" w:rsidP="00081D6E">
            <w:pPr>
              <w:pStyle w:val="Tabletext"/>
              <w:rPr>
                <w:lang w:val="fr-CH"/>
              </w:rPr>
            </w:pPr>
            <w:r w:rsidRPr="00081D6E">
              <w:rPr>
                <w:lang w:val="fr-CH"/>
              </w:rPr>
              <w:t>Session de 2016 du Conseil: Politique en matière d'accès aux documents</w:t>
            </w:r>
          </w:p>
          <w:p w:rsidR="00081D6E" w:rsidRPr="00402315" w:rsidRDefault="00081D6E" w:rsidP="00081D6E">
            <w:pPr>
              <w:pStyle w:val="Tabletext"/>
            </w:pPr>
            <w:r w:rsidRPr="00402315">
              <w:rPr>
                <w:i/>
              </w:rPr>
              <w:t>(Document RAG16/INFO/2)</w:t>
            </w:r>
          </w:p>
        </w:tc>
        <w:tc>
          <w:tcPr>
            <w:tcW w:w="9691" w:type="dxa"/>
          </w:tcPr>
          <w:p w:rsidR="00081D6E" w:rsidRPr="00081D6E" w:rsidRDefault="00081D6E" w:rsidP="00081D6E">
            <w:pPr>
              <w:pStyle w:val="Tabletext"/>
              <w:rPr>
                <w:lang w:val="fr-CH"/>
              </w:rPr>
            </w:pPr>
            <w:r w:rsidRPr="00081D6E">
              <w:rPr>
                <w:lang w:val="fr-CH"/>
              </w:rPr>
              <w:t>Le GCR a pris note du rapport présenté par le Président du Groupe spécialisé sur la politique en matière d'accès à l'information/aux documents au Groupe de travail du Conseil sur les ressources financières et les ressources humaines, en particulier sa section 3.5, sur la consultation des groupes consultatifs des Secteurs concernant la politique relative à l'ouverture au public de l'accès aux documents soumis aux commissions d'études. Le GCR s'est félicité de l'esprit d'ouverture dont fait preuve par l'UIT avec cette nouvelle politique, qu'il considère comme un pas dans la bonne direction. Toutefois, s'agissant de l'accès aux documents soumis aux commissions d'études, différents avis ont été exprimés:</w:t>
            </w:r>
          </w:p>
          <w:p w:rsidR="00081D6E" w:rsidRPr="00081D6E" w:rsidRDefault="00081D6E" w:rsidP="00081D6E">
            <w:pPr>
              <w:pStyle w:val="Tabletext"/>
              <w:rPr>
                <w:lang w:val="fr-CH"/>
              </w:rPr>
            </w:pPr>
            <w:r w:rsidRPr="00081D6E">
              <w:rPr>
                <w:lang w:val="fr-CH"/>
              </w:rPr>
              <w:t>D'un côté, certains estiment que les documents soumis aux commissions d'études (y compris aux groupes de travail et aux groupes d'action) devraient être accessibles au public.</w:t>
            </w:r>
          </w:p>
          <w:p w:rsidR="00081D6E" w:rsidRPr="00081D6E" w:rsidRDefault="00081D6E" w:rsidP="00081D6E">
            <w:pPr>
              <w:pStyle w:val="Tabletext"/>
              <w:rPr>
                <w:lang w:val="fr-CH"/>
              </w:rPr>
            </w:pPr>
            <w:r w:rsidRPr="00081D6E">
              <w:rPr>
                <w:lang w:val="fr-CH"/>
              </w:rPr>
              <w:t>De l'autre, certains considèrent que seuls les documents soumis et élaborés au niveau des commissions d'études devraient être accessibles au public, étant donné que les documents soumis aux groupes de travail et aux autres sous-groupes risquent de ne pas être suffisamment développés ou aboutis et, partant, d'induire le public, en particulier les acteurs du secteur privé, en erreur.</w:t>
            </w:r>
          </w:p>
          <w:p w:rsidR="00081D6E" w:rsidRPr="00081D6E" w:rsidRDefault="00081D6E" w:rsidP="00081D6E">
            <w:pPr>
              <w:pStyle w:val="Tabletext"/>
              <w:rPr>
                <w:lang w:val="fr-CH"/>
              </w:rPr>
            </w:pPr>
            <w:r w:rsidRPr="00081D6E">
              <w:rPr>
                <w:lang w:val="fr-CH"/>
              </w:rPr>
              <w:t>Dans les deux cas de figure, on pourrait procéder de même que pour la CMR-15 (voir la Circulaire CA/219(Add.2)</w:t>
            </w:r>
            <w:r w:rsidRPr="00402315">
              <w:rPr>
                <w:rStyle w:val="FootnoteReference"/>
                <w:rFonts w:asciiTheme="majorBidi" w:hAnsiTheme="majorBidi" w:cstheme="majorBidi"/>
                <w:szCs w:val="24"/>
              </w:rPr>
              <w:footnoteReference w:id="1"/>
            </w:r>
            <w:r w:rsidRPr="00081D6E">
              <w:rPr>
                <w:lang w:val="fr-CH"/>
              </w:rPr>
              <w:t>.</w:t>
            </w:r>
          </w:p>
          <w:p w:rsidR="00081D6E" w:rsidRPr="00081D6E" w:rsidRDefault="00081D6E" w:rsidP="00081D6E">
            <w:pPr>
              <w:pStyle w:val="Tabletext"/>
              <w:rPr>
                <w:lang w:val="fr-CH"/>
              </w:rPr>
            </w:pPr>
            <w:r w:rsidRPr="00081D6E">
              <w:rPr>
                <w:lang w:val="fr-CH"/>
              </w:rPr>
              <w:t>Par ailleurs, le GCR a noté qu'il faudrait faire une différence entre l'accès aux documents et l'accès aux bases de données, étant donné que les documents proviennent d'une seule source (auteur), alors que les informations contenues dans les bases de données de l'UIT sont le fruit d'activités de collaboration entre plusieurs sources. Il pourrait par conséquent être nécessaire de disposer d'une politique relative à l'accès aux données, en plus de la politique en cours d'élaboration concernant l'accès à l'information/aux documents.</w:t>
            </w:r>
          </w:p>
        </w:tc>
      </w:tr>
      <w:tr w:rsidR="00081D6E" w:rsidRPr="00081D6E" w:rsidTr="00081D6E">
        <w:trPr>
          <w:cantSplit/>
          <w:jc w:val="center"/>
        </w:trPr>
        <w:tc>
          <w:tcPr>
            <w:tcW w:w="1037" w:type="dxa"/>
          </w:tcPr>
          <w:p w:rsidR="00081D6E" w:rsidRPr="002C04A0" w:rsidRDefault="00081D6E" w:rsidP="00081D6E">
            <w:pPr>
              <w:pStyle w:val="Tabletext"/>
              <w:jc w:val="center"/>
              <w:rPr>
                <w:sz w:val="22"/>
              </w:rPr>
            </w:pPr>
            <w:r w:rsidRPr="00081D6E">
              <w:rPr>
                <w:sz w:val="24"/>
                <w:szCs w:val="24"/>
                <w:lang w:val="fr-CH"/>
              </w:rPr>
              <w:lastRenderedPageBreak/>
              <w:br w:type="page"/>
            </w:r>
            <w:r w:rsidRPr="002C04A0">
              <w:rPr>
                <w:sz w:val="22"/>
              </w:rPr>
              <w:t>10</w:t>
            </w:r>
          </w:p>
        </w:tc>
        <w:tc>
          <w:tcPr>
            <w:tcW w:w="3350" w:type="dxa"/>
          </w:tcPr>
          <w:p w:rsidR="00081D6E" w:rsidRPr="00402315" w:rsidRDefault="00081D6E" w:rsidP="00081D6E">
            <w:pPr>
              <w:pStyle w:val="Tabletext"/>
              <w:rPr>
                <w:lang w:val="fr-CH"/>
              </w:rPr>
            </w:pPr>
            <w:r w:rsidRPr="00402315">
              <w:rPr>
                <w:lang w:val="fr-CH"/>
              </w:rPr>
              <w:t>Système d'information du BR</w:t>
            </w:r>
          </w:p>
          <w:p w:rsidR="00081D6E" w:rsidRPr="00402315" w:rsidRDefault="00081D6E" w:rsidP="00081D6E">
            <w:pPr>
              <w:pStyle w:val="Tabletext"/>
              <w:rPr>
                <w:lang w:val="fr-CH"/>
              </w:rPr>
            </w:pPr>
            <w:r w:rsidRPr="00402315">
              <w:rPr>
                <w:i/>
                <w:lang w:val="fr-CH"/>
              </w:rPr>
              <w:t>(Document RAG16(Rév.1))</w:t>
            </w:r>
          </w:p>
        </w:tc>
        <w:tc>
          <w:tcPr>
            <w:tcW w:w="9691" w:type="dxa"/>
          </w:tcPr>
          <w:p w:rsidR="00081D6E" w:rsidRPr="00081D6E" w:rsidRDefault="00081D6E" w:rsidP="00081D6E">
            <w:pPr>
              <w:pStyle w:val="Tabletext"/>
              <w:rPr>
                <w:lang w:val="fr-CH"/>
              </w:rPr>
            </w:pPr>
            <w:r w:rsidRPr="00081D6E">
              <w:rPr>
                <w:lang w:val="fr-CH"/>
              </w:rPr>
              <w:t>Le GCR a salué l'élaboration récente, par le Bureau, de l'outil de navigation pour le Règlement des radiocommunications, qui est un instrument utile aidant les utilisateurs à naviguer facilement dans le Règlement des radiocommunications. Le GCR a en outre noté qu'une valeur de 100 CHF avait été calculée pour cet outil au titre du recouvrement des coûts et il a considéré qu'il pourrait être utile, principalement pour les pays en développement, de pouvoir disposer de cet outil gratuitement.</w:t>
            </w:r>
          </w:p>
          <w:p w:rsidR="00081D6E" w:rsidRPr="00081D6E" w:rsidRDefault="00081D6E" w:rsidP="00081D6E">
            <w:pPr>
              <w:pStyle w:val="Tabletext"/>
              <w:rPr>
                <w:lang w:val="fr-CH"/>
              </w:rPr>
            </w:pPr>
            <w:r w:rsidRPr="00081D6E">
              <w:rPr>
                <w:lang w:val="fr-CH"/>
              </w:rPr>
              <w:t>Le GCR a observé avec satisfaction les progrès accomplis en ce qui concerne les activités d'élaboration de logiciels menées en application des décisions de la CMR-15, ainsi que la poursuite des activités prévues dans la feuille de route recommandée par le GCR à sa 19ème réunion, visant notamment à améliorer le système d'information du BR. Le GCR a noté que le passage prévu des bases de données Access au format SQLite sera un processus progressif qui n'aura pas ou peu d'incidences pour les administrations, étant donné que des outils de conversion faciles à utiliser seront fournis par le Bureau et feront l'objet d'une présentation lors du prochain Séminaire mondial des radiocommunications (WRS-16).</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t>11</w:t>
            </w:r>
          </w:p>
        </w:tc>
        <w:tc>
          <w:tcPr>
            <w:tcW w:w="3350" w:type="dxa"/>
          </w:tcPr>
          <w:p w:rsidR="00081D6E" w:rsidRPr="00081D6E" w:rsidRDefault="00081D6E" w:rsidP="00081D6E">
            <w:pPr>
              <w:pStyle w:val="Tabletext"/>
              <w:rPr>
                <w:lang w:val="fr-CH"/>
              </w:rPr>
            </w:pPr>
            <w:r w:rsidRPr="00081D6E">
              <w:rPr>
                <w:rFonts w:eastAsia="Arial Unicode MS"/>
                <w:lang w:val="fr-CH"/>
              </w:rPr>
              <w:t>Projet de Plan opérationnel glissant pour la période 2017-2020</w:t>
            </w:r>
            <w:r w:rsidRPr="00081D6E">
              <w:rPr>
                <w:rFonts w:eastAsia="Arial Unicode MS"/>
                <w:lang w:val="fr-CH"/>
              </w:rPr>
              <w:br/>
            </w:r>
            <w:r w:rsidRPr="00081D6E">
              <w:rPr>
                <w:i/>
                <w:lang w:val="fr-CH"/>
              </w:rPr>
              <w:t>(Documents RAG16/1(Add.2), 5, 7)</w:t>
            </w:r>
          </w:p>
        </w:tc>
        <w:tc>
          <w:tcPr>
            <w:tcW w:w="9691" w:type="dxa"/>
          </w:tcPr>
          <w:p w:rsidR="00081D6E" w:rsidRPr="00081D6E" w:rsidRDefault="00081D6E" w:rsidP="00081D6E">
            <w:pPr>
              <w:pStyle w:val="Tabletext"/>
              <w:rPr>
                <w:lang w:val="fr-CH"/>
              </w:rPr>
            </w:pPr>
            <w:r w:rsidRPr="00081D6E">
              <w:rPr>
                <w:lang w:val="fr-CH"/>
              </w:rPr>
              <w:t>Le GCR a pris note des principaux éléments du projet de Plan opérationnel glissant de l'UIT-R pour la période 2017-2020, en particulier, les résultats, les produits et les indicateurs de résultat présentés pour chaque objectif.</w:t>
            </w:r>
          </w:p>
          <w:p w:rsidR="00081D6E" w:rsidRPr="00081D6E" w:rsidRDefault="00081D6E" w:rsidP="00081D6E">
            <w:pPr>
              <w:pStyle w:val="Tabletext"/>
              <w:rPr>
                <w:lang w:val="fr-CH"/>
              </w:rPr>
            </w:pPr>
            <w:r w:rsidRPr="00081D6E">
              <w:rPr>
                <w:lang w:val="fr-CH"/>
              </w:rPr>
              <w:t>Le GCR a en outre pris note des prévisions d'affectation des ressources financières aux produits définis pour le BR pour la période 2017-2020.</w:t>
            </w:r>
          </w:p>
          <w:p w:rsidR="00081D6E" w:rsidRPr="00081D6E" w:rsidRDefault="00081D6E" w:rsidP="00081D6E">
            <w:pPr>
              <w:pStyle w:val="Tabletext"/>
              <w:rPr>
                <w:lang w:val="fr-CH"/>
              </w:rPr>
            </w:pPr>
            <w:r w:rsidRPr="00081D6E">
              <w:rPr>
                <w:lang w:val="fr-CH"/>
              </w:rPr>
              <w:t>Il a en outre relevé que certains indicateurs de résultat avaient été ajustés, afin de mieux rendre compte du niveau de réalisation des résultats concernés et que des valeurs de référence, des valeurs pour l'année et des valeurs cibles avaient été ajoutées pour chaque résultat, ainsi que la source des chiffres présentés. Le GCR a noté que, dans certains cas, il était impossible ou trop coûteux d'obtenir ces valeurs auprès de sources extérieures et que le BR travaillait en collaboration avec le BDT, afin d'inclure des questions pour obtenir ces valeurs dans l'enquête annuelle envoyée aux Etats Membres pour recueillir des données statistiques sur les TIC.</w:t>
            </w:r>
          </w:p>
          <w:p w:rsidR="00081D6E" w:rsidRPr="00081D6E" w:rsidRDefault="00081D6E" w:rsidP="00081D6E">
            <w:pPr>
              <w:pStyle w:val="Tabletext"/>
              <w:keepNext/>
              <w:keepLines/>
              <w:rPr>
                <w:lang w:val="fr-CH"/>
              </w:rPr>
            </w:pPr>
            <w:r w:rsidRPr="00081D6E">
              <w:rPr>
                <w:lang w:val="fr-CH"/>
              </w:rPr>
              <w:t>Le GCR a approuvé la proposition de projet de Plan opérationnel glissant de l'UIT-R pour la période 2017</w:t>
            </w:r>
            <w:r w:rsidRPr="00081D6E">
              <w:rPr>
                <w:lang w:val="fr-CH"/>
              </w:rPr>
              <w:noBreakHyphen/>
              <w:t>2020 moyennant quelques modifications, tel qu'il est présenté dans l'Annexe 3, et a demandé au Directeur de tenir compte des points ci-après pour élaborer le Plan stratégique et les plans opérationnels de l'UIT-R correspondant pour le cycle à venir:</w:t>
            </w:r>
          </w:p>
          <w:p w:rsidR="00081D6E" w:rsidRPr="00081D6E" w:rsidRDefault="00081D6E" w:rsidP="00081D6E">
            <w:pPr>
              <w:pStyle w:val="Tabletext"/>
              <w:keepNext/>
              <w:keepLines/>
              <w:tabs>
                <w:tab w:val="clear" w:pos="284"/>
                <w:tab w:val="clear" w:pos="567"/>
                <w:tab w:val="clear" w:pos="851"/>
                <w:tab w:val="left" w:pos="518"/>
              </w:tabs>
              <w:ind w:left="284" w:hanging="284"/>
              <w:rPr>
                <w:lang w:val="fr-CH"/>
              </w:rPr>
            </w:pPr>
            <w:r w:rsidRPr="00081D6E">
              <w:rPr>
                <w:lang w:val="fr-CH"/>
              </w:rPr>
              <w:t>–</w:t>
            </w:r>
            <w:r w:rsidRPr="00081D6E">
              <w:rPr>
                <w:lang w:val="fr-CH"/>
              </w:rPr>
              <w:tab/>
            </w:r>
            <w:r w:rsidRPr="00081D6E">
              <w:rPr>
                <w:lang w:val="fr-CH"/>
              </w:rPr>
              <w:tab/>
              <w:t>il faut faire la distinction entre les objectifs du Secteur des radiocommunications et ceux du Bureau;</w:t>
            </w:r>
          </w:p>
          <w:p w:rsidR="00081D6E" w:rsidRPr="00081D6E" w:rsidRDefault="00081D6E" w:rsidP="00081D6E">
            <w:pPr>
              <w:pStyle w:val="Tabletext"/>
              <w:keepNext/>
              <w:keepLines/>
              <w:tabs>
                <w:tab w:val="clear" w:pos="284"/>
                <w:tab w:val="clear" w:pos="567"/>
                <w:tab w:val="clear" w:pos="851"/>
                <w:tab w:val="left" w:pos="518"/>
              </w:tabs>
              <w:ind w:left="518" w:hanging="518"/>
              <w:rPr>
                <w:lang w:val="fr-CH"/>
              </w:rPr>
            </w:pPr>
            <w:r w:rsidRPr="00081D6E">
              <w:rPr>
                <w:lang w:val="fr-CH"/>
              </w:rPr>
              <w:t>–</w:t>
            </w:r>
            <w:r w:rsidRPr="00081D6E">
              <w:rPr>
                <w:lang w:val="fr-CH"/>
              </w:rPr>
              <w:tab/>
              <w:t>le plan opérationnel de l'UIT-R devrait être distinct de ceux des membres; ce point doit être pris en compte par le Conseil lorsqu'il élaborera un projet de Plan stratégique pour l'Union pour la période 2020-2024;</w:t>
            </w:r>
          </w:p>
          <w:p w:rsidR="00081D6E" w:rsidRPr="00081D6E" w:rsidRDefault="00081D6E" w:rsidP="00081D6E">
            <w:pPr>
              <w:pStyle w:val="Tabletext"/>
              <w:tabs>
                <w:tab w:val="clear" w:pos="284"/>
                <w:tab w:val="clear" w:pos="567"/>
                <w:tab w:val="clear" w:pos="851"/>
                <w:tab w:val="left" w:pos="518"/>
              </w:tabs>
              <w:ind w:left="518" w:hanging="518"/>
              <w:rPr>
                <w:lang w:val="fr-CH"/>
              </w:rPr>
            </w:pPr>
            <w:r w:rsidRPr="00081D6E">
              <w:rPr>
                <w:lang w:val="fr-CH"/>
              </w:rPr>
              <w:t>–</w:t>
            </w:r>
            <w:r w:rsidRPr="00081D6E">
              <w:rPr>
                <w:lang w:val="fr-CH"/>
              </w:rPr>
              <w:tab/>
              <w:t>dans le produit relatif aux conférences régionales des radiocommunications et aux accords régionaux, il conviendrait d'ajouter un libellé du type «dans l'éventualité où»;</w:t>
            </w:r>
          </w:p>
          <w:p w:rsidR="00081D6E" w:rsidRPr="00081D6E" w:rsidRDefault="00081D6E" w:rsidP="00081D6E">
            <w:pPr>
              <w:pStyle w:val="Tabletext"/>
              <w:tabs>
                <w:tab w:val="clear" w:pos="284"/>
                <w:tab w:val="clear" w:pos="567"/>
                <w:tab w:val="clear" w:pos="851"/>
                <w:tab w:val="left" w:pos="518"/>
              </w:tabs>
              <w:ind w:left="518" w:hanging="518"/>
              <w:rPr>
                <w:lang w:val="fr-CH"/>
              </w:rPr>
            </w:pPr>
            <w:r w:rsidRPr="00081D6E">
              <w:rPr>
                <w:lang w:val="fr-CH"/>
              </w:rPr>
              <w:lastRenderedPageBreak/>
              <w:t>–</w:t>
            </w:r>
            <w:r w:rsidRPr="00081D6E">
              <w:rPr>
                <w:lang w:val="fr-CH"/>
              </w:rPr>
              <w:tab/>
              <w:t>il conviendrait d'harmoniser la description des résultats, qui commencerait par exemple par «Augmentation du» ou «Réduction du» nombre de...</w:t>
            </w:r>
          </w:p>
          <w:p w:rsidR="00081D6E" w:rsidRPr="00081D6E" w:rsidRDefault="00081D6E" w:rsidP="00081D6E">
            <w:pPr>
              <w:pStyle w:val="Tabletext"/>
              <w:rPr>
                <w:lang w:val="fr-CH"/>
              </w:rPr>
            </w:pPr>
            <w:r w:rsidRPr="00081D6E">
              <w:rPr>
                <w:lang w:val="fr-CH"/>
              </w:rPr>
              <w:t>Le GCR a en outre pris note de la proposition de Plan opérationnel glissant du Secrétariat général pour la période 2017-2020 et a proposé quelques modifications à apporter à ce document concernant la forme et les statistiques.</w:t>
            </w:r>
          </w:p>
          <w:p w:rsidR="00081D6E" w:rsidRPr="00081D6E" w:rsidRDefault="00081D6E" w:rsidP="00081D6E">
            <w:pPr>
              <w:pStyle w:val="Tabletext"/>
              <w:rPr>
                <w:lang w:val="fr-CH"/>
              </w:rPr>
            </w:pPr>
            <w:r w:rsidRPr="00081D6E">
              <w:rPr>
                <w:lang w:val="fr-CH"/>
              </w:rPr>
              <w:t xml:space="preserve">Le GCR a pris note du document sur la mise en correspondance entre, d'une part, les activités et les objectifs de l'UIT-R et, d'autre part, les Objectifs de développement durable (ODD); il a remercié le Directeur pour le travail accompli par le secrétariat à cet égard et a fait des propositions visant à améliorer ce document, dont certaines apparaissent dans la </w:t>
            </w:r>
            <w:hyperlink r:id="rId23" w:history="1">
              <w:r w:rsidRPr="00081D6E">
                <w:rPr>
                  <w:color w:val="0000FF"/>
                  <w:u w:val="single"/>
                  <w:lang w:val="fr-CH"/>
                </w:rPr>
                <w:t>révision 2 au Document RAG16/5</w:t>
              </w:r>
            </w:hyperlink>
            <w:r w:rsidRPr="00081D6E">
              <w:rPr>
                <w:lang w:val="fr-CH"/>
              </w:rPr>
              <w:t>. Le GCR a invité les Membres à communiquer d'autres observations au Directeur, en vue de peaufiner ce document qui est évolutif. Il a été proposé de donner des exemples précis illustrant comment les mesures prises par l'UIT-R contribuent, même indirectement, à la réalisation des ODD.</w:t>
            </w:r>
          </w:p>
        </w:tc>
      </w:tr>
      <w:tr w:rsidR="00081D6E" w:rsidRPr="00081D6E" w:rsidTr="00081D6E">
        <w:trPr>
          <w:jc w:val="center"/>
        </w:trPr>
        <w:tc>
          <w:tcPr>
            <w:tcW w:w="1037" w:type="dxa"/>
          </w:tcPr>
          <w:p w:rsidR="00081D6E" w:rsidRPr="002C04A0" w:rsidRDefault="00081D6E" w:rsidP="00081D6E">
            <w:pPr>
              <w:pStyle w:val="Tabletext"/>
              <w:jc w:val="center"/>
              <w:rPr>
                <w:sz w:val="22"/>
              </w:rPr>
            </w:pPr>
            <w:r w:rsidRPr="002C04A0">
              <w:rPr>
                <w:sz w:val="22"/>
              </w:rPr>
              <w:lastRenderedPageBreak/>
              <w:t>12</w:t>
            </w:r>
          </w:p>
        </w:tc>
        <w:tc>
          <w:tcPr>
            <w:tcW w:w="3350" w:type="dxa"/>
          </w:tcPr>
          <w:p w:rsidR="00081D6E" w:rsidRPr="00081D6E" w:rsidRDefault="00081D6E" w:rsidP="00081D6E">
            <w:pPr>
              <w:pStyle w:val="Tabletext"/>
              <w:rPr>
                <w:lang w:val="fr-CH"/>
              </w:rPr>
            </w:pPr>
            <w:r w:rsidRPr="00081D6E">
              <w:rPr>
                <w:lang w:val="fr-CH"/>
              </w:rPr>
              <w:t>Date de la prochaine réunion</w:t>
            </w:r>
          </w:p>
        </w:tc>
        <w:tc>
          <w:tcPr>
            <w:tcW w:w="9691" w:type="dxa"/>
            <w:tcBorders>
              <w:bottom w:val="single" w:sz="6" w:space="0" w:color="auto"/>
            </w:tcBorders>
          </w:tcPr>
          <w:p w:rsidR="00081D6E" w:rsidRPr="00081D6E" w:rsidRDefault="00081D6E" w:rsidP="00081D6E">
            <w:pPr>
              <w:pStyle w:val="Tabletext"/>
              <w:rPr>
                <w:lang w:val="fr-CH"/>
              </w:rPr>
            </w:pPr>
            <w:r w:rsidRPr="00081D6E">
              <w:rPr>
                <w:lang w:val="fr-CH"/>
              </w:rPr>
              <w:t>La 24ème réunion du GCR devrait avoir lieu du 25 au 27 avril 2017.</w:t>
            </w:r>
          </w:p>
        </w:tc>
      </w:tr>
      <w:tr w:rsidR="00081D6E" w:rsidRPr="00402315" w:rsidTr="00081D6E">
        <w:trPr>
          <w:jc w:val="center"/>
        </w:trPr>
        <w:tc>
          <w:tcPr>
            <w:tcW w:w="1037" w:type="dxa"/>
          </w:tcPr>
          <w:p w:rsidR="00081D6E" w:rsidRPr="002C04A0" w:rsidRDefault="00081D6E" w:rsidP="00081D6E">
            <w:pPr>
              <w:pStyle w:val="Tabletext"/>
              <w:jc w:val="center"/>
              <w:rPr>
                <w:sz w:val="22"/>
              </w:rPr>
            </w:pPr>
            <w:r w:rsidRPr="002C04A0">
              <w:rPr>
                <w:sz w:val="22"/>
              </w:rPr>
              <w:t>13</w:t>
            </w:r>
          </w:p>
        </w:tc>
        <w:tc>
          <w:tcPr>
            <w:tcW w:w="3350" w:type="dxa"/>
          </w:tcPr>
          <w:p w:rsidR="00081D6E" w:rsidRPr="00402315" w:rsidRDefault="00081D6E" w:rsidP="00081D6E">
            <w:pPr>
              <w:pStyle w:val="Tabletext"/>
              <w:rPr>
                <w:sz w:val="24"/>
                <w:szCs w:val="24"/>
              </w:rPr>
            </w:pPr>
            <w:r w:rsidRPr="00402315">
              <w:rPr>
                <w:sz w:val="24"/>
                <w:szCs w:val="24"/>
              </w:rPr>
              <w:t>Divers</w:t>
            </w:r>
          </w:p>
        </w:tc>
        <w:tc>
          <w:tcPr>
            <w:tcW w:w="9691" w:type="dxa"/>
            <w:tcBorders>
              <w:bottom w:val="single" w:sz="6" w:space="0" w:color="auto"/>
            </w:tcBorders>
          </w:tcPr>
          <w:p w:rsidR="00081D6E" w:rsidRPr="00402315" w:rsidRDefault="00081D6E" w:rsidP="00081D6E">
            <w:pPr>
              <w:pStyle w:val="Tabletext"/>
              <w:rPr>
                <w:sz w:val="24"/>
                <w:szCs w:val="24"/>
              </w:rPr>
            </w:pPr>
          </w:p>
        </w:tc>
      </w:tr>
    </w:tbl>
    <w:p w:rsidR="00081D6E" w:rsidRDefault="00081D6E" w:rsidP="00081D6E">
      <w:pPr>
        <w:rPr>
          <w:u w:val="single"/>
        </w:rPr>
      </w:pPr>
    </w:p>
    <w:p w:rsidR="00081D6E" w:rsidRDefault="00081D6E" w:rsidP="00081D6E">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081D6E" w:rsidRDefault="00081D6E" w:rsidP="00081D6E">
      <w:r w:rsidRPr="00402315">
        <w:rPr>
          <w:u w:val="single"/>
        </w:rPr>
        <w:lastRenderedPageBreak/>
        <w:t>ANNEXES</w:t>
      </w:r>
      <w:r w:rsidRPr="00ED0FE7">
        <w:t>:</w:t>
      </w:r>
    </w:p>
    <w:p w:rsidR="00081D6E" w:rsidRPr="00081D6E" w:rsidRDefault="00081D6E" w:rsidP="00081D6E">
      <w:pPr>
        <w:rPr>
          <w:lang w:val="fr-CH"/>
        </w:rPr>
      </w:pPr>
      <w:r w:rsidRPr="00081D6E">
        <w:rPr>
          <w:lang w:val="fr-CH"/>
        </w:rPr>
        <w:t>ANNEXE 1:</w:t>
      </w:r>
      <w:r w:rsidRPr="00081D6E">
        <w:rPr>
          <w:lang w:val="fr-CH"/>
        </w:rPr>
        <w:tab/>
        <w:t xml:space="preserve">Groupe du Rapporteur sur la mise en </w:t>
      </w:r>
      <w:r w:rsidR="00D930CF">
        <w:rPr>
          <w:lang w:val="fr-CH"/>
        </w:rPr>
        <w:t>oe</w:t>
      </w:r>
      <w:r w:rsidRPr="00081D6E">
        <w:rPr>
          <w:lang w:val="fr-CH"/>
        </w:rPr>
        <w:t>uvre des Résolutions 907 (Rév.CMR-15) et 908 (Rév.CMR-15)</w:t>
      </w:r>
    </w:p>
    <w:p w:rsidR="00081D6E" w:rsidRPr="00081D6E" w:rsidRDefault="00081D6E" w:rsidP="00081D6E">
      <w:pPr>
        <w:ind w:left="1588" w:hanging="1588"/>
        <w:rPr>
          <w:lang w:val="fr-CH"/>
        </w:rPr>
      </w:pPr>
      <w:r w:rsidRPr="00081D6E">
        <w:rPr>
          <w:lang w:val="fr-CH"/>
        </w:rPr>
        <w:t>ANNEXE 2:</w:t>
      </w:r>
      <w:r w:rsidRPr="00081D6E">
        <w:rPr>
          <w:lang w:val="fr-CH"/>
        </w:rPr>
        <w:tab/>
        <w:t>Mise à jour des lignes directrices relatives aux méthodes de travail de l'Assemblée des radiocommunications, des commissions d'études des radiocommunications et des groupes associés</w:t>
      </w:r>
    </w:p>
    <w:p w:rsidR="00081D6E" w:rsidRPr="00081D6E" w:rsidRDefault="00081D6E" w:rsidP="00081D6E">
      <w:pPr>
        <w:rPr>
          <w:lang w:val="fr-CH"/>
        </w:rPr>
      </w:pPr>
      <w:r w:rsidRPr="00081D6E">
        <w:rPr>
          <w:lang w:val="fr-CH"/>
        </w:rPr>
        <w:t>ANNEXE 3:</w:t>
      </w:r>
      <w:r w:rsidRPr="00081D6E">
        <w:rPr>
          <w:lang w:val="fr-CH"/>
        </w:rPr>
        <w:tab/>
        <w:t>Projet de Plan opérationnel quadriennal glissant du Secteur des radiocommunications pour la période 2017-2020</w:t>
      </w:r>
    </w:p>
    <w:p w:rsidR="00081D6E" w:rsidRPr="00081D6E" w:rsidRDefault="00081D6E" w:rsidP="00081D6E">
      <w:pPr>
        <w:tabs>
          <w:tab w:val="clear" w:pos="794"/>
          <w:tab w:val="clear" w:pos="1191"/>
          <w:tab w:val="clear" w:pos="1588"/>
          <w:tab w:val="clear" w:pos="1985"/>
        </w:tabs>
        <w:overflowPunct/>
        <w:autoSpaceDE/>
        <w:autoSpaceDN/>
        <w:adjustRightInd/>
        <w:spacing w:before="0"/>
        <w:textAlignment w:val="auto"/>
        <w:rPr>
          <w:lang w:val="fr-CH"/>
        </w:rPr>
      </w:pPr>
    </w:p>
    <w:p w:rsidR="00081D6E" w:rsidRPr="00081D6E" w:rsidRDefault="00081D6E" w:rsidP="00081D6E">
      <w:pPr>
        <w:rPr>
          <w:lang w:val="fr-CH"/>
        </w:rPr>
        <w:sectPr w:rsidR="00081D6E" w:rsidRPr="00081D6E" w:rsidSect="00081D6E">
          <w:headerReference w:type="default" r:id="rId24"/>
          <w:headerReference w:type="first" r:id="rId25"/>
          <w:pgSz w:w="16834" w:h="11907" w:orient="landscape"/>
          <w:pgMar w:top="1134" w:right="1418" w:bottom="1134" w:left="1418" w:header="720" w:footer="720" w:gutter="0"/>
          <w:paperSrc w:first="15" w:other="15"/>
          <w:cols w:space="720"/>
          <w:titlePg/>
        </w:sectPr>
      </w:pPr>
    </w:p>
    <w:p w:rsidR="00081D6E" w:rsidRPr="00D930CF" w:rsidRDefault="00081D6E" w:rsidP="00081D6E">
      <w:pPr>
        <w:pStyle w:val="AnnexNotitle0"/>
        <w:rPr>
          <w:rFonts w:asciiTheme="minorHAnsi" w:hAnsiTheme="minorHAnsi"/>
        </w:rPr>
      </w:pPr>
      <w:r w:rsidRPr="00D930CF">
        <w:rPr>
          <w:rFonts w:asciiTheme="minorHAnsi" w:hAnsiTheme="minorHAnsi"/>
          <w:b w:val="0"/>
          <w:bCs/>
        </w:rPr>
        <w:lastRenderedPageBreak/>
        <w:t>ANNEXE 1</w:t>
      </w:r>
    </w:p>
    <w:p w:rsidR="00081D6E" w:rsidRPr="00D930CF" w:rsidRDefault="00081D6E" w:rsidP="00081D6E">
      <w:pPr>
        <w:pStyle w:val="AnnexNotitle0"/>
        <w:rPr>
          <w:rFonts w:asciiTheme="minorHAnsi" w:hAnsiTheme="minorHAnsi"/>
        </w:rPr>
      </w:pPr>
      <w:r w:rsidRPr="00D930CF">
        <w:rPr>
          <w:rFonts w:asciiTheme="minorHAnsi" w:hAnsiTheme="minorHAnsi"/>
        </w:rPr>
        <w:t xml:space="preserve">Mandat du Groupe du Rapporteur sur la mise en oeuvre des </w:t>
      </w:r>
      <w:r w:rsidRPr="00D930CF">
        <w:rPr>
          <w:rFonts w:asciiTheme="minorHAnsi" w:hAnsiTheme="minorHAnsi"/>
        </w:rPr>
        <w:br/>
        <w:t>Résolutions 907 (Rév.CMR-15) et 908 (Rév.CMR-15)</w:t>
      </w:r>
    </w:p>
    <w:p w:rsidR="00081D6E" w:rsidRPr="00081D6E" w:rsidRDefault="00081D6E" w:rsidP="00D930CF">
      <w:pPr>
        <w:pStyle w:val="Normalaftertitle"/>
        <w:jc w:val="left"/>
        <w:rPr>
          <w:lang w:val="fr-CH"/>
        </w:rPr>
      </w:pPr>
      <w:r w:rsidRPr="00081D6E">
        <w:rPr>
          <w:lang w:val="fr-CH"/>
        </w:rPr>
        <w:t>Le mandat du Groupe du Rapporteur est le suivant:</w:t>
      </w:r>
    </w:p>
    <w:p w:rsidR="00081D6E" w:rsidRPr="00081D6E" w:rsidRDefault="00081D6E" w:rsidP="00D930CF">
      <w:pPr>
        <w:pStyle w:val="enumlev1"/>
        <w:jc w:val="left"/>
        <w:rPr>
          <w:lang w:val="fr-CH"/>
        </w:rPr>
      </w:pPr>
      <w:r w:rsidRPr="00081D6E">
        <w:rPr>
          <w:lang w:val="fr-CH"/>
        </w:rPr>
        <w:t>–</w:t>
      </w:r>
      <w:r w:rsidRPr="00081D6E">
        <w:rPr>
          <w:lang w:val="fr-CH"/>
        </w:rPr>
        <w:tab/>
        <w:t xml:space="preserve">faciliter la mise en </w:t>
      </w:r>
      <w:r w:rsidR="00D930CF">
        <w:rPr>
          <w:lang w:val="fr-CH"/>
        </w:rPr>
        <w:t>oe</w:t>
      </w:r>
      <w:r w:rsidRPr="00081D6E">
        <w:rPr>
          <w:lang w:val="fr-CH"/>
        </w:rPr>
        <w:t xml:space="preserve">uvre des Résolutions </w:t>
      </w:r>
      <w:r w:rsidRPr="00081D6E">
        <w:rPr>
          <w:b/>
          <w:bCs/>
          <w:lang w:val="fr-CH"/>
        </w:rPr>
        <w:t>907 (Rév.CMR-15)</w:t>
      </w:r>
      <w:r w:rsidRPr="00081D6E">
        <w:rPr>
          <w:lang w:val="fr-CH"/>
        </w:rPr>
        <w:t xml:space="preserve"> et </w:t>
      </w:r>
      <w:r w:rsidRPr="00081D6E">
        <w:rPr>
          <w:b/>
          <w:bCs/>
          <w:lang w:val="fr-CH"/>
        </w:rPr>
        <w:t>908 (Rév.CMR-15)</w:t>
      </w:r>
      <w:r w:rsidRPr="00081D6E">
        <w:rPr>
          <w:lang w:val="fr-CH"/>
        </w:rPr>
        <w:t xml:space="preserve"> en offrant un cadre d'échange entre les administrations et le Bureau;</w:t>
      </w:r>
    </w:p>
    <w:p w:rsidR="00081D6E" w:rsidRPr="00081D6E" w:rsidRDefault="00081D6E" w:rsidP="00D930CF">
      <w:pPr>
        <w:pStyle w:val="enumlev1"/>
        <w:jc w:val="left"/>
        <w:rPr>
          <w:lang w:val="fr-CH"/>
        </w:rPr>
      </w:pPr>
      <w:r w:rsidRPr="00081D6E">
        <w:rPr>
          <w:lang w:val="fr-CH"/>
        </w:rPr>
        <w:t>–</w:t>
      </w:r>
      <w:r w:rsidRPr="00081D6E">
        <w:rPr>
          <w:lang w:val="fr-CH"/>
        </w:rPr>
        <w:tab/>
        <w:t xml:space="preserve">examiner les différents besoins des utilisateurs et le calendrier détaillé de la mise en </w:t>
      </w:r>
      <w:r w:rsidR="00D930CF">
        <w:rPr>
          <w:lang w:val="fr-CH"/>
        </w:rPr>
        <w:t>oe</w:t>
      </w:r>
      <w:r w:rsidRPr="00081D6E">
        <w:rPr>
          <w:lang w:val="fr-CH"/>
        </w:rPr>
        <w:t>uvre des logiciels en application de ces deux Résolutions;</w:t>
      </w:r>
    </w:p>
    <w:p w:rsidR="00081D6E" w:rsidRPr="00081D6E" w:rsidRDefault="00081D6E" w:rsidP="00D930CF">
      <w:pPr>
        <w:pStyle w:val="enumlev1"/>
        <w:jc w:val="left"/>
        <w:rPr>
          <w:lang w:val="fr-CH"/>
        </w:rPr>
      </w:pPr>
      <w:r w:rsidRPr="00081D6E">
        <w:rPr>
          <w:lang w:val="fr-CH"/>
        </w:rPr>
        <w:t>–</w:t>
      </w:r>
      <w:r w:rsidRPr="00081D6E">
        <w:rPr>
          <w:lang w:val="fr-CH"/>
        </w:rPr>
        <w:tab/>
        <w:t>veiller à ce que les commentaires initiaux formulés par les administrations puissent être pris en considération lors de la conception des outils demandés aux termes des deux Résolutions ou puissent être intégrés dans ces outils;</w:t>
      </w:r>
    </w:p>
    <w:p w:rsidR="00081D6E" w:rsidRPr="00081D6E" w:rsidRDefault="00081D6E" w:rsidP="00D930CF">
      <w:pPr>
        <w:pStyle w:val="enumlev1"/>
        <w:jc w:val="left"/>
        <w:rPr>
          <w:lang w:val="fr-CH"/>
        </w:rPr>
      </w:pPr>
      <w:r w:rsidRPr="00081D6E">
        <w:rPr>
          <w:lang w:val="fr-CH"/>
        </w:rPr>
        <w:t>–</w:t>
      </w:r>
      <w:r w:rsidRPr="00081D6E">
        <w:rPr>
          <w:lang w:val="fr-CH"/>
        </w:rPr>
        <w:tab/>
        <w:t>mettre en place une communauté de testeurs «bêta» afin d'accroître le nombre de personnes testant le logiciel avant sa version définitive.</w:t>
      </w:r>
    </w:p>
    <w:p w:rsidR="00081D6E" w:rsidRPr="00081D6E" w:rsidRDefault="00081D6E" w:rsidP="00D930CF">
      <w:pPr>
        <w:jc w:val="left"/>
        <w:rPr>
          <w:lang w:val="fr-CH"/>
        </w:rPr>
      </w:pPr>
      <w:r w:rsidRPr="00081D6E">
        <w:rPr>
          <w:lang w:val="fr-CH"/>
        </w:rPr>
        <w:t>Conformément au § A1.3.2.7 de la Résolution UIT-R 1-7, le Groupe du Rapporteur travaillera principalement par correspondance. Toutefois, au besoin, il pourra tenir des réunions virtuelles pour faire avancer ses travaux. Le Groupe du Rapporteur rend</w:t>
      </w:r>
      <w:r w:rsidR="00D930CF">
        <w:rPr>
          <w:lang w:val="fr-CH"/>
        </w:rPr>
        <w:t>ra compte de ses conclusions au </w:t>
      </w:r>
      <w:r w:rsidRPr="00081D6E">
        <w:rPr>
          <w:lang w:val="fr-CH"/>
        </w:rPr>
        <w:t>GCR.</w:t>
      </w:r>
    </w:p>
    <w:p w:rsidR="00081D6E" w:rsidRPr="00081D6E" w:rsidRDefault="00081D6E" w:rsidP="00D930CF">
      <w:pPr>
        <w:jc w:val="left"/>
        <w:rPr>
          <w:lang w:val="fr-CH"/>
        </w:rPr>
      </w:pPr>
      <w:r w:rsidRPr="00081D6E">
        <w:rPr>
          <w:lang w:val="fr-CH"/>
        </w:rPr>
        <w:t>Le Président du Groupe du Rapporteur est M. Alexandre Vallet (France).</w:t>
      </w:r>
    </w:p>
    <w:p w:rsidR="00081D6E" w:rsidRPr="00081D6E" w:rsidRDefault="00081D6E" w:rsidP="00D930CF">
      <w:pPr>
        <w:tabs>
          <w:tab w:val="clear" w:pos="794"/>
          <w:tab w:val="clear" w:pos="1191"/>
          <w:tab w:val="clear" w:pos="1588"/>
          <w:tab w:val="clear" w:pos="1985"/>
        </w:tabs>
        <w:overflowPunct/>
        <w:autoSpaceDE/>
        <w:autoSpaceDN/>
        <w:adjustRightInd/>
        <w:spacing w:before="0"/>
        <w:jc w:val="left"/>
        <w:textAlignment w:val="auto"/>
        <w:rPr>
          <w:lang w:val="fr-CH"/>
        </w:rPr>
      </w:pPr>
      <w:r w:rsidRPr="00081D6E">
        <w:rPr>
          <w:lang w:val="fr-CH"/>
        </w:rPr>
        <w:br w:type="page"/>
      </w:r>
    </w:p>
    <w:p w:rsidR="00081D6E" w:rsidRPr="00D930CF" w:rsidRDefault="00081D6E" w:rsidP="00BE6EEC">
      <w:pPr>
        <w:pStyle w:val="AnnexNotitle0"/>
        <w:rPr>
          <w:rFonts w:asciiTheme="minorHAnsi" w:hAnsiTheme="minorHAnsi"/>
          <w:b w:val="0"/>
          <w:bCs/>
        </w:rPr>
      </w:pPr>
      <w:r w:rsidRPr="00D930CF">
        <w:rPr>
          <w:rFonts w:asciiTheme="minorHAnsi" w:hAnsiTheme="minorHAnsi"/>
          <w:b w:val="0"/>
          <w:bCs/>
        </w:rPr>
        <w:lastRenderedPageBreak/>
        <w:t>ANNEXE 2</w:t>
      </w:r>
    </w:p>
    <w:p w:rsidR="00081D6E" w:rsidRPr="00D930CF" w:rsidRDefault="00081D6E" w:rsidP="00BE6EEC">
      <w:pPr>
        <w:pStyle w:val="AnnexNotitle0"/>
        <w:rPr>
          <w:rFonts w:asciiTheme="minorHAnsi" w:hAnsiTheme="minorHAnsi"/>
        </w:rPr>
      </w:pPr>
      <w:r w:rsidRPr="00D930CF">
        <w:rPr>
          <w:rFonts w:asciiTheme="minorHAnsi" w:hAnsiTheme="minorHAnsi"/>
        </w:rPr>
        <w:t xml:space="preserve">Mise à jour des lignes directrices relatives aux méthodes de travail de l'Assemblée des radiocommunications, des commissions d'études </w:t>
      </w:r>
      <w:r w:rsidRPr="00D930CF">
        <w:rPr>
          <w:rFonts w:asciiTheme="minorHAnsi" w:hAnsiTheme="minorHAnsi"/>
        </w:rPr>
        <w:br/>
        <w:t>des radiocommunications et des groupes associés</w:t>
      </w:r>
    </w:p>
    <w:p w:rsidR="00081D6E" w:rsidRPr="00081D6E" w:rsidRDefault="00081D6E" w:rsidP="00BE6EEC">
      <w:pPr>
        <w:pStyle w:val="Heading1"/>
        <w:spacing w:line="240" w:lineRule="auto"/>
        <w:jc w:val="left"/>
        <w:rPr>
          <w:lang w:val="fr-CH"/>
        </w:rPr>
      </w:pPr>
      <w:bookmarkStart w:id="6" w:name="_Toc449510471"/>
      <w:bookmarkStart w:id="7" w:name="_Toc449622577"/>
      <w:r w:rsidRPr="00081D6E">
        <w:rPr>
          <w:lang w:val="fr-CH"/>
        </w:rPr>
        <w:t>1</w:t>
      </w:r>
      <w:r w:rsidRPr="00081D6E">
        <w:rPr>
          <w:lang w:val="fr-CH"/>
        </w:rPr>
        <w:tab/>
        <w:t>Rappel</w:t>
      </w:r>
      <w:bookmarkEnd w:id="6"/>
      <w:bookmarkEnd w:id="7"/>
    </w:p>
    <w:p w:rsidR="00081D6E" w:rsidRPr="00081D6E" w:rsidRDefault="00081D6E" w:rsidP="00BE6EEC">
      <w:pPr>
        <w:spacing w:before="120" w:line="240" w:lineRule="auto"/>
        <w:jc w:val="left"/>
        <w:rPr>
          <w:lang w:val="fr-CH"/>
        </w:rPr>
      </w:pPr>
      <w:r w:rsidRPr="00081D6E">
        <w:rPr>
          <w:lang w:val="fr-CH"/>
        </w:rPr>
        <w:t>Les méthodes de travail de l'Assemblée des radiocommunications (AR) et des commissions d'études des radiocommunications sont définies dans la Résolution UIT</w:t>
      </w:r>
      <w:r w:rsidRPr="00081D6E">
        <w:rPr>
          <w:lang w:val="fr-CH"/>
        </w:rPr>
        <w:noBreakHyphen/>
        <w:t>R 1</w:t>
      </w:r>
      <w:r w:rsidRPr="00081D6E">
        <w:rPr>
          <w:rStyle w:val="FootnoteReference"/>
          <w:lang w:val="fr-CH"/>
        </w:rPr>
        <w:footnoteReference w:customMarkFollows="1" w:id="2"/>
        <w:t>*</w:t>
      </w:r>
      <w:r w:rsidRPr="00081D6E">
        <w:rPr>
          <w:lang w:val="fr-CH"/>
        </w:rPr>
        <w:t xml:space="preserve">, dans laquelle il est précisé que le Directeur publie des </w:t>
      </w:r>
      <w:r w:rsidRPr="00081D6E">
        <w:rPr>
          <w:i/>
          <w:lang w:val="fr-CH"/>
        </w:rPr>
        <w:t>Lignes directrices</w:t>
      </w:r>
      <w:r w:rsidRPr="00081D6E">
        <w:rPr>
          <w:lang w:val="fr-CH"/>
        </w:rPr>
        <w:t xml:space="preserve"> sur les méthodes de travail qui viennent s'ajouter à ladite Résolution et la complètent. </w:t>
      </w:r>
    </w:p>
    <w:p w:rsidR="00081D6E" w:rsidRPr="00081D6E" w:rsidRDefault="00081D6E" w:rsidP="00BE6EEC">
      <w:pPr>
        <w:spacing w:before="120" w:line="240" w:lineRule="auto"/>
        <w:jc w:val="left"/>
        <w:rPr>
          <w:lang w:val="fr-CH"/>
        </w:rPr>
      </w:pPr>
      <w:r w:rsidRPr="00081D6E">
        <w:rPr>
          <w:lang w:val="fr-CH"/>
        </w:rPr>
        <w:t>La présente édition des Lignes directrices</w:t>
      </w:r>
      <w:r w:rsidRPr="00081D6E" w:rsidDel="002D37A7">
        <w:rPr>
          <w:lang w:val="fr-CH"/>
        </w:rPr>
        <w:t xml:space="preserve"> </w:t>
      </w:r>
      <w:r w:rsidRPr="00081D6E">
        <w:rPr>
          <w:lang w:val="fr-CH"/>
        </w:rPr>
        <w:t>complète la Résolution UIT-R 1-7 approuvée par l'AR</w:t>
      </w:r>
      <w:r w:rsidRPr="00081D6E">
        <w:rPr>
          <w:lang w:val="fr-CH"/>
        </w:rPr>
        <w:noBreakHyphen/>
        <w:t>15.</w:t>
      </w:r>
    </w:p>
    <w:p w:rsidR="00081D6E" w:rsidRPr="00081D6E" w:rsidRDefault="00081D6E" w:rsidP="00BE6EEC">
      <w:pPr>
        <w:pStyle w:val="Heading1"/>
        <w:spacing w:before="480" w:line="240" w:lineRule="auto"/>
        <w:jc w:val="left"/>
        <w:rPr>
          <w:lang w:val="fr-CH"/>
        </w:rPr>
      </w:pPr>
      <w:bookmarkStart w:id="8" w:name="_Toc521225194"/>
      <w:bookmarkStart w:id="9" w:name="_Toc5782476"/>
      <w:bookmarkStart w:id="10" w:name="_Toc7597314"/>
      <w:bookmarkStart w:id="11" w:name="_Toc78185163"/>
      <w:bookmarkStart w:id="12" w:name="_Toc78185332"/>
      <w:bookmarkStart w:id="13" w:name="_Toc125510163"/>
      <w:bookmarkStart w:id="14" w:name="_Toc213569490"/>
      <w:bookmarkStart w:id="15" w:name="_Toc213569552"/>
      <w:bookmarkStart w:id="16" w:name="_Toc213647998"/>
      <w:bookmarkStart w:id="17" w:name="_Toc213648247"/>
      <w:bookmarkStart w:id="18" w:name="_Toc355943745"/>
      <w:bookmarkStart w:id="19" w:name="_Toc449510472"/>
      <w:bookmarkStart w:id="20" w:name="_Toc449622578"/>
      <w:r w:rsidRPr="00081D6E">
        <w:rPr>
          <w:lang w:val="fr-CH"/>
        </w:rPr>
        <w:t>2</w:t>
      </w:r>
      <w:r w:rsidRPr="00081D6E">
        <w:rPr>
          <w:lang w:val="fr-CH"/>
        </w:rPr>
        <w:tab/>
      </w:r>
      <w:bookmarkEnd w:id="8"/>
      <w:bookmarkEnd w:id="9"/>
      <w:bookmarkEnd w:id="10"/>
      <w:bookmarkEnd w:id="11"/>
      <w:bookmarkEnd w:id="12"/>
      <w:bookmarkEnd w:id="13"/>
      <w:bookmarkEnd w:id="14"/>
      <w:bookmarkEnd w:id="15"/>
      <w:bookmarkEnd w:id="16"/>
      <w:bookmarkEnd w:id="17"/>
      <w:bookmarkEnd w:id="18"/>
      <w:r w:rsidRPr="00081D6E">
        <w:rPr>
          <w:lang w:val="fr-CH"/>
        </w:rPr>
        <w:t>Organisation des réunions</w:t>
      </w:r>
      <w:bookmarkEnd w:id="19"/>
      <w:bookmarkEnd w:id="20"/>
    </w:p>
    <w:p w:rsidR="00081D6E" w:rsidRPr="00081D6E" w:rsidRDefault="00081D6E" w:rsidP="00BE6EEC">
      <w:pPr>
        <w:pStyle w:val="Heading2"/>
        <w:spacing w:before="200" w:line="240" w:lineRule="auto"/>
        <w:jc w:val="left"/>
        <w:rPr>
          <w:lang w:val="fr-CH"/>
        </w:rPr>
      </w:pPr>
      <w:bookmarkStart w:id="21" w:name="_Toc449510473"/>
      <w:bookmarkStart w:id="22" w:name="_Toc449622579"/>
      <w:bookmarkStart w:id="23" w:name="_Toc521225195"/>
      <w:bookmarkStart w:id="24" w:name="_Toc5782477"/>
      <w:bookmarkStart w:id="25" w:name="_Toc7597315"/>
      <w:bookmarkStart w:id="26" w:name="_Toc78185164"/>
      <w:bookmarkStart w:id="27" w:name="_Toc78185333"/>
      <w:bookmarkStart w:id="28" w:name="_Toc125510164"/>
      <w:bookmarkStart w:id="29" w:name="_Toc213569491"/>
      <w:bookmarkStart w:id="30" w:name="_Toc213569553"/>
      <w:bookmarkStart w:id="31" w:name="_Toc213647999"/>
      <w:bookmarkStart w:id="32" w:name="_Toc213648248"/>
      <w:bookmarkStart w:id="33" w:name="_Toc355943746"/>
      <w:r w:rsidRPr="00081D6E">
        <w:rPr>
          <w:lang w:val="fr-CH"/>
        </w:rPr>
        <w:t>2.1</w:t>
      </w:r>
      <w:r w:rsidRPr="00081D6E">
        <w:rPr>
          <w:lang w:val="fr-CH"/>
        </w:rPr>
        <w:tab/>
        <w:t>Réunions</w:t>
      </w:r>
      <w:bookmarkEnd w:id="21"/>
      <w:bookmarkEnd w:id="22"/>
    </w:p>
    <w:p w:rsidR="00081D6E" w:rsidRPr="00081D6E" w:rsidRDefault="00081D6E" w:rsidP="00BE6EEC">
      <w:pPr>
        <w:pStyle w:val="Heading2"/>
        <w:spacing w:before="200" w:line="240" w:lineRule="auto"/>
        <w:jc w:val="left"/>
        <w:rPr>
          <w:lang w:val="fr-CH"/>
        </w:rPr>
      </w:pPr>
      <w:bookmarkStart w:id="34" w:name="_Toc449510474"/>
      <w:bookmarkStart w:id="35" w:name="_Toc449622580"/>
      <w:r w:rsidRPr="00081D6E">
        <w:rPr>
          <w:lang w:val="fr-CH"/>
        </w:rPr>
        <w:t>2.1.1</w:t>
      </w:r>
      <w:r w:rsidRPr="00081D6E">
        <w:rPr>
          <w:lang w:val="fr-CH"/>
        </w:rPr>
        <w:tab/>
        <w:t>Assemblée des radiocommunications (AR)</w:t>
      </w:r>
      <w:bookmarkEnd w:id="23"/>
      <w:bookmarkEnd w:id="24"/>
      <w:bookmarkEnd w:id="25"/>
      <w:bookmarkEnd w:id="26"/>
      <w:bookmarkEnd w:id="27"/>
      <w:bookmarkEnd w:id="28"/>
      <w:bookmarkEnd w:id="29"/>
      <w:bookmarkEnd w:id="30"/>
      <w:bookmarkEnd w:id="31"/>
      <w:bookmarkEnd w:id="32"/>
      <w:bookmarkEnd w:id="33"/>
      <w:bookmarkEnd w:id="34"/>
      <w:bookmarkEnd w:id="35"/>
    </w:p>
    <w:p w:rsidR="00081D6E" w:rsidRPr="00081D6E" w:rsidRDefault="00081D6E" w:rsidP="00BE6EEC">
      <w:pPr>
        <w:spacing w:before="120" w:line="240" w:lineRule="auto"/>
        <w:jc w:val="left"/>
        <w:rPr>
          <w:lang w:val="fr-CH"/>
        </w:rPr>
      </w:pPr>
      <w:r w:rsidRPr="00081D6E">
        <w:rPr>
          <w:lang w:val="fr-CH"/>
        </w:rPr>
        <w:t>Les responsabilités et les fonctions des Assemblées des radiocommunications sont décrites dans l'article 13 de la Constitution et dans l'article 8 de la Convention. Les méthodes de travail des Assemblées des radiocommunications sont exposées au § A1.2 de l'Annexe 1 de la Résolution UIT</w:t>
      </w:r>
      <w:r w:rsidRPr="00081D6E">
        <w:rPr>
          <w:lang w:val="fr-CH"/>
        </w:rPr>
        <w:noBreakHyphen/>
        <w:t>R 1.</w:t>
      </w:r>
    </w:p>
    <w:p w:rsidR="00081D6E" w:rsidRPr="00081D6E" w:rsidRDefault="00081D6E" w:rsidP="00BE6EEC">
      <w:pPr>
        <w:spacing w:before="120" w:line="240" w:lineRule="auto"/>
        <w:jc w:val="left"/>
        <w:rPr>
          <w:lang w:val="fr-CH"/>
        </w:rPr>
      </w:pPr>
      <w:r w:rsidRPr="00081D6E">
        <w:rPr>
          <w:lang w:val="fr-CH"/>
        </w:rPr>
        <w:t>Peu après une Assemblée des radiocommunications, une circulaire administrative (CA) est envoyée aux Etats Membres de l'UIT et aux Membres du Secteur des radiocommunications, pour les inviter à participer aux travaux des commissions d'études des radiocommunications et des groupes qui leur sont subordonnés</w:t>
      </w:r>
      <w:r w:rsidRPr="00081D6E">
        <w:rPr>
          <w:rStyle w:val="FootnoteReference"/>
          <w:lang w:val="fr-CH"/>
        </w:rPr>
        <w:footnoteReference w:customMarkFollows="1" w:id="3"/>
        <w:t>**</w:t>
      </w:r>
      <w:r w:rsidRPr="00081D6E">
        <w:rPr>
          <w:lang w:val="fr-CH"/>
        </w:rPr>
        <w:t>. La circulaire, qui donne la liste de tous les groupes actuels, invite les membres à</w:t>
      </w:r>
      <w:r w:rsidRPr="00081D6E" w:rsidDel="00B07D92">
        <w:rPr>
          <w:lang w:val="fr-CH"/>
        </w:rPr>
        <w:t xml:space="preserve"> </w:t>
      </w:r>
      <w:r w:rsidRPr="00081D6E">
        <w:rPr>
          <w:lang w:val="fr-CH"/>
        </w:rPr>
        <w:t>consulter la Circulaire administrative CA/225 du BR en date du 6 juillet 2015 pour obtenir des renseignements sur la manière d'être informé par courrier électronique lorsque des circulaires administratives et des lettres circulaires du BR, ou d'autres documents de l'UIT qui les intéressent, ont été affichés sur le site web de l'UIT.</w:t>
      </w:r>
    </w:p>
    <w:p w:rsidR="00081D6E" w:rsidRPr="00081D6E" w:rsidRDefault="00081D6E" w:rsidP="00BE6EEC">
      <w:pPr>
        <w:pStyle w:val="Heading2"/>
        <w:spacing w:before="200" w:line="240" w:lineRule="auto"/>
        <w:jc w:val="left"/>
        <w:rPr>
          <w:lang w:val="fr-CH"/>
        </w:rPr>
      </w:pPr>
      <w:bookmarkStart w:id="36" w:name="_Toc521225196"/>
      <w:bookmarkStart w:id="37" w:name="_Toc5782478"/>
      <w:bookmarkStart w:id="38" w:name="_Toc7597316"/>
      <w:bookmarkStart w:id="39" w:name="_Toc78185165"/>
      <w:bookmarkStart w:id="40" w:name="_Toc78185334"/>
      <w:bookmarkStart w:id="41" w:name="_Toc125510165"/>
      <w:bookmarkStart w:id="42" w:name="_Toc213569492"/>
      <w:bookmarkStart w:id="43" w:name="_Toc213569554"/>
      <w:bookmarkStart w:id="44" w:name="_Toc213648000"/>
      <w:bookmarkStart w:id="45" w:name="_Toc213648249"/>
      <w:bookmarkStart w:id="46" w:name="_Toc355943747"/>
      <w:bookmarkStart w:id="47" w:name="_Toc449510475"/>
      <w:bookmarkStart w:id="48" w:name="_Toc449622581"/>
      <w:r w:rsidRPr="00081D6E">
        <w:rPr>
          <w:lang w:val="fr-CH"/>
        </w:rPr>
        <w:t>2.1.2</w:t>
      </w:r>
      <w:r w:rsidRPr="00081D6E">
        <w:rPr>
          <w:lang w:val="fr-CH"/>
        </w:rPr>
        <w:tab/>
        <w:t>Réunions de préparation à la Conférence (RPC)</w:t>
      </w:r>
      <w:bookmarkEnd w:id="36"/>
      <w:bookmarkEnd w:id="37"/>
      <w:bookmarkEnd w:id="38"/>
      <w:bookmarkEnd w:id="39"/>
      <w:bookmarkEnd w:id="40"/>
      <w:bookmarkEnd w:id="41"/>
      <w:bookmarkEnd w:id="42"/>
      <w:bookmarkEnd w:id="43"/>
      <w:bookmarkEnd w:id="44"/>
      <w:bookmarkEnd w:id="45"/>
      <w:bookmarkEnd w:id="46"/>
      <w:bookmarkEnd w:id="47"/>
      <w:bookmarkEnd w:id="48"/>
    </w:p>
    <w:p w:rsidR="00081D6E" w:rsidRPr="00081D6E" w:rsidRDefault="00081D6E" w:rsidP="00BE6EEC">
      <w:pPr>
        <w:spacing w:before="120" w:line="240" w:lineRule="auto"/>
        <w:jc w:val="left"/>
        <w:rPr>
          <w:lang w:val="fr-CH"/>
        </w:rPr>
      </w:pPr>
      <w:r w:rsidRPr="00081D6E">
        <w:rPr>
          <w:lang w:val="fr-CH"/>
        </w:rPr>
        <w:t>Comme indiqué au § A1.5 de l'Annexe 1 de la Résolution UIT</w:t>
      </w:r>
      <w:r w:rsidRPr="00081D6E">
        <w:rPr>
          <w:lang w:val="fr-CH"/>
        </w:rPr>
        <w:noBreakHyphen/>
        <w:t>R 1, la Résolution UIT</w:t>
      </w:r>
      <w:r w:rsidRPr="00081D6E">
        <w:rPr>
          <w:lang w:val="fr-CH"/>
        </w:rPr>
        <w:noBreakHyphen/>
        <w:t xml:space="preserve">R 2 décrit les attributions et les fonctions de la RPC, l'Annexe 1 de cette Résolution expose de façon détaillée ses méthodes de travail et l'Annexe 2 contient les Lignes directrices relatives à l'élaboration du projet de Rapport de la RPC. En outre, le § 11 de l'Annexe 1 de la Résolution UIT-R 2 dispose que, pour le reste, le travail de la RPC sera organisé conformément à la Résolution UIT-R 1. </w:t>
      </w:r>
    </w:p>
    <w:p w:rsidR="00081D6E" w:rsidRPr="00081D6E" w:rsidRDefault="00081D6E" w:rsidP="00BE6EEC">
      <w:pPr>
        <w:spacing w:before="120" w:line="240" w:lineRule="auto"/>
        <w:jc w:val="left"/>
        <w:rPr>
          <w:lang w:val="fr-CH"/>
        </w:rPr>
      </w:pPr>
      <w:r w:rsidRPr="00081D6E">
        <w:rPr>
          <w:lang w:val="fr-CH"/>
        </w:rPr>
        <w:lastRenderedPageBreak/>
        <w:t>En conséquence, sauf indication contraire, les renseignements fournis aux § 2.4, 3, 4.4 et 7 ci</w:t>
      </w:r>
      <w:r w:rsidRPr="00081D6E">
        <w:rPr>
          <w:lang w:val="fr-CH"/>
        </w:rPr>
        <w:noBreakHyphen/>
        <w:t>dessous s'appliquent également à la RPC.</w:t>
      </w:r>
    </w:p>
    <w:p w:rsidR="00081D6E" w:rsidRPr="00081D6E" w:rsidRDefault="00081D6E" w:rsidP="00BE6EEC">
      <w:pPr>
        <w:pStyle w:val="Heading2"/>
        <w:spacing w:before="200" w:line="240" w:lineRule="auto"/>
        <w:jc w:val="left"/>
        <w:rPr>
          <w:lang w:val="fr-CH"/>
        </w:rPr>
      </w:pPr>
      <w:bookmarkStart w:id="49" w:name="_Toc521225197"/>
      <w:bookmarkStart w:id="50" w:name="_Toc5782479"/>
      <w:bookmarkStart w:id="51" w:name="_Toc7597317"/>
      <w:bookmarkStart w:id="52" w:name="_Toc78185166"/>
      <w:bookmarkStart w:id="53" w:name="_Toc78185335"/>
      <w:bookmarkStart w:id="54" w:name="_Toc125510166"/>
      <w:bookmarkStart w:id="55" w:name="_Toc213569493"/>
      <w:bookmarkStart w:id="56" w:name="_Toc213569555"/>
      <w:bookmarkStart w:id="57" w:name="_Toc213648001"/>
      <w:bookmarkStart w:id="58" w:name="_Toc213648250"/>
      <w:bookmarkStart w:id="59" w:name="_Toc355943748"/>
      <w:bookmarkStart w:id="60" w:name="_Toc449510476"/>
      <w:bookmarkStart w:id="61" w:name="_Toc449622582"/>
      <w:r w:rsidRPr="00081D6E">
        <w:rPr>
          <w:lang w:val="fr-CH"/>
        </w:rPr>
        <w:t>2.1.3</w:t>
      </w:r>
      <w:r w:rsidRPr="00081D6E">
        <w:rPr>
          <w:lang w:val="fr-CH"/>
        </w:rPr>
        <w:tab/>
        <w:t>Réunions des Présidents et Vice-Présidents des commissions d'études</w:t>
      </w:r>
      <w:bookmarkEnd w:id="49"/>
      <w:r w:rsidRPr="00081D6E">
        <w:rPr>
          <w:lang w:val="fr-CH"/>
        </w:rPr>
        <w:t xml:space="preserve"> de l'UIT</w:t>
      </w:r>
      <w:r w:rsidRPr="00081D6E">
        <w:rPr>
          <w:lang w:val="fr-CH"/>
        </w:rPr>
        <w:noBreakHyphen/>
        <w:t>R</w:t>
      </w:r>
      <w:bookmarkEnd w:id="50"/>
      <w:bookmarkEnd w:id="51"/>
      <w:bookmarkEnd w:id="52"/>
      <w:bookmarkEnd w:id="53"/>
      <w:bookmarkEnd w:id="54"/>
      <w:bookmarkEnd w:id="55"/>
      <w:bookmarkEnd w:id="56"/>
      <w:bookmarkEnd w:id="57"/>
      <w:bookmarkEnd w:id="58"/>
      <w:bookmarkEnd w:id="59"/>
      <w:bookmarkEnd w:id="60"/>
      <w:r w:rsidRPr="00081D6E">
        <w:rPr>
          <w:lang w:val="fr-CH"/>
        </w:rPr>
        <w:t xml:space="preserve"> (CVC)</w:t>
      </w:r>
      <w:bookmarkEnd w:id="61"/>
    </w:p>
    <w:p w:rsidR="00081D6E" w:rsidRPr="00081D6E" w:rsidRDefault="00081D6E" w:rsidP="00BE6EEC">
      <w:pPr>
        <w:spacing w:before="120" w:line="240" w:lineRule="auto"/>
        <w:jc w:val="left"/>
        <w:rPr>
          <w:lang w:val="fr-CH"/>
        </w:rPr>
      </w:pPr>
      <w:r w:rsidRPr="00081D6E">
        <w:rPr>
          <w:lang w:val="fr-CH"/>
        </w:rPr>
        <w:t>Le paragraphe A1.6.1.1 de l'Annexe 1 de la Résolution UIT</w:t>
      </w:r>
      <w:r w:rsidRPr="00081D6E">
        <w:rPr>
          <w:lang w:val="fr-CH"/>
        </w:rPr>
        <w:noBreakHyphen/>
        <w:t>R 1 contient des informations sur la tenue de ces réunions.</w:t>
      </w:r>
      <w:bookmarkStart w:id="62" w:name="_Toc521225198"/>
      <w:bookmarkStart w:id="63" w:name="_Toc5782480"/>
      <w:bookmarkStart w:id="64" w:name="_Toc7597318"/>
      <w:bookmarkStart w:id="65" w:name="_Toc78185167"/>
      <w:bookmarkStart w:id="66" w:name="_Toc78185336"/>
      <w:bookmarkStart w:id="67" w:name="_Toc125510167"/>
      <w:bookmarkStart w:id="68" w:name="_Toc213569494"/>
      <w:bookmarkStart w:id="69" w:name="_Toc213569556"/>
      <w:bookmarkStart w:id="70" w:name="_Toc213648002"/>
      <w:bookmarkStart w:id="71" w:name="_Toc213648251"/>
    </w:p>
    <w:p w:rsidR="00081D6E" w:rsidRPr="00081D6E" w:rsidRDefault="00081D6E" w:rsidP="00BE6EEC">
      <w:pPr>
        <w:pStyle w:val="Heading2"/>
        <w:spacing w:before="200" w:line="240" w:lineRule="auto"/>
        <w:jc w:val="left"/>
        <w:rPr>
          <w:lang w:val="fr-CH"/>
        </w:rPr>
      </w:pPr>
      <w:bookmarkStart w:id="72" w:name="_Toc449510477"/>
      <w:bookmarkStart w:id="73" w:name="_Toc449622583"/>
      <w:r w:rsidRPr="00081D6E">
        <w:rPr>
          <w:lang w:val="fr-CH"/>
        </w:rPr>
        <w:t>2.1.4</w:t>
      </w:r>
      <w:r w:rsidRPr="00081D6E">
        <w:rPr>
          <w:lang w:val="fr-CH"/>
        </w:rPr>
        <w:tab/>
        <w:t>Commissions d'études, Comité de coordination pour le vocabulaire (CCV), groupes qui leur sont subordonnés (groupes de travail (GT), groupes d'action (GA), groupes de travail mixtes (GTM), groupes d'action mixtes (GAM), groupes de Rapporteurs (GR), groupes mixtes de Rapporteurs (GMR), groupes de travail par correspondance (GC))</w:t>
      </w:r>
      <w:bookmarkEnd w:id="62"/>
      <w:bookmarkEnd w:id="63"/>
      <w:bookmarkEnd w:id="64"/>
      <w:r w:rsidRPr="00081D6E">
        <w:rPr>
          <w:lang w:val="fr-CH"/>
        </w:rPr>
        <w:t xml:space="preserve"> et Rapporteurs</w:t>
      </w:r>
      <w:bookmarkEnd w:id="65"/>
      <w:bookmarkEnd w:id="66"/>
      <w:bookmarkEnd w:id="67"/>
      <w:bookmarkEnd w:id="68"/>
      <w:bookmarkEnd w:id="69"/>
      <w:bookmarkEnd w:id="70"/>
      <w:bookmarkEnd w:id="71"/>
      <w:bookmarkEnd w:id="72"/>
      <w:bookmarkEnd w:id="73"/>
    </w:p>
    <w:p w:rsidR="00081D6E" w:rsidRPr="00081D6E" w:rsidRDefault="00081D6E" w:rsidP="00BE6EEC">
      <w:pPr>
        <w:spacing w:before="120" w:line="240" w:lineRule="auto"/>
        <w:jc w:val="left"/>
        <w:rPr>
          <w:lang w:val="fr-CH"/>
        </w:rPr>
      </w:pPr>
      <w:r w:rsidRPr="00081D6E">
        <w:rPr>
          <w:lang w:val="fr-CH"/>
        </w:rPr>
        <w:t>Les articles 11 et 20 de la Convention décrivent les responsabilités, les fonctions et l'organisation des commissions d'études des radiocommunications. Les méthodes de travail des commissions d'études et des groupes qui leur sont subordonnés sont décrites au § A1.3 de l'Annexe 1 de la Résolution UIT</w:t>
      </w:r>
      <w:r w:rsidRPr="00081D6E">
        <w:rPr>
          <w:lang w:val="fr-CH"/>
        </w:rPr>
        <w:noBreakHyphen/>
        <w:t>R 1. Le § A1.3.1.8 et les § A1.3.2.6 à A1.3.2.10 de l'Annexe 1, notamment, décrivent de manière détaillée la différence entre les Rapporteurs, les groupes de Rapporteurs, les groupes mixtes de Rapporteurs et les groupes de travail par correspondance ainsi que les dispositions qui leur sont applicables.</w:t>
      </w:r>
    </w:p>
    <w:p w:rsidR="00081D6E" w:rsidRPr="00081D6E" w:rsidRDefault="00081D6E" w:rsidP="00BE6EEC">
      <w:pPr>
        <w:spacing w:before="120" w:line="240" w:lineRule="auto"/>
        <w:jc w:val="left"/>
        <w:rPr>
          <w:lang w:val="fr-CH"/>
        </w:rPr>
      </w:pPr>
      <w:r w:rsidRPr="00081D6E">
        <w:rPr>
          <w:lang w:val="fr-CH"/>
        </w:rPr>
        <w:t xml:space="preserve">A noter que les groupes de Rapporteurs, les groupes mixtes de Rapporteurs et les groupes de travail par correspondance sont soumis à certaines limites budgétaires et logistiques. </w:t>
      </w:r>
    </w:p>
    <w:p w:rsidR="00081D6E" w:rsidRPr="00081D6E" w:rsidRDefault="00081D6E" w:rsidP="00BE6EEC">
      <w:pPr>
        <w:pStyle w:val="Heading3"/>
        <w:spacing w:before="200" w:line="240" w:lineRule="auto"/>
        <w:jc w:val="left"/>
        <w:rPr>
          <w:lang w:val="fr-CH"/>
        </w:rPr>
      </w:pPr>
      <w:bookmarkStart w:id="74" w:name="_Toc521225199"/>
      <w:bookmarkStart w:id="75" w:name="_Toc5782481"/>
      <w:bookmarkStart w:id="76" w:name="_Toc7597319"/>
      <w:bookmarkStart w:id="77" w:name="_Toc78185168"/>
      <w:bookmarkStart w:id="78" w:name="_Toc78185337"/>
      <w:bookmarkStart w:id="79" w:name="_Toc125510168"/>
      <w:bookmarkStart w:id="80" w:name="_Toc213569495"/>
      <w:bookmarkStart w:id="81" w:name="_Toc213569557"/>
      <w:bookmarkStart w:id="82" w:name="_Toc213648003"/>
      <w:bookmarkStart w:id="83" w:name="_Toc213648252"/>
      <w:bookmarkStart w:id="84" w:name="_Toc355943749"/>
      <w:bookmarkStart w:id="85" w:name="_Toc449510478"/>
      <w:bookmarkStart w:id="86" w:name="_Toc449622584"/>
      <w:r w:rsidRPr="00081D6E">
        <w:rPr>
          <w:lang w:val="fr-CH"/>
        </w:rPr>
        <w:t>2.2</w:t>
      </w:r>
      <w:r w:rsidRPr="00081D6E">
        <w:rPr>
          <w:lang w:val="fr-CH"/>
        </w:rPr>
        <w:tab/>
        <w:t>Participation aux réunions</w:t>
      </w:r>
      <w:bookmarkEnd w:id="74"/>
      <w:bookmarkEnd w:id="75"/>
      <w:bookmarkEnd w:id="76"/>
      <w:bookmarkEnd w:id="77"/>
      <w:bookmarkEnd w:id="78"/>
      <w:bookmarkEnd w:id="79"/>
      <w:bookmarkEnd w:id="80"/>
      <w:bookmarkEnd w:id="81"/>
      <w:bookmarkEnd w:id="82"/>
      <w:bookmarkEnd w:id="83"/>
      <w:bookmarkEnd w:id="84"/>
      <w:bookmarkEnd w:id="85"/>
      <w:bookmarkEnd w:id="86"/>
    </w:p>
    <w:p w:rsidR="00081D6E" w:rsidRPr="00081D6E" w:rsidRDefault="00081D6E" w:rsidP="00BE6EEC">
      <w:pPr>
        <w:spacing w:before="120" w:line="240" w:lineRule="auto"/>
        <w:jc w:val="left"/>
        <w:rPr>
          <w:lang w:val="fr-CH"/>
        </w:rPr>
      </w:pPr>
      <w:r w:rsidRPr="00081D6E">
        <w:rPr>
          <w:lang w:val="fr-CH"/>
        </w:rPr>
        <w:t>Les Etats Membres et les Membres du Secteur des radiocommunications sont habilités à participer aux réunions dont il est question dans</w:t>
      </w:r>
      <w:r w:rsidRPr="00081D6E">
        <w:rPr>
          <w:i/>
          <w:iCs/>
          <w:lang w:val="fr-CH"/>
        </w:rPr>
        <w:t xml:space="preserve"> </w:t>
      </w:r>
      <w:r w:rsidRPr="00081D6E">
        <w:rPr>
          <w:iCs/>
          <w:lang w:val="fr-CH"/>
        </w:rPr>
        <w:t>la Résolution UIT</w:t>
      </w:r>
      <w:r w:rsidRPr="00081D6E">
        <w:rPr>
          <w:iCs/>
          <w:lang w:val="fr-CH"/>
        </w:rPr>
        <w:noBreakHyphen/>
        <w:t>R 1</w:t>
      </w:r>
      <w:r w:rsidRPr="00081D6E">
        <w:rPr>
          <w:lang w:val="fr-CH"/>
        </w:rPr>
        <w:t>. Ils disposent des pleins droits de participation (voir l'article 3 de la Constitution), sous réserve toutefois de certaines restrictions applicables aux Membres du Secteur des radiocommunications en ce qui concerne l'adoption et/ou l'approbation de certains types de textes: Résolutions, Recommandations, Rapports, Manuels, Voeux et Questions.</w:t>
      </w:r>
    </w:p>
    <w:p w:rsidR="00081D6E" w:rsidRPr="00081D6E" w:rsidRDefault="00081D6E" w:rsidP="00BE6EEC">
      <w:pPr>
        <w:spacing w:before="120" w:line="240" w:lineRule="auto"/>
        <w:jc w:val="left"/>
        <w:rPr>
          <w:lang w:val="fr-CH"/>
        </w:rPr>
      </w:pPr>
      <w:r w:rsidRPr="00081D6E">
        <w:rPr>
          <w:lang w:val="fr-CH"/>
        </w:rPr>
        <w:t>Les Associés sont autorisés à participer aux travaux d'une commission d'études donnée (y compris à ceux des groupes qui lui sont subordonnés), sans prendre part au processus de décision ou aux activités de liaison de cette commission d'études (voir les numéros 241A et 248B de la Convention). Les droits des Associés sont exposés en détail dans la Résolution UIT-R 43.</w:t>
      </w:r>
    </w:p>
    <w:p w:rsidR="00081D6E" w:rsidRPr="00081D6E" w:rsidRDefault="00081D6E" w:rsidP="00BE6EEC">
      <w:pPr>
        <w:spacing w:before="120" w:line="240" w:lineRule="auto"/>
        <w:jc w:val="left"/>
        <w:rPr>
          <w:lang w:val="fr-CH"/>
        </w:rPr>
      </w:pPr>
      <w:r w:rsidRPr="00081D6E">
        <w:rPr>
          <w:lang w:val="fr-CH"/>
        </w:rPr>
        <w:t>Les établissements d'enseignement supérieur, les instituts, les universités et les instituts de recherche associés s'occupant du développement des télécommunications/TIC (ci-après dénommés les «établissements universitaires») pourront participer aux activités des groupes de travail des Commissions d'études dans le cadre du Secteur des radiocommunications. L'admission d'établissements universitaires à participer aux travaux de l'Union est exposée en détail dans la Résolution</w:t>
      </w:r>
      <w:r w:rsidRPr="00081D6E" w:rsidDel="003E131D">
        <w:rPr>
          <w:lang w:val="fr-CH"/>
        </w:rPr>
        <w:t xml:space="preserve"> </w:t>
      </w:r>
      <w:r w:rsidRPr="00081D6E">
        <w:rPr>
          <w:lang w:val="fr-CH"/>
        </w:rPr>
        <w:t>169 (Rév. Busan, 2014).</w:t>
      </w:r>
    </w:p>
    <w:p w:rsidR="00081D6E" w:rsidRPr="00081D6E" w:rsidRDefault="00081D6E" w:rsidP="00BE6EEC">
      <w:pPr>
        <w:spacing w:before="120" w:line="240" w:lineRule="auto"/>
        <w:jc w:val="left"/>
        <w:rPr>
          <w:lang w:val="fr-CH"/>
        </w:rPr>
      </w:pPr>
      <w:r w:rsidRPr="00081D6E">
        <w:rPr>
          <w:lang w:val="fr-CH"/>
        </w:rPr>
        <w:t xml:space="preserve">Le Directeur peut, après consultation du président de la commission d'études concernée, inviter une organisation qui ne participe pas aux travaux du Secteur des radiocommunications à envoyer des représentants pour participer à l'étude d'une question précise dans telle ou telle commission d'études ou dans des groupes relevant de celle-ci (voir le numéro 248A de la Convention; voir également le § 6 des présentes </w:t>
      </w:r>
      <w:r w:rsidRPr="00081D6E">
        <w:rPr>
          <w:i/>
          <w:lang w:val="fr-CH"/>
        </w:rPr>
        <w:t>Lignes directrices)</w:t>
      </w:r>
      <w:r w:rsidRPr="00081D6E">
        <w:rPr>
          <w:lang w:val="fr-CH"/>
        </w:rPr>
        <w:t xml:space="preserve">. Le statut des experts et celui des observateurs sont définis aux numéros 1001 et 1002 de l'Annexe de la Convention. </w:t>
      </w:r>
    </w:p>
    <w:p w:rsidR="00081D6E" w:rsidRPr="00081D6E" w:rsidRDefault="00081D6E" w:rsidP="00BE6EEC">
      <w:pPr>
        <w:pStyle w:val="Heading3"/>
        <w:spacing w:before="200" w:line="240" w:lineRule="auto"/>
        <w:jc w:val="left"/>
        <w:rPr>
          <w:lang w:val="fr-CH"/>
        </w:rPr>
      </w:pPr>
      <w:bookmarkStart w:id="87" w:name="_Toc521225200"/>
      <w:bookmarkStart w:id="88" w:name="_Toc5782482"/>
      <w:bookmarkStart w:id="89" w:name="_Toc7597320"/>
      <w:bookmarkStart w:id="90" w:name="_Toc78185169"/>
      <w:bookmarkStart w:id="91" w:name="_Toc78185338"/>
      <w:bookmarkStart w:id="92" w:name="_Toc125510169"/>
      <w:bookmarkStart w:id="93" w:name="_Toc213569496"/>
      <w:bookmarkStart w:id="94" w:name="_Toc213569558"/>
      <w:bookmarkStart w:id="95" w:name="_Toc213648004"/>
      <w:bookmarkStart w:id="96" w:name="_Toc213648253"/>
      <w:bookmarkStart w:id="97" w:name="_Toc355943750"/>
      <w:bookmarkStart w:id="98" w:name="_Toc449510479"/>
      <w:bookmarkStart w:id="99" w:name="_Toc449622585"/>
      <w:r w:rsidRPr="00081D6E">
        <w:rPr>
          <w:lang w:val="fr-CH"/>
        </w:rPr>
        <w:lastRenderedPageBreak/>
        <w:t>2.3</w:t>
      </w:r>
      <w:r w:rsidRPr="00081D6E">
        <w:rPr>
          <w:lang w:val="fr-CH"/>
        </w:rPr>
        <w:tab/>
        <w:t>Calendrier des réunions</w:t>
      </w:r>
      <w:bookmarkEnd w:id="87"/>
      <w:bookmarkEnd w:id="88"/>
      <w:bookmarkEnd w:id="89"/>
      <w:bookmarkEnd w:id="90"/>
      <w:bookmarkEnd w:id="91"/>
      <w:bookmarkEnd w:id="92"/>
      <w:bookmarkEnd w:id="93"/>
      <w:bookmarkEnd w:id="94"/>
      <w:bookmarkEnd w:id="95"/>
      <w:bookmarkEnd w:id="96"/>
      <w:bookmarkEnd w:id="97"/>
      <w:bookmarkEnd w:id="98"/>
      <w:bookmarkEnd w:id="99"/>
      <w:r w:rsidRPr="00081D6E">
        <w:rPr>
          <w:lang w:val="fr-CH"/>
        </w:rPr>
        <w:t xml:space="preserve"> </w:t>
      </w:r>
    </w:p>
    <w:p w:rsidR="00081D6E" w:rsidRPr="00081D6E" w:rsidRDefault="00081D6E" w:rsidP="00BE6EEC">
      <w:pPr>
        <w:spacing w:before="120" w:line="240" w:lineRule="auto"/>
        <w:jc w:val="left"/>
        <w:rPr>
          <w:lang w:val="fr-CH"/>
        </w:rPr>
      </w:pPr>
      <w:r w:rsidRPr="00081D6E">
        <w:rPr>
          <w:lang w:val="fr-CH"/>
        </w:rPr>
        <w:t>Les réunions des commissions d'études et des groupes qui leur sont subordonnés sont organisées conformément au programme des réunions établi par le Directeur en concertation avec les Présidents des commissions d'études. Ce programme est élaboré compte dûment tenu du Plan opérationnel de l'UIT</w:t>
      </w:r>
      <w:r w:rsidRPr="00081D6E">
        <w:rPr>
          <w:lang w:val="fr-CH"/>
        </w:rPr>
        <w:noBreakHyphen/>
        <w:t>R et du budget alloué aux réunions des commissions d'études. Le calendrier complet des réunions peut être consulté sur le site web de l'UIT</w:t>
      </w:r>
      <w:r w:rsidRPr="00081D6E">
        <w:rPr>
          <w:lang w:val="fr-CH"/>
        </w:rPr>
        <w:noBreakHyphen/>
        <w:t xml:space="preserve">R: </w:t>
      </w:r>
      <w:hyperlink r:id="rId26" w:history="1">
        <w:r w:rsidRPr="00081D6E">
          <w:rPr>
            <w:rStyle w:val="Hyperlink"/>
            <w:lang w:val="fr-CH"/>
          </w:rPr>
          <w:t>http://www.itu.int/en/events/Pages/Calendar-Events.aspx?sector=ITU-R</w:t>
        </w:r>
      </w:hyperlink>
      <w:r w:rsidRPr="00081D6E">
        <w:rPr>
          <w:lang w:val="fr-CH"/>
        </w:rPr>
        <w:t>.</w:t>
      </w:r>
    </w:p>
    <w:p w:rsidR="00081D6E" w:rsidRPr="00081D6E" w:rsidRDefault="00081D6E" w:rsidP="00BE6EEC">
      <w:pPr>
        <w:pStyle w:val="Heading3"/>
        <w:spacing w:before="200" w:line="240" w:lineRule="auto"/>
        <w:jc w:val="left"/>
        <w:rPr>
          <w:lang w:val="fr-CH"/>
        </w:rPr>
      </w:pPr>
      <w:bookmarkStart w:id="100" w:name="_Toc521225201"/>
      <w:bookmarkStart w:id="101" w:name="_Toc5782483"/>
      <w:bookmarkStart w:id="102" w:name="_Toc7597321"/>
      <w:bookmarkStart w:id="103" w:name="_Toc78185170"/>
      <w:bookmarkStart w:id="104" w:name="_Toc78185339"/>
      <w:bookmarkStart w:id="105" w:name="_Toc125510170"/>
      <w:bookmarkStart w:id="106" w:name="_Toc213569497"/>
      <w:bookmarkStart w:id="107" w:name="_Toc213569559"/>
      <w:bookmarkStart w:id="108" w:name="_Toc213648005"/>
      <w:bookmarkStart w:id="109" w:name="_Toc213648254"/>
      <w:bookmarkStart w:id="110" w:name="_Toc355943751"/>
      <w:bookmarkStart w:id="111" w:name="_Toc449510480"/>
      <w:bookmarkStart w:id="112" w:name="_Toc449622586"/>
      <w:r w:rsidRPr="00081D6E">
        <w:rPr>
          <w:lang w:val="fr-CH"/>
        </w:rPr>
        <w:t>2.4</w:t>
      </w:r>
      <w:r w:rsidRPr="00081D6E">
        <w:rPr>
          <w:lang w:val="fr-CH"/>
        </w:rPr>
        <w:tab/>
        <w:t>Convocation des réunions</w:t>
      </w:r>
      <w:bookmarkEnd w:id="100"/>
      <w:bookmarkEnd w:id="101"/>
      <w:bookmarkEnd w:id="102"/>
      <w:bookmarkEnd w:id="103"/>
      <w:bookmarkEnd w:id="104"/>
      <w:bookmarkEnd w:id="105"/>
      <w:bookmarkEnd w:id="106"/>
      <w:bookmarkEnd w:id="107"/>
      <w:bookmarkEnd w:id="108"/>
      <w:bookmarkEnd w:id="109"/>
      <w:bookmarkEnd w:id="110"/>
      <w:bookmarkEnd w:id="111"/>
      <w:bookmarkEnd w:id="112"/>
    </w:p>
    <w:p w:rsidR="00081D6E" w:rsidRPr="00081D6E" w:rsidRDefault="00081D6E" w:rsidP="00BE6EEC">
      <w:pPr>
        <w:pStyle w:val="Heading2"/>
        <w:spacing w:before="200" w:line="240" w:lineRule="auto"/>
        <w:jc w:val="left"/>
        <w:rPr>
          <w:lang w:val="fr-CH"/>
        </w:rPr>
      </w:pPr>
      <w:bookmarkStart w:id="113" w:name="_Toc125510171"/>
      <w:bookmarkStart w:id="114" w:name="_Toc213569498"/>
      <w:bookmarkStart w:id="115" w:name="_Toc213569560"/>
      <w:bookmarkStart w:id="116" w:name="_Toc213648006"/>
      <w:bookmarkStart w:id="117" w:name="_Toc213648255"/>
      <w:bookmarkStart w:id="118" w:name="_Toc355943752"/>
      <w:bookmarkStart w:id="119" w:name="_Toc449510481"/>
      <w:bookmarkStart w:id="120" w:name="_Toc449622587"/>
      <w:r w:rsidRPr="00081D6E">
        <w:rPr>
          <w:lang w:val="fr-CH"/>
        </w:rPr>
        <w:t>2.4.1</w:t>
      </w:r>
      <w:r w:rsidRPr="00081D6E">
        <w:rPr>
          <w:lang w:val="fr-CH"/>
        </w:rPr>
        <w:tab/>
        <w:t>Assemblée des radiocommunications</w:t>
      </w:r>
      <w:bookmarkEnd w:id="113"/>
      <w:bookmarkEnd w:id="114"/>
      <w:bookmarkEnd w:id="115"/>
      <w:bookmarkEnd w:id="116"/>
      <w:bookmarkEnd w:id="117"/>
      <w:bookmarkEnd w:id="118"/>
      <w:bookmarkEnd w:id="119"/>
      <w:bookmarkEnd w:id="120"/>
    </w:p>
    <w:p w:rsidR="00081D6E" w:rsidRPr="00081D6E" w:rsidRDefault="00081D6E" w:rsidP="00BE6EEC">
      <w:pPr>
        <w:spacing w:before="120" w:line="240" w:lineRule="auto"/>
        <w:jc w:val="left"/>
        <w:rPr>
          <w:lang w:val="fr-CH"/>
        </w:rPr>
      </w:pPr>
      <w:r w:rsidRPr="00081D6E">
        <w:rPr>
          <w:lang w:val="fr-CH"/>
        </w:rPr>
        <w:t>Les Assemblées des radiocommunications sont annoncées suffisamment à l'avance (au moins six mois) par une circulaire administrative (CACE) accompagnée d'une invitation du Secrétaire général. La circulaire, envoyée à tous les Etats Membres et Membres du Secteur des radiocommunications, contient notamment des informations sur les documents attendus, la structure provisoire des commissions, les contributions et les dispositions prises pour la participation.</w:t>
      </w:r>
    </w:p>
    <w:p w:rsidR="00081D6E" w:rsidRPr="00081D6E" w:rsidRDefault="00081D6E" w:rsidP="00BE6EEC">
      <w:pPr>
        <w:pStyle w:val="Heading2"/>
        <w:spacing w:before="200" w:line="240" w:lineRule="auto"/>
        <w:jc w:val="left"/>
        <w:rPr>
          <w:lang w:val="fr-CH"/>
        </w:rPr>
      </w:pPr>
      <w:bookmarkStart w:id="121" w:name="_Toc213569499"/>
      <w:bookmarkStart w:id="122" w:name="_Toc213569561"/>
      <w:bookmarkStart w:id="123" w:name="_Toc213648007"/>
      <w:bookmarkStart w:id="124" w:name="_Toc213648256"/>
      <w:bookmarkStart w:id="125" w:name="_Toc355943753"/>
      <w:bookmarkStart w:id="126" w:name="_Toc449510482"/>
      <w:bookmarkStart w:id="127" w:name="_Toc449622588"/>
      <w:r w:rsidRPr="00081D6E">
        <w:rPr>
          <w:lang w:val="fr-CH"/>
        </w:rPr>
        <w:t>2.4.2</w:t>
      </w:r>
      <w:r w:rsidRPr="00081D6E">
        <w:rPr>
          <w:lang w:val="fr-CH"/>
        </w:rPr>
        <w:tab/>
        <w:t>Sessions de la RPC</w:t>
      </w:r>
      <w:bookmarkEnd w:id="121"/>
      <w:bookmarkEnd w:id="122"/>
      <w:bookmarkEnd w:id="123"/>
      <w:bookmarkEnd w:id="124"/>
      <w:bookmarkEnd w:id="125"/>
      <w:bookmarkEnd w:id="126"/>
      <w:bookmarkEnd w:id="127"/>
    </w:p>
    <w:p w:rsidR="00081D6E" w:rsidRPr="00081D6E" w:rsidRDefault="00081D6E" w:rsidP="00BE6EEC">
      <w:pPr>
        <w:spacing w:before="120" w:line="240" w:lineRule="auto"/>
        <w:jc w:val="left"/>
        <w:rPr>
          <w:lang w:val="fr-CH"/>
        </w:rPr>
      </w:pPr>
      <w:r w:rsidRPr="00081D6E">
        <w:rPr>
          <w:lang w:val="fr-CH"/>
        </w:rPr>
        <w:t>Les sessions de la RPC sont annoncées dans une circulaire administrative (CA), envoyée au moins quatre mois à l'avance pour la première session et au moins six mois à l'avance pour la seconde session. Les circulaires sont envoyées à tous les Etats Membres et aux Membres du Secteur des radiocommunications.</w:t>
      </w:r>
    </w:p>
    <w:p w:rsidR="00081D6E" w:rsidRPr="00081D6E" w:rsidRDefault="00081D6E" w:rsidP="00BE6EEC">
      <w:pPr>
        <w:pStyle w:val="Heading2"/>
        <w:spacing w:before="200" w:line="240" w:lineRule="auto"/>
        <w:jc w:val="left"/>
        <w:rPr>
          <w:lang w:val="fr-CH"/>
        </w:rPr>
      </w:pPr>
      <w:bookmarkStart w:id="128" w:name="_Toc125510172"/>
      <w:bookmarkStart w:id="129" w:name="_Toc213569500"/>
      <w:bookmarkStart w:id="130" w:name="_Toc213569562"/>
      <w:bookmarkStart w:id="131" w:name="_Toc213648008"/>
      <w:bookmarkStart w:id="132" w:name="_Toc213648257"/>
      <w:bookmarkStart w:id="133" w:name="_Toc355943754"/>
      <w:bookmarkStart w:id="134" w:name="_Toc449510483"/>
      <w:bookmarkStart w:id="135" w:name="_Toc449622589"/>
      <w:r w:rsidRPr="00081D6E">
        <w:rPr>
          <w:lang w:val="fr-CH"/>
        </w:rPr>
        <w:t>2.4.3</w:t>
      </w:r>
      <w:r w:rsidRPr="00081D6E">
        <w:rPr>
          <w:lang w:val="fr-CH"/>
        </w:rPr>
        <w:tab/>
        <w:t>Réunions des commissions d'études</w:t>
      </w:r>
      <w:bookmarkEnd w:id="128"/>
      <w:bookmarkEnd w:id="129"/>
      <w:bookmarkEnd w:id="130"/>
      <w:bookmarkEnd w:id="131"/>
      <w:bookmarkEnd w:id="132"/>
      <w:r w:rsidRPr="00081D6E">
        <w:rPr>
          <w:lang w:val="fr-CH"/>
        </w:rPr>
        <w:t xml:space="preserve"> (y compris le CCV)</w:t>
      </w:r>
      <w:bookmarkEnd w:id="133"/>
      <w:bookmarkEnd w:id="134"/>
      <w:bookmarkEnd w:id="135"/>
    </w:p>
    <w:p w:rsidR="00081D6E" w:rsidRPr="00081D6E" w:rsidRDefault="00081D6E" w:rsidP="00BE6EEC">
      <w:pPr>
        <w:spacing w:before="120" w:line="240" w:lineRule="auto"/>
        <w:jc w:val="left"/>
        <w:rPr>
          <w:lang w:val="fr-CH"/>
        </w:rPr>
      </w:pPr>
      <w:r w:rsidRPr="00081D6E">
        <w:rPr>
          <w:lang w:val="fr-CH"/>
        </w:rPr>
        <w:t xml:space="preserve">Les réunions des commissions d'études (y compris le CCV) sont annoncées dans une circulaire administrative (CACE) envoyée au moins trois mois à l'avance à tous les Etats Membres, aux Membres du Secteur des radiocommunications et aux Associés (pour la commission d'études pertinente). </w:t>
      </w:r>
    </w:p>
    <w:p w:rsidR="00081D6E" w:rsidRPr="00081D6E" w:rsidRDefault="00081D6E" w:rsidP="00BE6EEC">
      <w:pPr>
        <w:pStyle w:val="Heading2"/>
        <w:spacing w:before="200" w:line="240" w:lineRule="auto"/>
        <w:jc w:val="left"/>
        <w:rPr>
          <w:lang w:val="fr-CH"/>
        </w:rPr>
      </w:pPr>
      <w:bookmarkStart w:id="136" w:name="_Toc125510173"/>
      <w:bookmarkStart w:id="137" w:name="_Toc213569501"/>
      <w:bookmarkStart w:id="138" w:name="_Toc213569563"/>
      <w:bookmarkStart w:id="139" w:name="_Toc213648009"/>
      <w:bookmarkStart w:id="140" w:name="_Toc213648258"/>
      <w:bookmarkStart w:id="141" w:name="_Toc355943755"/>
      <w:bookmarkStart w:id="142" w:name="_Toc449510484"/>
      <w:bookmarkStart w:id="143" w:name="_Toc449622590"/>
      <w:r w:rsidRPr="00081D6E">
        <w:rPr>
          <w:lang w:val="fr-CH"/>
        </w:rPr>
        <w:t>2.4.4</w:t>
      </w:r>
      <w:r w:rsidRPr="00081D6E">
        <w:rPr>
          <w:lang w:val="fr-CH"/>
        </w:rPr>
        <w:tab/>
        <w:t>Groupes subordonnés (GT, GA, etc.)</w:t>
      </w:r>
      <w:bookmarkEnd w:id="136"/>
      <w:bookmarkEnd w:id="137"/>
      <w:bookmarkEnd w:id="138"/>
      <w:bookmarkEnd w:id="139"/>
      <w:bookmarkEnd w:id="140"/>
      <w:bookmarkEnd w:id="141"/>
      <w:bookmarkEnd w:id="142"/>
      <w:bookmarkEnd w:id="143"/>
    </w:p>
    <w:p w:rsidR="00081D6E" w:rsidRPr="00081D6E" w:rsidRDefault="00081D6E" w:rsidP="00BE6EEC">
      <w:pPr>
        <w:spacing w:before="120" w:line="240" w:lineRule="auto"/>
        <w:jc w:val="left"/>
        <w:rPr>
          <w:lang w:val="fr-CH"/>
        </w:rPr>
      </w:pPr>
      <w:r w:rsidRPr="00081D6E">
        <w:rPr>
          <w:lang w:val="fr-CH"/>
        </w:rPr>
        <w:t>Les réunions des groupes de travail, groupes d'action, etc., sont annoncées au moins trois mois à l'avance dans une lettre circulaire (LCCE) envoyée à tous les Etats Membres, Membres du Secteur des radiocommunications, Associés et établissements universitaires ayant fait part au BR de leur intention de participer aux travaux des groupes concernés. Un délai plus court peut être requis à titre exceptionnel, dans le cas d'une réunion urgente d'un groupe d'action par exemple.</w:t>
      </w:r>
    </w:p>
    <w:p w:rsidR="00081D6E" w:rsidRPr="00081D6E" w:rsidRDefault="00081D6E" w:rsidP="00BE6EEC">
      <w:pPr>
        <w:spacing w:before="120" w:line="240" w:lineRule="auto"/>
        <w:jc w:val="left"/>
        <w:rPr>
          <w:lang w:val="fr-CH"/>
        </w:rPr>
      </w:pPr>
      <w:r w:rsidRPr="00081D6E">
        <w:rPr>
          <w:lang w:val="fr-CH"/>
        </w:rPr>
        <w:t xml:space="preserve">Les réunions de plusieurs groupes relevant d'une même commission d'études sont habituellement annoncées en une fois, et des annexes distinctes fournissent les détails des réunions de chaque groupe. </w:t>
      </w:r>
    </w:p>
    <w:p w:rsidR="00081D6E" w:rsidRPr="00081D6E" w:rsidRDefault="00081D6E" w:rsidP="00BE6EEC">
      <w:pPr>
        <w:pStyle w:val="Heading2"/>
        <w:spacing w:line="240" w:lineRule="auto"/>
        <w:jc w:val="left"/>
        <w:rPr>
          <w:lang w:val="fr-CH"/>
        </w:rPr>
      </w:pPr>
      <w:bookmarkStart w:id="144" w:name="_Toc521225202"/>
      <w:bookmarkStart w:id="145" w:name="_Toc5782484"/>
      <w:bookmarkStart w:id="146" w:name="_Toc7597322"/>
      <w:bookmarkStart w:id="147" w:name="_Toc78185171"/>
      <w:bookmarkStart w:id="148" w:name="_Toc78185340"/>
      <w:bookmarkStart w:id="149" w:name="_Toc125510174"/>
      <w:bookmarkStart w:id="150" w:name="_Toc213569502"/>
      <w:bookmarkStart w:id="151" w:name="_Toc213569564"/>
      <w:bookmarkStart w:id="152" w:name="_Toc213648010"/>
      <w:bookmarkStart w:id="153" w:name="_Toc213648259"/>
      <w:bookmarkStart w:id="154" w:name="_Toc355943756"/>
      <w:bookmarkStart w:id="155" w:name="_Toc449510485"/>
      <w:bookmarkStart w:id="156" w:name="_Toc449622591"/>
      <w:r w:rsidRPr="00081D6E">
        <w:rPr>
          <w:lang w:val="fr-CH"/>
        </w:rPr>
        <w:t>2.5</w:t>
      </w:r>
      <w:r w:rsidRPr="00081D6E">
        <w:rPr>
          <w:lang w:val="fr-CH"/>
        </w:rPr>
        <w:tab/>
        <w:t>Dispositions à prendre pour les réunions organisées au siège de l'UIT à Genève</w:t>
      </w:r>
      <w:bookmarkEnd w:id="144"/>
      <w:bookmarkEnd w:id="145"/>
      <w:bookmarkEnd w:id="146"/>
      <w:bookmarkEnd w:id="147"/>
      <w:bookmarkEnd w:id="148"/>
      <w:bookmarkEnd w:id="149"/>
      <w:bookmarkEnd w:id="150"/>
      <w:bookmarkEnd w:id="151"/>
      <w:bookmarkEnd w:id="152"/>
      <w:bookmarkEnd w:id="153"/>
      <w:bookmarkEnd w:id="154"/>
      <w:bookmarkEnd w:id="155"/>
      <w:bookmarkEnd w:id="156"/>
    </w:p>
    <w:p w:rsidR="00081D6E" w:rsidRPr="00081D6E" w:rsidRDefault="00081D6E" w:rsidP="00BE6EEC">
      <w:pPr>
        <w:spacing w:before="120" w:line="240" w:lineRule="auto"/>
        <w:jc w:val="left"/>
        <w:rPr>
          <w:lang w:val="fr-CH"/>
        </w:rPr>
      </w:pPr>
      <w:r w:rsidRPr="00081D6E">
        <w:rPr>
          <w:lang w:val="fr-CH"/>
        </w:rPr>
        <w:t>Un document d'information (INFO) publié au début de chaque réunion (ou bloc de réunions) rassemble les informations générales à l'intention des participants.</w:t>
      </w:r>
    </w:p>
    <w:p w:rsidR="00081D6E" w:rsidRPr="00081D6E" w:rsidRDefault="00081D6E" w:rsidP="00BE6EEC">
      <w:pPr>
        <w:pStyle w:val="Heading2"/>
        <w:spacing w:line="240" w:lineRule="auto"/>
        <w:jc w:val="left"/>
        <w:rPr>
          <w:lang w:val="fr-CH"/>
        </w:rPr>
      </w:pPr>
      <w:bookmarkStart w:id="157" w:name="_Toc125510175"/>
      <w:bookmarkStart w:id="158" w:name="_Toc213569503"/>
      <w:bookmarkStart w:id="159" w:name="_Toc213569565"/>
      <w:bookmarkStart w:id="160" w:name="_Toc213648011"/>
      <w:bookmarkStart w:id="161" w:name="_Toc213648260"/>
      <w:bookmarkStart w:id="162" w:name="_Toc355943757"/>
      <w:bookmarkStart w:id="163" w:name="_Toc449510486"/>
      <w:bookmarkStart w:id="164" w:name="_Toc449622592"/>
      <w:r w:rsidRPr="00081D6E">
        <w:rPr>
          <w:lang w:val="fr-CH"/>
        </w:rPr>
        <w:lastRenderedPageBreak/>
        <w:t>2.5.1</w:t>
      </w:r>
      <w:r w:rsidRPr="00081D6E">
        <w:rPr>
          <w:lang w:val="fr-CH"/>
        </w:rPr>
        <w:tab/>
        <w:t>Inscription des participants</w:t>
      </w:r>
      <w:bookmarkEnd w:id="157"/>
      <w:bookmarkEnd w:id="158"/>
      <w:bookmarkEnd w:id="159"/>
      <w:bookmarkEnd w:id="160"/>
      <w:bookmarkEnd w:id="161"/>
      <w:bookmarkEnd w:id="162"/>
      <w:bookmarkEnd w:id="163"/>
      <w:bookmarkEnd w:id="164"/>
    </w:p>
    <w:p w:rsidR="00081D6E" w:rsidRPr="00081D6E" w:rsidRDefault="00081D6E" w:rsidP="00BE6EEC">
      <w:pPr>
        <w:spacing w:line="240" w:lineRule="auto"/>
        <w:jc w:val="left"/>
        <w:rPr>
          <w:lang w:val="fr-CH"/>
        </w:rPr>
      </w:pPr>
      <w:r w:rsidRPr="00081D6E">
        <w:rPr>
          <w:lang w:val="fr-CH"/>
        </w:rPr>
        <w:t xml:space="preserve">L'inscription en vue de participer aux travaux des </w:t>
      </w:r>
      <w:r w:rsidRPr="00081D6E">
        <w:rPr>
          <w:lang w:val="fr-CH" w:eastAsia="ko-KR"/>
        </w:rPr>
        <w:t>commissions d'études</w:t>
      </w:r>
      <w:r w:rsidRPr="00081D6E">
        <w:rPr>
          <w:lang w:val="fr-CH"/>
        </w:rPr>
        <w:t xml:space="preserve"> s'effectue uniquement en ligne, par l'intermédiaire du système d'inscription aux événements de l'UIT-R (voir le site </w:t>
      </w:r>
      <w:hyperlink r:id="rId27" w:history="1">
        <w:r w:rsidRPr="00081D6E">
          <w:rPr>
            <w:rStyle w:val="Hyperlink"/>
            <w:lang w:val="fr-CH"/>
          </w:rPr>
          <w:t>http://itu.int/en/ITU-R/information/events</w:t>
        </w:r>
      </w:hyperlink>
      <w:r w:rsidRPr="00081D6E">
        <w:rPr>
          <w:lang w:val="fr-CH"/>
        </w:rPr>
        <w:t>), en faisant appel à des coordonnateurs désignés.</w:t>
      </w:r>
    </w:p>
    <w:p w:rsidR="00081D6E" w:rsidRPr="00081D6E" w:rsidRDefault="00081D6E" w:rsidP="00BE6EEC">
      <w:pPr>
        <w:pStyle w:val="Heading2"/>
        <w:spacing w:before="200" w:line="240" w:lineRule="auto"/>
        <w:jc w:val="left"/>
        <w:rPr>
          <w:lang w:val="fr-CH"/>
        </w:rPr>
      </w:pPr>
      <w:bookmarkStart w:id="165" w:name="_Toc125510176"/>
      <w:bookmarkStart w:id="166" w:name="_Toc213569504"/>
      <w:bookmarkStart w:id="167" w:name="_Toc213569566"/>
      <w:bookmarkStart w:id="168" w:name="_Toc213648012"/>
      <w:bookmarkStart w:id="169" w:name="_Toc213648261"/>
      <w:bookmarkStart w:id="170" w:name="_Toc355943758"/>
      <w:bookmarkStart w:id="171" w:name="_Toc449510487"/>
      <w:bookmarkStart w:id="172" w:name="_Toc449622593"/>
      <w:r w:rsidRPr="00081D6E">
        <w:rPr>
          <w:lang w:val="fr-CH"/>
        </w:rPr>
        <w:t>2.5.2</w:t>
      </w:r>
      <w:r w:rsidRPr="00081D6E">
        <w:rPr>
          <w:lang w:val="fr-CH"/>
        </w:rPr>
        <w:tab/>
        <w:t>Mise à disposition des documents pendant les réunions</w:t>
      </w:r>
      <w:bookmarkEnd w:id="165"/>
      <w:bookmarkEnd w:id="166"/>
      <w:bookmarkEnd w:id="167"/>
      <w:bookmarkEnd w:id="168"/>
      <w:bookmarkEnd w:id="169"/>
      <w:bookmarkEnd w:id="170"/>
      <w:bookmarkEnd w:id="171"/>
      <w:bookmarkEnd w:id="172"/>
    </w:p>
    <w:p w:rsidR="00081D6E" w:rsidRPr="00081D6E" w:rsidRDefault="00081D6E" w:rsidP="00BE6EEC">
      <w:pPr>
        <w:spacing w:before="120" w:line="240" w:lineRule="auto"/>
        <w:jc w:val="left"/>
        <w:rPr>
          <w:lang w:val="fr-CH"/>
        </w:rPr>
      </w:pPr>
      <w:r w:rsidRPr="00081D6E">
        <w:rPr>
          <w:lang w:val="fr-CH"/>
        </w:rPr>
        <w:t>Toutes les contributions soumises pour les réunions de l'UIT</w:t>
      </w:r>
      <w:r w:rsidRPr="00081D6E">
        <w:rPr>
          <w:lang w:val="fr-CH"/>
        </w:rPr>
        <w:noBreakHyphen/>
        <w:t>R sont mises à disposition sur le site web de l'UIT-R dès que possible après leur réception par le Secrétariat à Genève (voir les § 3.1, 3.3 et 3.4 ci</w:t>
      </w:r>
      <w:r w:rsidRPr="00081D6E">
        <w:rPr>
          <w:lang w:val="fr-CH"/>
        </w:rPr>
        <w:noBreakHyphen/>
        <w:t>dessous).</w:t>
      </w:r>
    </w:p>
    <w:p w:rsidR="00081D6E" w:rsidRPr="00081D6E" w:rsidRDefault="00081D6E" w:rsidP="00BE6EEC">
      <w:pPr>
        <w:spacing w:before="120" w:line="240" w:lineRule="auto"/>
        <w:jc w:val="left"/>
        <w:rPr>
          <w:lang w:val="fr-CH"/>
        </w:rPr>
      </w:pPr>
      <w:r w:rsidRPr="00081D6E">
        <w:rPr>
          <w:lang w:val="fr-CH"/>
        </w:rPr>
        <w:t>Les documents «temporaires» (TEMP) sont disponibles sous forme électronique et sont accessibles sur le site web de l'UIT-R au cours d'une réunion jusqu'à ce que les renseignements correspondants soient insérés dans le Rapport de la réunion et publiés sur le site web (par exemple, dans des Annexes du rapport du Président ou du compte rendu).</w:t>
      </w:r>
    </w:p>
    <w:p w:rsidR="00081D6E" w:rsidRPr="00081D6E" w:rsidRDefault="00081D6E" w:rsidP="00BE6EEC">
      <w:pPr>
        <w:spacing w:before="120" w:line="240" w:lineRule="auto"/>
        <w:jc w:val="left"/>
        <w:rPr>
          <w:lang w:val="fr-CH"/>
        </w:rPr>
      </w:pPr>
      <w:r w:rsidRPr="00081D6E">
        <w:rPr>
          <w:lang w:val="fr-CH"/>
        </w:rPr>
        <w:t>Les documents administratifs (ADM) et les documents d'information (INFO) sont disponibles sous forme électronique.</w:t>
      </w:r>
    </w:p>
    <w:p w:rsidR="00081D6E" w:rsidRPr="00081D6E" w:rsidRDefault="00081D6E" w:rsidP="00BE6EEC">
      <w:pPr>
        <w:spacing w:before="120" w:line="240" w:lineRule="auto"/>
        <w:jc w:val="left"/>
        <w:rPr>
          <w:lang w:val="fr-CH"/>
        </w:rPr>
      </w:pPr>
      <w:r w:rsidRPr="00081D6E">
        <w:rPr>
          <w:lang w:val="fr-CH"/>
        </w:rPr>
        <w:t>L'accès aux documents à l'intention des commissions d'études et des groupes qui leur sont subordonnés est réservé aux utilisateurs inscrits au système TIES.</w:t>
      </w:r>
      <w:bookmarkStart w:id="173" w:name="_Toc125510177"/>
      <w:bookmarkStart w:id="174" w:name="_Toc213569505"/>
      <w:bookmarkStart w:id="175" w:name="_Toc213569567"/>
      <w:bookmarkStart w:id="176" w:name="_Toc213648013"/>
      <w:bookmarkStart w:id="177" w:name="_Toc213648262"/>
      <w:bookmarkStart w:id="178" w:name="_Toc355943759"/>
    </w:p>
    <w:p w:rsidR="00081D6E" w:rsidRPr="00081D6E" w:rsidRDefault="00081D6E" w:rsidP="00BE6EEC">
      <w:pPr>
        <w:pStyle w:val="Heading2"/>
        <w:spacing w:before="200" w:line="240" w:lineRule="auto"/>
        <w:jc w:val="left"/>
        <w:rPr>
          <w:lang w:val="fr-CH"/>
        </w:rPr>
      </w:pPr>
      <w:bookmarkStart w:id="179" w:name="_Toc449510488"/>
      <w:bookmarkStart w:id="180" w:name="_Toc449622594"/>
      <w:r w:rsidRPr="00081D6E">
        <w:rPr>
          <w:lang w:val="fr-CH"/>
        </w:rPr>
        <w:t>2.5.3</w:t>
      </w:r>
      <w:r w:rsidRPr="00081D6E">
        <w:rPr>
          <w:lang w:val="fr-CH"/>
        </w:rPr>
        <w:tab/>
        <w:t>Interprétation</w:t>
      </w:r>
      <w:bookmarkEnd w:id="173"/>
      <w:r w:rsidRPr="00081D6E">
        <w:rPr>
          <w:lang w:val="fr-CH"/>
        </w:rPr>
        <w:t xml:space="preserve"> simultanée dans les langues officielles de l'Union</w:t>
      </w:r>
      <w:bookmarkEnd w:id="174"/>
      <w:bookmarkEnd w:id="175"/>
      <w:bookmarkEnd w:id="176"/>
      <w:bookmarkEnd w:id="177"/>
      <w:bookmarkEnd w:id="178"/>
      <w:bookmarkEnd w:id="179"/>
      <w:bookmarkEnd w:id="180"/>
    </w:p>
    <w:p w:rsidR="00081D6E" w:rsidRPr="00081D6E" w:rsidRDefault="00081D6E" w:rsidP="00BE6EEC">
      <w:pPr>
        <w:spacing w:before="120" w:line="240" w:lineRule="auto"/>
        <w:jc w:val="left"/>
        <w:rPr>
          <w:lang w:val="fr-CH"/>
        </w:rPr>
      </w:pPr>
      <w:r w:rsidRPr="00081D6E">
        <w:rPr>
          <w:lang w:val="fr-CH"/>
        </w:rPr>
        <w:t xml:space="preserve">Un service d'interprétation simultanée dans toutes les langues officielles de l'Union est normalement assuré lors de toutes les réunions des </w:t>
      </w:r>
      <w:r w:rsidRPr="00081D6E">
        <w:rPr>
          <w:lang w:val="fr-CH" w:eastAsia="ko-KR"/>
        </w:rPr>
        <w:t>commissions d'études</w:t>
      </w:r>
      <w:r w:rsidRPr="00081D6E">
        <w:rPr>
          <w:lang w:val="fr-CH"/>
        </w:rPr>
        <w:t>, sur la base de la participation annoncée.</w:t>
      </w:r>
    </w:p>
    <w:p w:rsidR="00081D6E" w:rsidRPr="00081D6E" w:rsidRDefault="00081D6E" w:rsidP="00BE6EEC">
      <w:pPr>
        <w:pStyle w:val="Heading2"/>
        <w:spacing w:before="200" w:line="240" w:lineRule="auto"/>
        <w:jc w:val="left"/>
        <w:rPr>
          <w:lang w:val="fr-CH"/>
        </w:rPr>
      </w:pPr>
      <w:bookmarkStart w:id="181" w:name="_Toc521225203"/>
      <w:bookmarkStart w:id="182" w:name="_Toc5782485"/>
      <w:bookmarkStart w:id="183" w:name="_Toc7597323"/>
      <w:bookmarkStart w:id="184" w:name="_Toc78185172"/>
      <w:bookmarkStart w:id="185" w:name="_Toc78185341"/>
      <w:bookmarkStart w:id="186" w:name="_Toc125510178"/>
      <w:bookmarkStart w:id="187" w:name="_Toc213569506"/>
      <w:bookmarkStart w:id="188" w:name="_Toc213569568"/>
      <w:bookmarkStart w:id="189" w:name="_Toc213648014"/>
      <w:bookmarkStart w:id="190" w:name="_Toc213648263"/>
      <w:bookmarkStart w:id="191" w:name="_Toc355943760"/>
      <w:bookmarkStart w:id="192" w:name="_Toc449510489"/>
      <w:bookmarkStart w:id="193" w:name="_Toc449622595"/>
      <w:r w:rsidRPr="00081D6E">
        <w:rPr>
          <w:lang w:val="fr-CH"/>
        </w:rPr>
        <w:t>2.6</w:t>
      </w:r>
      <w:r w:rsidRPr="00081D6E">
        <w:rPr>
          <w:lang w:val="fr-CH"/>
        </w:rPr>
        <w:tab/>
        <w:t>Dispositions prises pour les réunions organisées en dehors de Genève</w:t>
      </w:r>
      <w:bookmarkEnd w:id="181"/>
      <w:bookmarkEnd w:id="182"/>
      <w:bookmarkEnd w:id="183"/>
      <w:bookmarkEnd w:id="184"/>
      <w:bookmarkEnd w:id="185"/>
      <w:bookmarkEnd w:id="186"/>
      <w:bookmarkEnd w:id="187"/>
      <w:bookmarkEnd w:id="188"/>
      <w:bookmarkEnd w:id="189"/>
      <w:bookmarkEnd w:id="190"/>
      <w:bookmarkEnd w:id="191"/>
      <w:bookmarkEnd w:id="192"/>
      <w:bookmarkEnd w:id="193"/>
    </w:p>
    <w:p w:rsidR="00081D6E" w:rsidRPr="00081D6E" w:rsidRDefault="00081D6E" w:rsidP="00BE6EEC">
      <w:pPr>
        <w:spacing w:before="120" w:line="240" w:lineRule="auto"/>
        <w:jc w:val="left"/>
        <w:rPr>
          <w:lang w:val="fr-CH"/>
        </w:rPr>
      </w:pPr>
      <w:r w:rsidRPr="00081D6E">
        <w:rPr>
          <w:lang w:val="fr-CH"/>
        </w:rPr>
        <w:t>Pour les réunions tenues à l'extérieur de Genève, les dispositions du § A1.3.1.11 de l'Annexe 1 de la Résolution UIT</w:t>
      </w:r>
      <w:r w:rsidRPr="00081D6E">
        <w:rPr>
          <w:lang w:val="fr-CH"/>
        </w:rPr>
        <w:noBreakHyphen/>
        <w:t>R 1 sont applicables.</w:t>
      </w:r>
    </w:p>
    <w:p w:rsidR="00081D6E" w:rsidRPr="00081D6E" w:rsidRDefault="00081D6E" w:rsidP="00BE6EEC">
      <w:pPr>
        <w:pStyle w:val="Heading1"/>
        <w:spacing w:before="360" w:line="240" w:lineRule="auto"/>
        <w:rPr>
          <w:lang w:val="fr-CH"/>
        </w:rPr>
      </w:pPr>
      <w:bookmarkStart w:id="194" w:name="_Toc521225204"/>
      <w:bookmarkStart w:id="195" w:name="_Toc5782486"/>
      <w:bookmarkStart w:id="196" w:name="_Toc7597324"/>
      <w:bookmarkStart w:id="197" w:name="_Toc78185173"/>
      <w:bookmarkStart w:id="198" w:name="_Toc78185342"/>
      <w:bookmarkStart w:id="199" w:name="_Toc125510179"/>
      <w:bookmarkStart w:id="200" w:name="_Toc213569507"/>
      <w:bookmarkStart w:id="201" w:name="_Toc213569569"/>
      <w:bookmarkStart w:id="202" w:name="_Toc213648015"/>
      <w:bookmarkStart w:id="203" w:name="_Toc213648264"/>
      <w:bookmarkStart w:id="204" w:name="_Toc355943761"/>
      <w:bookmarkStart w:id="205" w:name="_Toc449510490"/>
      <w:bookmarkStart w:id="206" w:name="_Toc449622596"/>
      <w:r w:rsidRPr="00081D6E">
        <w:rPr>
          <w:lang w:val="fr-CH"/>
        </w:rPr>
        <w:t>3</w:t>
      </w:r>
      <w:r w:rsidRPr="00081D6E">
        <w:rPr>
          <w:lang w:val="fr-CH"/>
        </w:rPr>
        <w:tab/>
        <w:t>Documents</w:t>
      </w:r>
      <w:bookmarkEnd w:id="194"/>
      <w:bookmarkEnd w:id="195"/>
      <w:bookmarkEnd w:id="196"/>
      <w:bookmarkEnd w:id="197"/>
      <w:bookmarkEnd w:id="198"/>
      <w:bookmarkEnd w:id="199"/>
      <w:bookmarkEnd w:id="200"/>
      <w:bookmarkEnd w:id="201"/>
      <w:bookmarkEnd w:id="202"/>
      <w:bookmarkEnd w:id="203"/>
      <w:bookmarkEnd w:id="204"/>
      <w:bookmarkEnd w:id="205"/>
      <w:bookmarkEnd w:id="206"/>
    </w:p>
    <w:p w:rsidR="00081D6E" w:rsidRPr="00081D6E" w:rsidRDefault="00081D6E" w:rsidP="00BE6EEC">
      <w:pPr>
        <w:spacing w:before="120" w:line="240" w:lineRule="auto"/>
        <w:jc w:val="left"/>
        <w:rPr>
          <w:lang w:val="fr-CH"/>
        </w:rPr>
      </w:pPr>
      <w:r w:rsidRPr="00081D6E">
        <w:rPr>
          <w:lang w:val="fr-CH"/>
        </w:rPr>
        <w:t xml:space="preserve">Les lignes directrices ci-après s'appliquent </w:t>
      </w:r>
      <w:r w:rsidRPr="00081D6E">
        <w:rPr>
          <w:i/>
          <w:iCs/>
          <w:lang w:val="fr-CH"/>
        </w:rPr>
        <w:t>mutatis mutandis</w:t>
      </w:r>
      <w:r w:rsidRPr="00081D6E">
        <w:rPr>
          <w:lang w:val="fr-CH"/>
        </w:rPr>
        <w:t>, à l'élaboration et à la soumission des documents de l'Assemblée des radiocommunications, des deux sessions de la RPC et des commissions d'études, ainsi que des groupes correspondants qui leur sont subordonnés.</w:t>
      </w:r>
    </w:p>
    <w:p w:rsidR="00081D6E" w:rsidRPr="00081D6E" w:rsidRDefault="00081D6E" w:rsidP="00BE6EEC">
      <w:pPr>
        <w:spacing w:before="120" w:line="240" w:lineRule="auto"/>
        <w:jc w:val="left"/>
        <w:rPr>
          <w:lang w:val="fr-CH"/>
        </w:rPr>
      </w:pPr>
      <w:r w:rsidRPr="00081D6E">
        <w:rPr>
          <w:lang w:val="fr-CH"/>
        </w:rPr>
        <w:t>Le Document 1 de chaque Commission d'études indique les textes dont l'étude est confiée aux groupes qui sont subordonnés à celle-ci. Ces textes comprennent les Questions, Recommandations, Rapports, Manuels, Résolutions, Voeux et Décisions de l'UIT-R en vigueur qui ont été élaborés et doivent être tenus à jour par la Commission d'études, ainsi que les Résolutions et Recommandations de la C(A)MR relatives aux travaux de la Commission d'études.</w:t>
      </w:r>
    </w:p>
    <w:p w:rsidR="00081D6E" w:rsidRPr="00081D6E" w:rsidRDefault="00081D6E" w:rsidP="00BE6EEC">
      <w:pPr>
        <w:pStyle w:val="Heading2"/>
        <w:spacing w:before="200" w:line="240" w:lineRule="auto"/>
        <w:rPr>
          <w:lang w:val="fr-CH"/>
        </w:rPr>
      </w:pPr>
      <w:bookmarkStart w:id="207" w:name="_Toc521225205"/>
      <w:bookmarkStart w:id="208" w:name="_Toc5782487"/>
      <w:bookmarkStart w:id="209" w:name="_Toc7597325"/>
      <w:bookmarkStart w:id="210" w:name="_Toc78185174"/>
      <w:bookmarkStart w:id="211" w:name="_Toc78185343"/>
      <w:bookmarkStart w:id="212" w:name="_Toc125510180"/>
      <w:bookmarkStart w:id="213" w:name="_Toc213569508"/>
      <w:bookmarkStart w:id="214" w:name="_Toc213569570"/>
      <w:bookmarkStart w:id="215" w:name="_Toc213648016"/>
      <w:bookmarkStart w:id="216" w:name="_Toc213648265"/>
      <w:bookmarkStart w:id="217" w:name="_Toc355943762"/>
      <w:bookmarkStart w:id="218" w:name="_Toc449510491"/>
      <w:bookmarkStart w:id="219" w:name="_Toc449622597"/>
      <w:r w:rsidRPr="00081D6E">
        <w:rPr>
          <w:lang w:val="fr-CH"/>
        </w:rPr>
        <w:t>3.1</w:t>
      </w:r>
      <w:r w:rsidRPr="00081D6E">
        <w:rPr>
          <w:lang w:val="fr-CH"/>
        </w:rPr>
        <w:tab/>
        <w:t>Soumission de contributions aux réunions</w:t>
      </w:r>
      <w:bookmarkEnd w:id="207"/>
      <w:bookmarkEnd w:id="208"/>
      <w:bookmarkEnd w:id="209"/>
      <w:bookmarkEnd w:id="210"/>
      <w:bookmarkEnd w:id="211"/>
      <w:bookmarkEnd w:id="212"/>
      <w:bookmarkEnd w:id="213"/>
      <w:bookmarkEnd w:id="214"/>
      <w:bookmarkEnd w:id="215"/>
      <w:bookmarkEnd w:id="216"/>
      <w:bookmarkEnd w:id="217"/>
      <w:bookmarkEnd w:id="218"/>
      <w:bookmarkEnd w:id="219"/>
    </w:p>
    <w:p w:rsidR="00081D6E" w:rsidRPr="00081D6E" w:rsidRDefault="00081D6E" w:rsidP="00BE6EEC">
      <w:pPr>
        <w:spacing w:before="120" w:line="240" w:lineRule="auto"/>
        <w:jc w:val="left"/>
        <w:rPr>
          <w:lang w:val="fr-CH"/>
        </w:rPr>
      </w:pPr>
      <w:r w:rsidRPr="00081D6E">
        <w:rPr>
          <w:lang w:val="fr-CH"/>
        </w:rPr>
        <w:t>Les § A1.6.2.2 de l'Annexe 1 et A2.2.3 de l'Annexe 2 de la Résolution UIT</w:t>
      </w:r>
      <w:r w:rsidRPr="00081D6E">
        <w:rPr>
          <w:lang w:val="fr-CH"/>
        </w:rPr>
        <w:noBreakHyphen/>
        <w:t>R 1 donnent des renseignements sur les contributions aux travaux des commissions d'études. Il convient de noter en particulier que les contributions destinées aux réunions des commissions d'études et des groupes qui leur sont subordonnés doivent être envoyées au BR par courrier électronique, à l'adresse e-mail indiquée dans la lettre de convocation (voir les § A2.2.3.2 à A2.2.3.5 de l'Annexe 2 de la Résolution UIT</w:t>
      </w:r>
      <w:r w:rsidRPr="00081D6E">
        <w:rPr>
          <w:lang w:val="fr-CH"/>
        </w:rPr>
        <w:noBreakHyphen/>
        <w:t>R 1).</w:t>
      </w:r>
    </w:p>
    <w:p w:rsidR="00081D6E" w:rsidRPr="00081D6E" w:rsidRDefault="00081D6E" w:rsidP="00BE6EEC">
      <w:pPr>
        <w:spacing w:line="240" w:lineRule="auto"/>
        <w:rPr>
          <w:lang w:val="fr-CH"/>
        </w:rPr>
      </w:pPr>
      <w:r w:rsidRPr="00081D6E">
        <w:rPr>
          <w:lang w:val="fr-CH"/>
        </w:rPr>
        <w:lastRenderedPageBreak/>
        <w:t>On trouvera le format commun obligatoire à utiliser pour les Recommandations UIT-R nouvelles ou révisées dans l'Annexe aux présentes Lignes directrices.</w:t>
      </w:r>
    </w:p>
    <w:p w:rsidR="00081D6E" w:rsidRPr="00081D6E" w:rsidRDefault="00081D6E" w:rsidP="00BE6EEC">
      <w:pPr>
        <w:pStyle w:val="Heading2"/>
        <w:spacing w:before="200" w:line="240" w:lineRule="auto"/>
        <w:rPr>
          <w:lang w:val="fr-CH"/>
        </w:rPr>
      </w:pPr>
      <w:bookmarkStart w:id="220" w:name="_Toc521225206"/>
      <w:bookmarkStart w:id="221" w:name="_Toc5782488"/>
      <w:bookmarkStart w:id="222" w:name="_Toc7597326"/>
      <w:bookmarkStart w:id="223" w:name="_Toc78185175"/>
      <w:bookmarkStart w:id="224" w:name="_Toc78185344"/>
      <w:bookmarkStart w:id="225" w:name="_Toc125510181"/>
      <w:bookmarkStart w:id="226" w:name="_Toc213569509"/>
      <w:bookmarkStart w:id="227" w:name="_Toc213569571"/>
      <w:bookmarkStart w:id="228" w:name="_Toc213648017"/>
      <w:bookmarkStart w:id="229" w:name="_Toc213648266"/>
      <w:bookmarkStart w:id="230" w:name="_Toc355943763"/>
      <w:bookmarkStart w:id="231" w:name="_Toc449510492"/>
      <w:bookmarkStart w:id="232" w:name="_Toc449622598"/>
      <w:r w:rsidRPr="00081D6E">
        <w:rPr>
          <w:lang w:val="fr-CH"/>
        </w:rPr>
        <w:t>3.2</w:t>
      </w:r>
      <w:r w:rsidRPr="00081D6E">
        <w:rPr>
          <w:lang w:val="fr-CH"/>
        </w:rPr>
        <w:tab/>
        <w:t>Elaboration des contributions</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081D6E" w:rsidRPr="00081D6E" w:rsidRDefault="00081D6E" w:rsidP="00BE6EEC">
      <w:pPr>
        <w:spacing w:before="120" w:line="240" w:lineRule="auto"/>
        <w:jc w:val="left"/>
        <w:rPr>
          <w:lang w:val="fr-CH"/>
        </w:rPr>
      </w:pPr>
      <w:r w:rsidRPr="00081D6E">
        <w:rPr>
          <w:lang w:val="fr-CH"/>
        </w:rPr>
        <w:t xml:space="preserve">Des directives sur l'élaboration des contributions pour les réunions sont exposées de manière détaillée aux § A2.2.3.2 à A2.2.3.5 de l'Annexe 2 de la Résolution UIT-R 1. </w:t>
      </w:r>
    </w:p>
    <w:p w:rsidR="00081D6E" w:rsidRPr="00081D6E" w:rsidRDefault="00081D6E" w:rsidP="00BE6EEC">
      <w:pPr>
        <w:pStyle w:val="Heading2"/>
        <w:spacing w:before="200" w:line="240" w:lineRule="auto"/>
        <w:jc w:val="left"/>
        <w:rPr>
          <w:lang w:val="fr-CH"/>
        </w:rPr>
      </w:pPr>
      <w:bookmarkStart w:id="233" w:name="_Toc521225207"/>
      <w:bookmarkStart w:id="234" w:name="_Toc5782489"/>
      <w:bookmarkStart w:id="235" w:name="_Toc7597327"/>
      <w:bookmarkStart w:id="236" w:name="_Toc78185176"/>
      <w:bookmarkStart w:id="237" w:name="_Toc78185345"/>
      <w:bookmarkStart w:id="238" w:name="_Toc125510182"/>
      <w:bookmarkStart w:id="239" w:name="_Toc213569510"/>
      <w:bookmarkStart w:id="240" w:name="_Toc213569572"/>
      <w:bookmarkStart w:id="241" w:name="_Toc213648018"/>
      <w:bookmarkStart w:id="242" w:name="_Toc213648267"/>
      <w:bookmarkStart w:id="243" w:name="_Toc355943764"/>
      <w:bookmarkStart w:id="244" w:name="_Toc449510493"/>
      <w:bookmarkStart w:id="245" w:name="_Toc449622599"/>
      <w:r w:rsidRPr="00081D6E">
        <w:rPr>
          <w:lang w:val="fr-CH"/>
        </w:rPr>
        <w:t>3.3</w:t>
      </w:r>
      <w:r w:rsidRPr="00081D6E">
        <w:rPr>
          <w:lang w:val="fr-CH"/>
        </w:rPr>
        <w:tab/>
        <w:t>Délais de soumission des contributions</w:t>
      </w:r>
      <w:bookmarkEnd w:id="233"/>
      <w:bookmarkEnd w:id="234"/>
      <w:bookmarkEnd w:id="235"/>
      <w:bookmarkEnd w:id="236"/>
      <w:bookmarkEnd w:id="237"/>
      <w:bookmarkEnd w:id="238"/>
      <w:bookmarkEnd w:id="239"/>
      <w:bookmarkEnd w:id="240"/>
      <w:bookmarkEnd w:id="241"/>
      <w:bookmarkEnd w:id="242"/>
      <w:bookmarkEnd w:id="243"/>
      <w:bookmarkEnd w:id="244"/>
      <w:bookmarkEnd w:id="245"/>
    </w:p>
    <w:p w:rsidR="00081D6E" w:rsidRPr="00081D6E" w:rsidRDefault="00081D6E" w:rsidP="00BE6EEC">
      <w:pPr>
        <w:spacing w:before="120" w:line="240" w:lineRule="auto"/>
        <w:jc w:val="left"/>
        <w:rPr>
          <w:lang w:val="fr-CH"/>
        </w:rPr>
      </w:pPr>
      <w:r w:rsidRPr="00081D6E">
        <w:rPr>
          <w:lang w:val="fr-CH"/>
        </w:rPr>
        <w:t>Les délais de soumission des contributions sont indiqués au § A2.2.3.1 de l'Annexe 2 de la Résolution UIT-R 1. Des délais spécifiques sont applicables dans le cas de la seconde session de la RPC (voir également le § 2.4 de l'Annexe 1 de la Résolution UIT-R 2).</w:t>
      </w:r>
    </w:p>
    <w:p w:rsidR="00081D6E" w:rsidRPr="00081D6E" w:rsidRDefault="00081D6E" w:rsidP="00BE6EEC">
      <w:pPr>
        <w:pStyle w:val="Heading2"/>
        <w:spacing w:before="200" w:line="240" w:lineRule="auto"/>
        <w:jc w:val="left"/>
        <w:rPr>
          <w:lang w:val="fr-CH"/>
        </w:rPr>
      </w:pPr>
      <w:bookmarkStart w:id="246" w:name="_Toc521225208"/>
      <w:bookmarkStart w:id="247" w:name="_Toc5782490"/>
      <w:bookmarkStart w:id="248" w:name="_Toc7597328"/>
      <w:bookmarkStart w:id="249" w:name="_Toc78185177"/>
      <w:bookmarkStart w:id="250" w:name="_Toc78185346"/>
      <w:bookmarkStart w:id="251" w:name="_Toc125510183"/>
      <w:bookmarkStart w:id="252" w:name="_Toc213648019"/>
      <w:bookmarkStart w:id="253" w:name="_Toc213648268"/>
      <w:bookmarkStart w:id="254" w:name="_Toc355943765"/>
      <w:bookmarkStart w:id="255" w:name="_Toc449510494"/>
      <w:bookmarkStart w:id="256" w:name="_Toc449622600"/>
      <w:r w:rsidRPr="00081D6E">
        <w:rPr>
          <w:lang w:val="fr-CH"/>
        </w:rPr>
        <w:t>3.4</w:t>
      </w:r>
      <w:r w:rsidRPr="00081D6E">
        <w:rPr>
          <w:lang w:val="fr-CH"/>
        </w:rPr>
        <w:tab/>
        <w:t>Publication sur le site web</w:t>
      </w:r>
      <w:bookmarkEnd w:id="246"/>
      <w:bookmarkEnd w:id="247"/>
      <w:bookmarkEnd w:id="248"/>
      <w:bookmarkEnd w:id="249"/>
      <w:bookmarkEnd w:id="250"/>
      <w:bookmarkEnd w:id="251"/>
      <w:bookmarkEnd w:id="252"/>
      <w:bookmarkEnd w:id="253"/>
      <w:bookmarkEnd w:id="254"/>
      <w:bookmarkEnd w:id="255"/>
      <w:bookmarkEnd w:id="256"/>
    </w:p>
    <w:p w:rsidR="00081D6E" w:rsidRPr="00081D6E" w:rsidRDefault="00081D6E" w:rsidP="00BE6EEC">
      <w:pPr>
        <w:spacing w:before="120" w:line="240" w:lineRule="auto"/>
        <w:jc w:val="left"/>
        <w:rPr>
          <w:lang w:val="fr-CH"/>
        </w:rPr>
      </w:pPr>
      <w:r w:rsidRPr="00081D6E">
        <w:rPr>
          <w:lang w:val="fr-CH"/>
        </w:rPr>
        <w:t>Les contributions sont publiées «telles qu'elles ont été reçues» sur une page web créée à cette fin dans un délai d'un jour ouvrable, et les versions officielles sont publiées dans un délai de trois jours ouvrables sur ce site web. Les administrations doivent utiliser le gabarit fourni par l'UIT-R pour soumettre leurs contributions.</w:t>
      </w:r>
    </w:p>
    <w:p w:rsidR="00081D6E" w:rsidRPr="00081D6E" w:rsidRDefault="00081D6E" w:rsidP="00BE6EEC">
      <w:pPr>
        <w:spacing w:before="120" w:line="240" w:lineRule="auto"/>
        <w:jc w:val="left"/>
        <w:rPr>
          <w:lang w:val="fr-CH"/>
        </w:rPr>
      </w:pPr>
      <w:r w:rsidRPr="00081D6E">
        <w:rPr>
          <w:lang w:val="fr-CH"/>
        </w:rPr>
        <w:t xml:space="preserve">Il est conseillé aux participants titulaires d'un compte TIES d'utiliser le «Système de notification du web de l'UIT» (aller à: </w:t>
      </w:r>
      <w:hyperlink r:id="rId28" w:history="1">
        <w:r w:rsidRPr="00081D6E">
          <w:rPr>
            <w:rStyle w:val="Hyperlink"/>
            <w:szCs w:val="24"/>
            <w:lang w:val="fr-CH"/>
          </w:rPr>
          <w:t>http://www.itu.int/online/mm/scripts/notify</w:t>
        </w:r>
      </w:hyperlink>
      <w:r w:rsidRPr="00081D6E">
        <w:rPr>
          <w:lang w:val="fr-CH"/>
        </w:rPr>
        <w:t>) qui les avertira immédiatement, par courrier électronique, lorsqu'une nouvelle lettre circulaire, est mise sur le site web de l'UIT</w:t>
      </w:r>
      <w:r w:rsidRPr="00081D6E">
        <w:rPr>
          <w:lang w:val="fr-CH"/>
        </w:rPr>
        <w:noBreakHyphen/>
        <w:t>R.</w:t>
      </w:r>
    </w:p>
    <w:p w:rsidR="00081D6E" w:rsidRPr="00081D6E" w:rsidRDefault="00081D6E" w:rsidP="00BE6EEC">
      <w:pPr>
        <w:pStyle w:val="Heading2"/>
        <w:spacing w:before="200" w:line="240" w:lineRule="auto"/>
        <w:jc w:val="left"/>
        <w:rPr>
          <w:lang w:val="fr-CH"/>
        </w:rPr>
      </w:pPr>
      <w:bookmarkStart w:id="257" w:name="_Toc521225209"/>
      <w:bookmarkStart w:id="258" w:name="_Toc5782491"/>
      <w:bookmarkStart w:id="259" w:name="_Toc7597329"/>
      <w:bookmarkStart w:id="260" w:name="_Toc78185178"/>
      <w:bookmarkStart w:id="261" w:name="_Toc78185347"/>
      <w:bookmarkStart w:id="262" w:name="_Toc125510184"/>
      <w:bookmarkStart w:id="263" w:name="_Toc213648020"/>
      <w:bookmarkStart w:id="264" w:name="_Toc213648269"/>
      <w:bookmarkStart w:id="265" w:name="_Toc355943766"/>
      <w:bookmarkStart w:id="266" w:name="_Toc449510495"/>
      <w:bookmarkStart w:id="267" w:name="_Toc449622601"/>
      <w:r w:rsidRPr="00081D6E">
        <w:rPr>
          <w:lang w:val="fr-CH"/>
        </w:rPr>
        <w:t>3.5</w:t>
      </w:r>
      <w:r w:rsidRPr="00081D6E">
        <w:rPr>
          <w:lang w:val="fr-CH"/>
        </w:rPr>
        <w:tab/>
        <w:t>Séries de documents</w:t>
      </w:r>
      <w:bookmarkEnd w:id="257"/>
      <w:bookmarkEnd w:id="258"/>
      <w:bookmarkEnd w:id="259"/>
      <w:bookmarkEnd w:id="260"/>
      <w:bookmarkEnd w:id="261"/>
      <w:bookmarkEnd w:id="262"/>
      <w:bookmarkEnd w:id="263"/>
      <w:bookmarkEnd w:id="264"/>
      <w:bookmarkEnd w:id="265"/>
      <w:bookmarkEnd w:id="266"/>
      <w:bookmarkEnd w:id="267"/>
    </w:p>
    <w:p w:rsidR="00081D6E" w:rsidRPr="00081D6E" w:rsidRDefault="00081D6E" w:rsidP="00BE6EEC">
      <w:pPr>
        <w:pStyle w:val="Heading3"/>
        <w:spacing w:before="200" w:line="240" w:lineRule="auto"/>
        <w:jc w:val="left"/>
        <w:rPr>
          <w:lang w:val="fr-CH"/>
        </w:rPr>
      </w:pPr>
      <w:bookmarkStart w:id="268" w:name="_Toc521225210"/>
      <w:bookmarkStart w:id="269" w:name="_Toc5782492"/>
      <w:bookmarkStart w:id="270" w:name="_Toc7597330"/>
      <w:bookmarkStart w:id="271" w:name="_Toc78185179"/>
      <w:bookmarkStart w:id="272" w:name="_Toc78185348"/>
      <w:bookmarkStart w:id="273" w:name="_Toc125510185"/>
      <w:bookmarkStart w:id="274" w:name="_Toc213648021"/>
      <w:bookmarkStart w:id="275" w:name="_Toc213648270"/>
      <w:bookmarkStart w:id="276" w:name="_Toc355943767"/>
      <w:bookmarkStart w:id="277" w:name="_Toc449510496"/>
      <w:bookmarkStart w:id="278" w:name="_Toc449622602"/>
      <w:r w:rsidRPr="00081D6E">
        <w:rPr>
          <w:lang w:val="fr-CH"/>
        </w:rPr>
        <w:t>3.5.1</w:t>
      </w:r>
      <w:r w:rsidRPr="00081D6E">
        <w:rPr>
          <w:lang w:val="fr-CH"/>
        </w:rPr>
        <w:tab/>
      </w:r>
      <w:bookmarkEnd w:id="268"/>
      <w:bookmarkEnd w:id="269"/>
      <w:bookmarkEnd w:id="270"/>
      <w:bookmarkEnd w:id="271"/>
      <w:bookmarkEnd w:id="272"/>
      <w:bookmarkEnd w:id="273"/>
      <w:bookmarkEnd w:id="274"/>
      <w:bookmarkEnd w:id="275"/>
      <w:r w:rsidRPr="00081D6E">
        <w:rPr>
          <w:lang w:val="fr-CH"/>
        </w:rPr>
        <w:t>Contributions</w:t>
      </w:r>
      <w:bookmarkEnd w:id="276"/>
      <w:bookmarkEnd w:id="277"/>
      <w:bookmarkEnd w:id="278"/>
    </w:p>
    <w:p w:rsidR="00081D6E" w:rsidRPr="00081D6E" w:rsidRDefault="00081D6E" w:rsidP="00BE6EEC">
      <w:pPr>
        <w:spacing w:before="120" w:line="240" w:lineRule="auto"/>
        <w:jc w:val="left"/>
        <w:rPr>
          <w:lang w:val="fr-CH"/>
        </w:rPr>
      </w:pPr>
      <w:r w:rsidRPr="00081D6E">
        <w:rPr>
          <w:lang w:val="fr-CH"/>
        </w:rPr>
        <w:t>Chaque groupe a sa propre série de contributions, qui sont mises en ligne sur sa page web. Cette série s'étend sur toute la période d'études, c'est-à-dire dans l'intervalle entre deux Assemblées des radiocommunications successives, et comprend toutes les contributions soumises à ce groupe ainsi que les rapports de son Président. Dans le cas de la RPC, la série recommence à chaque session. Après l'ouverture d'une réunion, des documents temporaires sont utilisés comme indiqué au § 3.5.2 ci-dessous. Les notes de liaison soumises après l'expira</w:t>
      </w:r>
      <w:r w:rsidR="00BE6EEC">
        <w:rPr>
          <w:lang w:val="fr-CH"/>
        </w:rPr>
        <w:t>tion du délai prévu au § 3.3 ci</w:t>
      </w:r>
      <w:r w:rsidR="00BE6EEC">
        <w:rPr>
          <w:lang w:val="fr-CH"/>
        </w:rPr>
        <w:noBreakHyphen/>
      </w:r>
      <w:r w:rsidRPr="00081D6E">
        <w:rPr>
          <w:lang w:val="fr-CH"/>
        </w:rPr>
        <w:t>dessus sont incluses dans la série des contributions du groupe concerné, comme peuvent l'être les rapports des Présidents des groupes ou d'une personne désignée par un groupe (par exemple, un Rapporteur), bien que tout doive être fait pour que les rapports en question soient soumis avant la date limite.</w:t>
      </w:r>
    </w:p>
    <w:p w:rsidR="00081D6E" w:rsidRPr="00081D6E" w:rsidRDefault="00081D6E" w:rsidP="00BE6EEC">
      <w:pPr>
        <w:spacing w:line="240" w:lineRule="auto"/>
        <w:jc w:val="left"/>
        <w:rPr>
          <w:lang w:val="fr-CH"/>
        </w:rPr>
      </w:pPr>
      <w:r w:rsidRPr="00081D6E">
        <w:rPr>
          <w:lang w:val="fr-CH"/>
        </w:rPr>
        <w:t>Les documents envoyés aux commissions d'études par les groupes de travail et les groupes d'action sont aussi acceptés après l'expiration du délai.</w:t>
      </w:r>
    </w:p>
    <w:p w:rsidR="00081D6E" w:rsidRPr="00081D6E" w:rsidRDefault="00081D6E" w:rsidP="00BE6EEC">
      <w:pPr>
        <w:pStyle w:val="Heading3"/>
        <w:spacing w:before="200" w:line="240" w:lineRule="auto"/>
        <w:jc w:val="left"/>
        <w:rPr>
          <w:lang w:val="fr-CH"/>
        </w:rPr>
      </w:pPr>
      <w:bookmarkStart w:id="279" w:name="_Toc521225211"/>
      <w:bookmarkStart w:id="280" w:name="_Toc5782493"/>
      <w:bookmarkStart w:id="281" w:name="_Toc7597331"/>
      <w:bookmarkStart w:id="282" w:name="_Toc78185180"/>
      <w:bookmarkStart w:id="283" w:name="_Toc78185349"/>
      <w:bookmarkStart w:id="284" w:name="_Toc125510186"/>
      <w:bookmarkStart w:id="285" w:name="_Toc213648022"/>
      <w:bookmarkStart w:id="286" w:name="_Toc213648271"/>
      <w:bookmarkStart w:id="287" w:name="_Toc355943768"/>
      <w:bookmarkStart w:id="288" w:name="_Toc449510497"/>
      <w:bookmarkStart w:id="289" w:name="_Toc449622603"/>
      <w:r w:rsidRPr="00081D6E">
        <w:rPr>
          <w:lang w:val="fr-CH"/>
        </w:rPr>
        <w:t>3.5.2</w:t>
      </w:r>
      <w:r w:rsidRPr="00081D6E">
        <w:rPr>
          <w:lang w:val="fr-CH"/>
        </w:rPr>
        <w:tab/>
        <w:t xml:space="preserve">Documents temporaires </w:t>
      </w:r>
      <w:bookmarkEnd w:id="279"/>
      <w:bookmarkEnd w:id="280"/>
      <w:bookmarkEnd w:id="281"/>
      <w:bookmarkEnd w:id="282"/>
      <w:bookmarkEnd w:id="283"/>
      <w:bookmarkEnd w:id="284"/>
      <w:r w:rsidRPr="00081D6E">
        <w:rPr>
          <w:lang w:val="fr-CH"/>
        </w:rPr>
        <w:t>(TEMP)</w:t>
      </w:r>
      <w:bookmarkEnd w:id="285"/>
      <w:bookmarkEnd w:id="286"/>
      <w:bookmarkEnd w:id="287"/>
      <w:bookmarkEnd w:id="288"/>
      <w:bookmarkEnd w:id="289"/>
    </w:p>
    <w:p w:rsidR="00081D6E" w:rsidRPr="00081D6E" w:rsidRDefault="00081D6E" w:rsidP="00BE6EEC">
      <w:pPr>
        <w:spacing w:line="240" w:lineRule="auto"/>
        <w:jc w:val="left"/>
        <w:rPr>
          <w:lang w:val="fr-CH"/>
        </w:rPr>
      </w:pPr>
      <w:r w:rsidRPr="00081D6E">
        <w:rPr>
          <w:lang w:val="fr-CH"/>
        </w:rPr>
        <w:t>Les documents établis au cours d'une réunion sont dénommés documents temporaires et publiés sur la page web du groupe concerné. Comme leur nom l'indique, il s'agit de documents de travail dans lesquels sont consignés les idées et les opinions exprimées pendant la réunion, et qui permettent d'établir les textes qui seront éventuellement adoptés par le groupe. A la fin de la réunion, les documents temporaires comportant des éléments à conserver sont utilisés pour l'élaboration des documents produits par la réunion, par exemple:</w:t>
      </w:r>
    </w:p>
    <w:p w:rsidR="00081D6E" w:rsidRPr="00081D6E" w:rsidRDefault="00081D6E" w:rsidP="00BE6EEC">
      <w:pPr>
        <w:pStyle w:val="enumlev1"/>
        <w:spacing w:line="240" w:lineRule="auto"/>
        <w:jc w:val="left"/>
        <w:rPr>
          <w:lang w:val="fr-CH"/>
        </w:rPr>
      </w:pPr>
      <w:r w:rsidRPr="00153967">
        <w:lastRenderedPageBreak/>
        <w:sym w:font="Symbol" w:char="F02D"/>
      </w:r>
      <w:r w:rsidRPr="00081D6E">
        <w:rPr>
          <w:lang w:val="fr-CH"/>
        </w:rPr>
        <w:tab/>
        <w:t xml:space="preserve">projets de Recommandation, Rapport, Question, nouveaux ou révisés, ou tout autre texte de l'UIT-R devant être ultérieurement soumis à l'attention de la commission d'études; </w:t>
      </w:r>
    </w:p>
    <w:p w:rsidR="00081D6E" w:rsidRPr="00081D6E" w:rsidRDefault="00081D6E" w:rsidP="00BE6EEC">
      <w:pPr>
        <w:pStyle w:val="enumlev1"/>
        <w:spacing w:line="240" w:lineRule="auto"/>
        <w:jc w:val="left"/>
        <w:rPr>
          <w:lang w:val="fr-CH"/>
        </w:rPr>
      </w:pPr>
      <w:r w:rsidRPr="00802BCC">
        <w:sym w:font="Symbol" w:char="F02D"/>
      </w:r>
      <w:r w:rsidRPr="00081D6E">
        <w:rPr>
          <w:lang w:val="fr-CH"/>
        </w:rPr>
        <w:tab/>
        <w:t>projets de modification de forme apportée aux Recommandations, aux Rapports, aux Questions ou à tout autre texte de l'UIT-R devant être soumis ultérieurement à la commission d'études;</w:t>
      </w:r>
    </w:p>
    <w:p w:rsidR="00081D6E" w:rsidRPr="00081D6E" w:rsidRDefault="00081D6E" w:rsidP="00BE6EEC">
      <w:pPr>
        <w:pStyle w:val="enumlev1"/>
        <w:spacing w:line="240" w:lineRule="auto"/>
        <w:jc w:val="left"/>
        <w:rPr>
          <w:lang w:val="fr-CH"/>
        </w:rPr>
      </w:pPr>
      <w:r w:rsidRPr="00153967">
        <w:sym w:font="Symbol" w:char="F02D"/>
      </w:r>
      <w:r w:rsidRPr="00081D6E">
        <w:rPr>
          <w:lang w:val="fr-CH"/>
        </w:rPr>
        <w:tab/>
        <w:t>avant-projets de Recommandation, Rapport, Question, nouveaux ou révisés, ou tout autre texte de l'UIT-R devant faire l'objet d'un examen complémentaire lors des réunions suivantes;</w:t>
      </w:r>
    </w:p>
    <w:p w:rsidR="00081D6E" w:rsidRPr="00081D6E" w:rsidRDefault="00081D6E" w:rsidP="00BE6EEC">
      <w:pPr>
        <w:pStyle w:val="enumlev1"/>
        <w:spacing w:line="240" w:lineRule="auto"/>
        <w:jc w:val="left"/>
        <w:rPr>
          <w:lang w:val="fr-CH"/>
        </w:rPr>
      </w:pPr>
      <w:r w:rsidRPr="00153967">
        <w:sym w:font="Symbol" w:char="F02D"/>
      </w:r>
      <w:r w:rsidRPr="00081D6E">
        <w:rPr>
          <w:lang w:val="fr-CH"/>
        </w:rPr>
        <w:tab/>
        <w:t>ressources ou documents de travail concernant les textes préliminaires ci-dessus devant faire l'objet d'un examen complémentaire lors des réunions suivantes;</w:t>
      </w:r>
    </w:p>
    <w:p w:rsidR="00081D6E" w:rsidRPr="00081D6E" w:rsidRDefault="00081D6E" w:rsidP="00BE6EEC">
      <w:pPr>
        <w:pStyle w:val="enumlev1"/>
        <w:keepNext/>
        <w:keepLines/>
        <w:spacing w:line="240" w:lineRule="auto"/>
        <w:jc w:val="left"/>
        <w:rPr>
          <w:lang w:val="fr-CH"/>
        </w:rPr>
      </w:pPr>
      <w:r w:rsidRPr="00802BCC">
        <w:sym w:font="Symbol" w:char="F02D"/>
      </w:r>
      <w:r w:rsidRPr="00081D6E">
        <w:rPr>
          <w:lang w:val="fr-CH"/>
        </w:rPr>
        <w:tab/>
        <w:t>autres éléments à faire figurer dans le rapport du Président;</w:t>
      </w:r>
    </w:p>
    <w:p w:rsidR="00081D6E" w:rsidRPr="00081D6E" w:rsidRDefault="00BE6EEC" w:rsidP="00BE6EEC">
      <w:pPr>
        <w:pStyle w:val="enumlev1"/>
        <w:keepNext/>
        <w:keepLines/>
        <w:spacing w:line="240" w:lineRule="auto"/>
        <w:jc w:val="left"/>
        <w:rPr>
          <w:lang w:val="fr-CH"/>
        </w:rPr>
      </w:pPr>
      <w:r w:rsidRPr="00153967">
        <w:sym w:font="Symbol" w:char="F02D"/>
      </w:r>
      <w:r w:rsidRPr="00081D6E">
        <w:rPr>
          <w:lang w:val="fr-CH"/>
        </w:rPr>
        <w:tab/>
      </w:r>
      <w:r w:rsidR="00081D6E" w:rsidRPr="00081D6E">
        <w:rPr>
          <w:lang w:val="fr-CH"/>
        </w:rPr>
        <w:t>notes de liaison concernant d'autres commissions d'études.</w:t>
      </w:r>
    </w:p>
    <w:p w:rsidR="00081D6E" w:rsidRPr="00081D6E" w:rsidRDefault="00081D6E" w:rsidP="00BE6EEC">
      <w:pPr>
        <w:spacing w:before="120" w:line="240" w:lineRule="auto"/>
        <w:jc w:val="left"/>
        <w:rPr>
          <w:lang w:val="fr-CH"/>
        </w:rPr>
      </w:pPr>
      <w:r w:rsidRPr="00081D6E">
        <w:rPr>
          <w:lang w:val="fr-CH"/>
        </w:rPr>
        <w:t>Une fois prêts et mis à disposition sur le site web de l'UIT-R, c'est</w:t>
      </w:r>
      <w:r w:rsidR="00BE6EEC">
        <w:rPr>
          <w:lang w:val="fr-CH"/>
        </w:rPr>
        <w:t xml:space="preserve"> à ces documents qu'il convient </w:t>
      </w:r>
      <w:r w:rsidRPr="00081D6E">
        <w:rPr>
          <w:lang w:val="fr-CH"/>
        </w:rPr>
        <w:t>de faire référence ultérieurement et non aux documents temporaires originaux (voir aussi le § 2.4.4.2 ci-dessus) et ce, pour une raison importante: il s'agit de faire en sorte que la version d'un texte renvoyé pour complément d'étude soit toujours la version la plus récente – car on y trouve souvent des modifications par rapport au document temporaire d'origine. Voir, à cet égard, le § 3.5.6 ci</w:t>
      </w:r>
      <w:r w:rsidRPr="00081D6E">
        <w:rPr>
          <w:lang w:val="fr-CH"/>
        </w:rPr>
        <w:noBreakHyphen/>
        <w:t xml:space="preserve">après, concernant les annexes des rapports des Présidents. </w:t>
      </w:r>
    </w:p>
    <w:p w:rsidR="00081D6E" w:rsidRPr="00081D6E" w:rsidRDefault="00081D6E" w:rsidP="00BE6EEC">
      <w:pPr>
        <w:pStyle w:val="Heading3"/>
        <w:spacing w:before="200" w:line="240" w:lineRule="auto"/>
        <w:jc w:val="left"/>
        <w:rPr>
          <w:lang w:val="fr-CH"/>
        </w:rPr>
      </w:pPr>
      <w:bookmarkStart w:id="290" w:name="_Toc78185181"/>
      <w:bookmarkStart w:id="291" w:name="_Toc78185350"/>
      <w:bookmarkStart w:id="292" w:name="_Toc125510187"/>
      <w:bookmarkStart w:id="293" w:name="_Toc213648023"/>
      <w:bookmarkStart w:id="294" w:name="_Toc213648272"/>
      <w:bookmarkStart w:id="295" w:name="_Toc355943769"/>
      <w:bookmarkStart w:id="296" w:name="_Toc449510498"/>
      <w:bookmarkStart w:id="297" w:name="_Toc449622604"/>
      <w:r w:rsidRPr="00081D6E">
        <w:rPr>
          <w:lang w:val="fr-CH"/>
        </w:rPr>
        <w:t>3.5.3</w:t>
      </w:r>
      <w:r w:rsidRPr="00081D6E">
        <w:rPr>
          <w:lang w:val="fr-CH"/>
        </w:rPr>
        <w:tab/>
        <w:t>Documents administratifs</w:t>
      </w:r>
      <w:bookmarkEnd w:id="290"/>
      <w:bookmarkEnd w:id="291"/>
      <w:bookmarkEnd w:id="292"/>
      <w:r w:rsidRPr="00081D6E">
        <w:rPr>
          <w:lang w:val="fr-CH"/>
        </w:rPr>
        <w:t xml:space="preserve"> (ADM)</w:t>
      </w:r>
      <w:bookmarkEnd w:id="293"/>
      <w:bookmarkEnd w:id="294"/>
      <w:bookmarkEnd w:id="295"/>
      <w:bookmarkEnd w:id="296"/>
      <w:bookmarkEnd w:id="297"/>
    </w:p>
    <w:p w:rsidR="00081D6E" w:rsidRPr="00081D6E" w:rsidRDefault="00081D6E" w:rsidP="00BE6EEC">
      <w:pPr>
        <w:spacing w:before="120" w:line="240" w:lineRule="auto"/>
        <w:jc w:val="left"/>
        <w:rPr>
          <w:lang w:val="fr-CH"/>
        </w:rPr>
      </w:pPr>
      <w:r w:rsidRPr="00081D6E">
        <w:rPr>
          <w:lang w:val="fr-CH"/>
        </w:rPr>
        <w:t>Les documents de cette série sont utilisés pour les ordres du jour et les questions liées à la gestion et à l'organisation des travaux d'un ou de plusieurs groupes, par exemple, le mandat des sous</w:t>
      </w:r>
      <w:r w:rsidRPr="00081D6E">
        <w:rPr>
          <w:lang w:val="fr-CH"/>
        </w:rPr>
        <w:noBreakHyphen/>
        <w:t>groupes, le calendrier des réunions, etc.</w:t>
      </w:r>
    </w:p>
    <w:p w:rsidR="00081D6E" w:rsidRPr="00081D6E" w:rsidRDefault="00081D6E" w:rsidP="00BE6EEC">
      <w:pPr>
        <w:pStyle w:val="Heading3"/>
        <w:spacing w:before="200" w:line="240" w:lineRule="auto"/>
        <w:jc w:val="left"/>
        <w:rPr>
          <w:lang w:val="fr-CH"/>
        </w:rPr>
      </w:pPr>
      <w:bookmarkStart w:id="298" w:name="_Toc125510188"/>
      <w:bookmarkStart w:id="299" w:name="_Toc213648024"/>
      <w:bookmarkStart w:id="300" w:name="_Toc213648273"/>
      <w:bookmarkStart w:id="301" w:name="_Toc355943770"/>
      <w:bookmarkStart w:id="302" w:name="_Toc449510499"/>
      <w:bookmarkStart w:id="303" w:name="_Toc449622605"/>
      <w:r w:rsidRPr="00081D6E">
        <w:rPr>
          <w:lang w:val="fr-CH"/>
        </w:rPr>
        <w:t>3.5.4</w:t>
      </w:r>
      <w:r w:rsidRPr="00081D6E">
        <w:rPr>
          <w:lang w:val="fr-CH"/>
        </w:rPr>
        <w:tab/>
        <w:t>Documents d'information (INFO)</w:t>
      </w:r>
      <w:bookmarkEnd w:id="298"/>
      <w:bookmarkEnd w:id="299"/>
      <w:bookmarkEnd w:id="300"/>
      <w:bookmarkEnd w:id="301"/>
      <w:bookmarkEnd w:id="302"/>
      <w:bookmarkEnd w:id="303"/>
    </w:p>
    <w:p w:rsidR="00081D6E" w:rsidRPr="00081D6E" w:rsidRDefault="00081D6E" w:rsidP="00BE6EEC">
      <w:pPr>
        <w:spacing w:before="120" w:line="240" w:lineRule="auto"/>
        <w:jc w:val="left"/>
        <w:rPr>
          <w:lang w:val="fr-CH"/>
        </w:rPr>
      </w:pPr>
      <w:r w:rsidRPr="00081D6E">
        <w:rPr>
          <w:lang w:val="fr-CH"/>
        </w:rPr>
        <w:t xml:space="preserve">Les documents d'information donnent des informations générales sur une réunion (ou des réunions) en cours. Comme indiqué au § 2.4.4, on peut y trouver des renseignements sur les questions d'organisation, par exemple l'élaboration des documents, la réservation des salles, mais aussi des informations locales ou sociales à l'intention des délégués. Il est à noter que les documents INFO ne doivent </w:t>
      </w:r>
      <w:r w:rsidRPr="00081D6E">
        <w:rPr>
          <w:u w:val="single"/>
          <w:lang w:val="fr-CH"/>
        </w:rPr>
        <w:t>pas</w:t>
      </w:r>
      <w:r w:rsidRPr="00081D6E">
        <w:rPr>
          <w:lang w:val="fr-CH"/>
        </w:rPr>
        <w:t xml:space="preserve"> être utilisés pour communiquer des informations sur des questions techniques, de procédure ou de fonctionnement associées à la réunion ou aux réunions concernées.</w:t>
      </w:r>
    </w:p>
    <w:p w:rsidR="00081D6E" w:rsidRPr="00081D6E" w:rsidRDefault="00081D6E" w:rsidP="00BE6EEC">
      <w:pPr>
        <w:pStyle w:val="Heading3"/>
        <w:spacing w:before="200" w:line="240" w:lineRule="auto"/>
        <w:jc w:val="left"/>
        <w:rPr>
          <w:lang w:val="fr-CH"/>
        </w:rPr>
      </w:pPr>
      <w:bookmarkStart w:id="304" w:name="_Toc521225212"/>
      <w:bookmarkStart w:id="305" w:name="_Toc5782494"/>
      <w:bookmarkStart w:id="306" w:name="_Toc7597332"/>
      <w:bookmarkStart w:id="307" w:name="_Toc78185182"/>
      <w:bookmarkStart w:id="308" w:name="_Toc78185351"/>
      <w:bookmarkStart w:id="309" w:name="_Toc125510189"/>
      <w:bookmarkStart w:id="310" w:name="_Toc213648025"/>
      <w:bookmarkStart w:id="311" w:name="_Toc213648274"/>
      <w:bookmarkStart w:id="312" w:name="_Toc355943771"/>
      <w:bookmarkStart w:id="313" w:name="_Toc449510500"/>
      <w:bookmarkStart w:id="314" w:name="_Toc449622606"/>
      <w:r w:rsidRPr="00081D6E">
        <w:rPr>
          <w:lang w:val="fr-CH"/>
        </w:rPr>
        <w:t>3.5.5</w:t>
      </w:r>
      <w:r w:rsidRPr="00081D6E">
        <w:rPr>
          <w:lang w:val="fr-CH"/>
        </w:rPr>
        <w:tab/>
        <w:t>Rapport de synthèse à la commission d'études</w:t>
      </w:r>
      <w:bookmarkEnd w:id="304"/>
      <w:bookmarkEnd w:id="305"/>
      <w:bookmarkEnd w:id="306"/>
      <w:bookmarkEnd w:id="307"/>
      <w:bookmarkEnd w:id="308"/>
      <w:bookmarkEnd w:id="309"/>
      <w:bookmarkEnd w:id="310"/>
      <w:bookmarkEnd w:id="311"/>
      <w:bookmarkEnd w:id="312"/>
      <w:bookmarkEnd w:id="313"/>
      <w:bookmarkEnd w:id="314"/>
    </w:p>
    <w:p w:rsidR="00081D6E" w:rsidRPr="00081D6E" w:rsidRDefault="00081D6E" w:rsidP="00BE6EEC">
      <w:pPr>
        <w:spacing w:before="120" w:line="240" w:lineRule="auto"/>
        <w:jc w:val="left"/>
        <w:rPr>
          <w:lang w:val="fr-CH"/>
        </w:rPr>
      </w:pPr>
      <w:r w:rsidRPr="00081D6E">
        <w:rPr>
          <w:lang w:val="fr-CH"/>
        </w:rPr>
        <w:t>Chaque groupe de travail et groupe d'action établit à l'intention de la réunion suivante de la commission d'études dont il relève un rapport de synthèse qui fait partie de la série des contributions de cette commission d'études. Le rapport de synthèse doit indiquer l'état d'avancement du travail du groupe et faire état des progrès réalisés, ainsi que des conclusions qui se sont dégagées depuis la réunion précédente. Il doit être concis (en règle générale, ne pas dépasser cinq pages) et ne doit pas comporter de détails sur les documents, les arrangements et les délibérations des réunions du groupe subordonné.</w:t>
      </w:r>
    </w:p>
    <w:p w:rsidR="00BE6EEC" w:rsidRDefault="00BE6EEC" w:rsidP="00BE6EEC">
      <w:pPr>
        <w:pStyle w:val="Heading3"/>
        <w:spacing w:before="200" w:line="240" w:lineRule="auto"/>
        <w:jc w:val="left"/>
        <w:rPr>
          <w:lang w:val="fr-CH"/>
        </w:rPr>
      </w:pPr>
      <w:bookmarkStart w:id="315" w:name="_Toc521225213"/>
      <w:bookmarkStart w:id="316" w:name="_Toc5782495"/>
      <w:bookmarkStart w:id="317" w:name="_Toc7597333"/>
      <w:bookmarkStart w:id="318" w:name="_Toc78185183"/>
      <w:bookmarkStart w:id="319" w:name="_Toc78185352"/>
      <w:bookmarkStart w:id="320" w:name="_Toc125510190"/>
      <w:bookmarkStart w:id="321" w:name="_Toc213648026"/>
      <w:bookmarkStart w:id="322" w:name="_Toc213648275"/>
      <w:bookmarkStart w:id="323" w:name="_Toc355943772"/>
      <w:bookmarkStart w:id="324" w:name="_Toc449510501"/>
      <w:bookmarkStart w:id="325" w:name="_Toc449622607"/>
      <w:r>
        <w:rPr>
          <w:lang w:val="fr-CH"/>
        </w:rPr>
        <w:br w:type="page"/>
      </w:r>
    </w:p>
    <w:p w:rsidR="00081D6E" w:rsidRPr="00081D6E" w:rsidRDefault="00081D6E" w:rsidP="00BE6EEC">
      <w:pPr>
        <w:pStyle w:val="Heading3"/>
        <w:spacing w:before="200" w:line="240" w:lineRule="auto"/>
        <w:jc w:val="left"/>
        <w:rPr>
          <w:lang w:val="fr-CH"/>
        </w:rPr>
      </w:pPr>
      <w:r w:rsidRPr="00081D6E">
        <w:rPr>
          <w:lang w:val="fr-CH"/>
        </w:rPr>
        <w:lastRenderedPageBreak/>
        <w:t>3.5.6</w:t>
      </w:r>
      <w:r w:rsidRPr="00081D6E">
        <w:rPr>
          <w:lang w:val="fr-CH"/>
        </w:rPr>
        <w:tab/>
        <w:t xml:space="preserve">Rapport du Président à la réunion suivante </w:t>
      </w:r>
      <w:bookmarkEnd w:id="315"/>
      <w:bookmarkEnd w:id="316"/>
      <w:bookmarkEnd w:id="317"/>
      <w:bookmarkEnd w:id="318"/>
      <w:bookmarkEnd w:id="319"/>
      <w:bookmarkEnd w:id="320"/>
      <w:bookmarkEnd w:id="321"/>
      <w:bookmarkEnd w:id="322"/>
      <w:r w:rsidRPr="00081D6E">
        <w:rPr>
          <w:lang w:val="fr-CH"/>
        </w:rPr>
        <w:t>du groupe</w:t>
      </w:r>
      <w:bookmarkEnd w:id="323"/>
      <w:bookmarkEnd w:id="324"/>
      <w:bookmarkEnd w:id="325"/>
    </w:p>
    <w:p w:rsidR="00081D6E" w:rsidRPr="00081D6E" w:rsidRDefault="00081D6E" w:rsidP="00BE6EEC">
      <w:pPr>
        <w:spacing w:before="120" w:line="240" w:lineRule="auto"/>
        <w:jc w:val="left"/>
        <w:rPr>
          <w:lang w:val="fr-CH"/>
        </w:rPr>
      </w:pPr>
      <w:r w:rsidRPr="00081D6E">
        <w:rPr>
          <w:lang w:val="fr-CH"/>
        </w:rPr>
        <w:t>Le rapport du Président de la commission d'études à la réunion suivante est un document qui fait partie de la série des contributions du groupe. Il doit être remis au BR pour être posté sur le site web de l'UIT-R dans un délai d'un mois à compter de la fin de la réunion. Outre un état détaillé des travaux réalisés par le groupe, le rapport du Président comprend un certain nombre d'annexes rassemblant des éléments devant être examinés à la réunion suivante (par exemple, projets de nouvelle Recommandation) et des informations permettant de garder une trace durable des activités du groupe. On évitera d'y annexer des contributions non modifiées et on fera référence à ces contributions en indiquant la page web pertinente de l'UIT</w:t>
      </w:r>
      <w:r w:rsidRPr="00081D6E">
        <w:rPr>
          <w:lang w:val="fr-CH"/>
        </w:rPr>
        <w:noBreakHyphen/>
        <w:t>R.</w:t>
      </w:r>
    </w:p>
    <w:p w:rsidR="00081D6E" w:rsidRPr="00081D6E" w:rsidRDefault="00081D6E" w:rsidP="00BE6EEC">
      <w:pPr>
        <w:spacing w:before="120" w:line="240" w:lineRule="auto"/>
        <w:jc w:val="left"/>
        <w:rPr>
          <w:lang w:val="fr-CH"/>
        </w:rPr>
      </w:pPr>
      <w:r w:rsidRPr="00081D6E">
        <w:rPr>
          <w:lang w:val="fr-CH"/>
        </w:rPr>
        <w:t>Il conviendrait que le rapport du Président soit élaboré, si possible, dans le mois qui suit la fin de la réunion concernée. Le BR doit publier les «Annexes du rapport du Président» sur le site web de l'UIT</w:t>
      </w:r>
      <w:r w:rsidRPr="00081D6E">
        <w:rPr>
          <w:lang w:val="fr-CH"/>
        </w:rPr>
        <w:noBreakHyphen/>
        <w:t>R dans les deux semaines qui suivent la fin de la réunion. Ces annexes sont publiées sur le web séparément, pour permettre un téléchargement sélectif.</w:t>
      </w:r>
    </w:p>
    <w:p w:rsidR="00081D6E" w:rsidRPr="00081D6E" w:rsidRDefault="00081D6E" w:rsidP="00BE6EEC">
      <w:pPr>
        <w:spacing w:before="120" w:line="240" w:lineRule="auto"/>
        <w:jc w:val="left"/>
        <w:rPr>
          <w:lang w:val="fr-CH"/>
        </w:rPr>
      </w:pPr>
      <w:r w:rsidRPr="00081D6E">
        <w:rPr>
          <w:lang w:val="fr-CH"/>
        </w:rPr>
        <w:t>Le Président peut souhaiter mettre à jour son rapport au moyen d'un addendum avant la réunion suivante du groupe, qui rend compte des progrès accomplis dans l'intervalle. Pour toute autre question soulevée ou fait important survenu depuis la réunion précédente, le Président doit élaborer une contribution séparée.</w:t>
      </w:r>
    </w:p>
    <w:p w:rsidR="00081D6E" w:rsidRPr="00081D6E" w:rsidRDefault="00081D6E" w:rsidP="00BE6EEC">
      <w:pPr>
        <w:pStyle w:val="Heading3"/>
        <w:spacing w:before="200" w:line="240" w:lineRule="auto"/>
        <w:jc w:val="left"/>
        <w:rPr>
          <w:lang w:val="fr-CH"/>
        </w:rPr>
      </w:pPr>
      <w:bookmarkStart w:id="326" w:name="_Toc213648027"/>
      <w:bookmarkStart w:id="327" w:name="_Toc213648276"/>
      <w:bookmarkStart w:id="328" w:name="_Toc355943773"/>
      <w:bookmarkStart w:id="329" w:name="_Toc449510502"/>
      <w:bookmarkStart w:id="330" w:name="_Toc449622608"/>
      <w:bookmarkStart w:id="331" w:name="_Toc521225214"/>
      <w:bookmarkStart w:id="332" w:name="_Toc5782496"/>
      <w:bookmarkStart w:id="333" w:name="_Toc7597334"/>
      <w:bookmarkStart w:id="334" w:name="_Toc78185184"/>
      <w:bookmarkStart w:id="335" w:name="_Toc78185353"/>
      <w:bookmarkStart w:id="336" w:name="_Toc125510191"/>
      <w:r w:rsidRPr="00081D6E">
        <w:rPr>
          <w:lang w:val="fr-CH"/>
        </w:rPr>
        <w:t>3.5.7</w:t>
      </w:r>
      <w:r w:rsidRPr="00081D6E">
        <w:rPr>
          <w:lang w:val="fr-CH"/>
        </w:rPr>
        <w:tab/>
        <w:t>Comptes rendus des réunions des commissions d'études</w:t>
      </w:r>
      <w:bookmarkEnd w:id="326"/>
      <w:bookmarkEnd w:id="327"/>
      <w:bookmarkEnd w:id="328"/>
      <w:bookmarkEnd w:id="329"/>
      <w:bookmarkEnd w:id="330"/>
    </w:p>
    <w:p w:rsidR="00081D6E" w:rsidRPr="00081D6E" w:rsidRDefault="00081D6E" w:rsidP="00BE6EEC">
      <w:pPr>
        <w:spacing w:line="240" w:lineRule="auto"/>
        <w:jc w:val="left"/>
        <w:rPr>
          <w:lang w:val="fr-CH"/>
        </w:rPr>
      </w:pPr>
      <w:r w:rsidRPr="00081D6E">
        <w:rPr>
          <w:lang w:val="fr-CH"/>
        </w:rPr>
        <w:t>A l'issue de chaque réunion de commission d'études, un compte rendu est établi par le Président, avec l'aide d'un Rapporteur désigné parmi les délégués présents à la réunion. L'objectif principal du compte rendu est de consigner les décisions prises pendant la réunion, et non de retranscrire textuellement chaque intervention. Le compte rendu doit être établi dans les 30 jours suivant la réunion et posté sur le site web de l'UIT</w:t>
      </w:r>
      <w:r w:rsidRPr="00081D6E">
        <w:rPr>
          <w:lang w:val="fr-CH"/>
        </w:rPr>
        <w:noBreakHyphen/>
        <w:t>R pour commentaires. Ce document fait partie de la série des contributions de la commission d'études. Il peut également contenir des annexes/addenda établis suite aux débats (par exemple, déclaration d'un représentant d'un Etat Membre) ou à partir de documents temporaires élaborés au cours d'une réunion, le cas échéant.</w:t>
      </w:r>
    </w:p>
    <w:p w:rsidR="00081D6E" w:rsidRPr="00081D6E" w:rsidRDefault="00081D6E" w:rsidP="00BE6EEC">
      <w:pPr>
        <w:spacing w:before="120" w:line="240" w:lineRule="auto"/>
        <w:jc w:val="left"/>
        <w:rPr>
          <w:lang w:val="fr-CH"/>
        </w:rPr>
      </w:pPr>
      <w:r w:rsidRPr="00081D6E">
        <w:rPr>
          <w:lang w:val="fr-CH"/>
        </w:rPr>
        <w:t>Les modifications de forme et la confirmation des interventions faites par les membres durant la réunion pourraient dans l'idéal être soumises au Président dans un délai de 15 jours. Toutefois, le compte rendu restera susceptible de commentaires formels des membres jusqu'à la réunion suivante de la commission d'études concernée, qui en prendra note, ainsi que des commentaires formulés.</w:t>
      </w:r>
    </w:p>
    <w:p w:rsidR="00081D6E" w:rsidRPr="00081D6E" w:rsidRDefault="00081D6E" w:rsidP="00BE6EEC">
      <w:pPr>
        <w:pStyle w:val="Heading3"/>
        <w:spacing w:before="200" w:line="240" w:lineRule="auto"/>
        <w:jc w:val="left"/>
        <w:rPr>
          <w:lang w:val="fr-CH"/>
        </w:rPr>
      </w:pPr>
      <w:bookmarkStart w:id="337" w:name="_Toc213648028"/>
      <w:bookmarkStart w:id="338" w:name="_Toc213648277"/>
      <w:bookmarkStart w:id="339" w:name="_Toc355943774"/>
      <w:bookmarkStart w:id="340" w:name="_Toc449510503"/>
      <w:bookmarkStart w:id="341" w:name="_Toc449622609"/>
      <w:r w:rsidRPr="00081D6E">
        <w:rPr>
          <w:lang w:val="fr-CH"/>
        </w:rPr>
        <w:t>3.5.8</w:t>
      </w:r>
      <w:r w:rsidRPr="00081D6E">
        <w:rPr>
          <w:lang w:val="fr-CH"/>
        </w:rPr>
        <w:tab/>
        <w:t>Notes de liaison</w:t>
      </w:r>
      <w:bookmarkEnd w:id="331"/>
      <w:bookmarkEnd w:id="332"/>
      <w:bookmarkEnd w:id="333"/>
      <w:bookmarkEnd w:id="334"/>
      <w:bookmarkEnd w:id="335"/>
      <w:bookmarkEnd w:id="336"/>
      <w:bookmarkEnd w:id="337"/>
      <w:bookmarkEnd w:id="338"/>
      <w:bookmarkEnd w:id="339"/>
      <w:bookmarkEnd w:id="340"/>
      <w:bookmarkEnd w:id="341"/>
    </w:p>
    <w:p w:rsidR="00081D6E" w:rsidRPr="00081D6E" w:rsidRDefault="00081D6E" w:rsidP="00BE6EEC">
      <w:pPr>
        <w:spacing w:before="120" w:line="240" w:lineRule="auto"/>
        <w:jc w:val="left"/>
        <w:rPr>
          <w:lang w:val="fr-CH"/>
        </w:rPr>
      </w:pPr>
      <w:r w:rsidRPr="00081D6E">
        <w:rPr>
          <w:lang w:val="fr-CH"/>
        </w:rPr>
        <w:t>Des notes de liaison peuvent être élaborées en vue de communiquer des informations importantes ou de demander des renseignements à d'autres groupes de l'UIT ou à des groupes extérieurs à l'UIT. On doit indiquer clairement le groupe</w:t>
      </w:r>
      <w:r w:rsidRPr="00081D6E">
        <w:rPr>
          <w:lang w:val="fr-CH" w:eastAsia="ko-KR"/>
        </w:rPr>
        <w:t xml:space="preserve"> </w:t>
      </w:r>
      <w:r w:rsidRPr="00081D6E">
        <w:rPr>
          <w:lang w:val="fr-CH"/>
        </w:rPr>
        <w:t>d'origine et le groupe de destination, l'objet de la note de liaison et les mesures éventuelles requises. En cas de notes de liaison à destinataires multiples, il est utile d'indiquer, le cas échéant: i) le groupe destinataire «principal»; ii) les groupes devant donner suite; et iii) les groupes auxquels le document est envoyé uniquement à titre d'information. Il faudrait aussi préciser la date à laquelle doit parvenir la réponse du (des) groupe(s) d'études destinataire(s), et désigner un point de contact pour toute discussion informelle.</w:t>
      </w:r>
    </w:p>
    <w:p w:rsidR="00081D6E" w:rsidRPr="00081D6E" w:rsidRDefault="00081D6E" w:rsidP="00BE6EEC">
      <w:pPr>
        <w:pStyle w:val="Heading3"/>
        <w:spacing w:before="200" w:line="240" w:lineRule="auto"/>
        <w:jc w:val="left"/>
        <w:rPr>
          <w:lang w:val="fr-CH"/>
        </w:rPr>
      </w:pPr>
      <w:bookmarkStart w:id="342" w:name="_Toc521225216"/>
      <w:bookmarkStart w:id="343" w:name="_Toc5782498"/>
      <w:bookmarkStart w:id="344" w:name="_Toc7597336"/>
      <w:bookmarkStart w:id="345" w:name="_Toc78185186"/>
      <w:bookmarkStart w:id="346" w:name="_Toc78185355"/>
      <w:bookmarkStart w:id="347" w:name="_Toc125510193"/>
      <w:bookmarkStart w:id="348" w:name="_Toc213648030"/>
      <w:bookmarkStart w:id="349" w:name="_Toc213648279"/>
      <w:bookmarkStart w:id="350" w:name="_Toc355943776"/>
      <w:bookmarkStart w:id="351" w:name="_Toc449510504"/>
      <w:bookmarkStart w:id="352" w:name="_Toc449622610"/>
      <w:r w:rsidRPr="00081D6E">
        <w:rPr>
          <w:lang w:val="fr-CH"/>
        </w:rPr>
        <w:lastRenderedPageBreak/>
        <w:t>3.5.9</w:t>
      </w:r>
      <w:r w:rsidRPr="00081D6E">
        <w:rPr>
          <w:lang w:val="fr-CH"/>
        </w:rPr>
        <w:tab/>
        <w:t xml:space="preserve">Documents </w:t>
      </w:r>
      <w:bookmarkEnd w:id="342"/>
      <w:bookmarkEnd w:id="343"/>
      <w:bookmarkEnd w:id="344"/>
      <w:bookmarkEnd w:id="345"/>
      <w:bookmarkEnd w:id="346"/>
      <w:bookmarkEnd w:id="347"/>
      <w:bookmarkEnd w:id="348"/>
      <w:bookmarkEnd w:id="349"/>
      <w:bookmarkEnd w:id="350"/>
      <w:r w:rsidRPr="00081D6E">
        <w:rPr>
          <w:lang w:val="fr-CH"/>
        </w:rPr>
        <w:t>des Commissions d'études de la série 1000</w:t>
      </w:r>
      <w:bookmarkEnd w:id="351"/>
      <w:bookmarkEnd w:id="352"/>
    </w:p>
    <w:p w:rsidR="00081D6E" w:rsidRPr="00081D6E" w:rsidRDefault="00081D6E" w:rsidP="00BE6EEC">
      <w:pPr>
        <w:spacing w:before="120" w:line="240" w:lineRule="auto"/>
        <w:jc w:val="left"/>
        <w:rPr>
          <w:lang w:val="fr-CH"/>
        </w:rPr>
      </w:pPr>
      <w:r w:rsidRPr="00081D6E">
        <w:rPr>
          <w:lang w:val="fr-CH"/>
        </w:rPr>
        <w:t xml:space="preserve">Les documents de cette série sont des contributions des </w:t>
      </w:r>
      <w:r w:rsidRPr="00081D6E">
        <w:rPr>
          <w:u w:val="single"/>
          <w:lang w:val="fr-CH"/>
        </w:rPr>
        <w:t>Commissions d'études ou des Présidents de Commission d'études</w:t>
      </w:r>
      <w:r w:rsidRPr="00081D6E">
        <w:rPr>
          <w:lang w:val="fr-CH"/>
        </w:rPr>
        <w:t xml:space="preserve"> à l'Assemblée des radiocommunications. On y trouve généralement des projets de Recommandation et des projets de Question soumis pour approbation, ainsi que les projets de Résolution UIT</w:t>
      </w:r>
      <w:r w:rsidRPr="00081D6E">
        <w:rPr>
          <w:lang w:val="fr-CH"/>
        </w:rPr>
        <w:noBreakHyphen/>
        <w:t xml:space="preserve">R associées aux travaux spécifiques d'une commission d'études. </w:t>
      </w:r>
    </w:p>
    <w:p w:rsidR="00081D6E" w:rsidRPr="00081D6E" w:rsidRDefault="00081D6E" w:rsidP="00BE6EEC">
      <w:pPr>
        <w:pStyle w:val="Heading3"/>
        <w:spacing w:before="200" w:line="240" w:lineRule="auto"/>
        <w:jc w:val="left"/>
        <w:rPr>
          <w:lang w:val="fr-CH"/>
        </w:rPr>
      </w:pPr>
      <w:bookmarkStart w:id="353" w:name="_Toc521225217"/>
      <w:bookmarkStart w:id="354" w:name="_Toc5782499"/>
      <w:bookmarkStart w:id="355" w:name="_Toc7597337"/>
      <w:bookmarkStart w:id="356" w:name="_Toc78185187"/>
      <w:bookmarkStart w:id="357" w:name="_Toc78185356"/>
      <w:bookmarkStart w:id="358" w:name="_Toc125510194"/>
      <w:bookmarkStart w:id="359" w:name="_Toc213648031"/>
      <w:bookmarkStart w:id="360" w:name="_Toc213648280"/>
      <w:bookmarkStart w:id="361" w:name="_Toc355943777"/>
      <w:bookmarkStart w:id="362" w:name="_Toc449510505"/>
      <w:bookmarkStart w:id="363" w:name="_Toc449622611"/>
      <w:r w:rsidRPr="00081D6E">
        <w:rPr>
          <w:lang w:val="fr-CH"/>
        </w:rPr>
        <w:t>3.5.10</w:t>
      </w:r>
      <w:r w:rsidRPr="00081D6E">
        <w:rPr>
          <w:lang w:val="fr-CH"/>
        </w:rPr>
        <w:tab/>
        <w:t>Documents «PLEN</w:t>
      </w:r>
      <w:bookmarkEnd w:id="353"/>
      <w:bookmarkEnd w:id="354"/>
      <w:bookmarkEnd w:id="355"/>
      <w:bookmarkEnd w:id="356"/>
      <w:bookmarkEnd w:id="357"/>
      <w:r w:rsidRPr="00081D6E">
        <w:rPr>
          <w:lang w:val="fr-CH"/>
        </w:rPr>
        <w:t>»</w:t>
      </w:r>
      <w:bookmarkEnd w:id="358"/>
      <w:bookmarkEnd w:id="359"/>
      <w:bookmarkEnd w:id="360"/>
      <w:bookmarkEnd w:id="361"/>
      <w:bookmarkEnd w:id="362"/>
      <w:bookmarkEnd w:id="363"/>
    </w:p>
    <w:p w:rsidR="00081D6E" w:rsidRPr="00081D6E" w:rsidRDefault="00081D6E" w:rsidP="00BE6EEC">
      <w:pPr>
        <w:spacing w:before="120" w:line="240" w:lineRule="auto"/>
        <w:jc w:val="left"/>
        <w:rPr>
          <w:lang w:val="fr-CH"/>
        </w:rPr>
      </w:pPr>
      <w:r w:rsidRPr="00081D6E">
        <w:rPr>
          <w:lang w:val="fr-CH"/>
        </w:rPr>
        <w:t>Les documents de cette série sont tous les documents des Assemblées des radiocommunications autres que les documents des Commissions d'études de la série 1000. Cette série est utilisée en particulier pour les contributions des Membres.</w:t>
      </w:r>
    </w:p>
    <w:p w:rsidR="00081D6E" w:rsidRPr="00081D6E" w:rsidRDefault="00081D6E" w:rsidP="00BE6EEC">
      <w:pPr>
        <w:pStyle w:val="Heading3"/>
        <w:spacing w:line="240" w:lineRule="auto"/>
        <w:jc w:val="left"/>
        <w:rPr>
          <w:lang w:val="fr-CH"/>
        </w:rPr>
      </w:pPr>
      <w:bookmarkStart w:id="364" w:name="_Toc450039147"/>
      <w:r w:rsidRPr="00081D6E">
        <w:rPr>
          <w:lang w:val="fr-CH"/>
        </w:rPr>
        <w:t>3.5.11</w:t>
      </w:r>
      <w:r w:rsidRPr="00081D6E">
        <w:rPr>
          <w:lang w:val="fr-CH"/>
        </w:rPr>
        <w:tab/>
        <w:t>Documents sur le site SharePoint</w:t>
      </w:r>
      <w:bookmarkEnd w:id="364"/>
    </w:p>
    <w:p w:rsidR="00081D6E" w:rsidRPr="00081D6E" w:rsidRDefault="00081D6E" w:rsidP="00BE6EEC">
      <w:pPr>
        <w:spacing w:before="120" w:line="240" w:lineRule="auto"/>
        <w:jc w:val="left"/>
        <w:rPr>
          <w:lang w:val="fr-CH"/>
        </w:rPr>
      </w:pPr>
      <w:r w:rsidRPr="00081D6E">
        <w:rPr>
          <w:lang w:val="fr-CH"/>
        </w:rPr>
        <w:t>Une zone d'échange de documents, appelée «dossiers partagés», a été créée sur un site SharePoint pour chaque groupe. Ces sites sont utilisés pour permettre l'échange de documents de travail entre les participants. Les participants qui possèdent un compte TIES de l'UIT peuvent transférer ou télécharger tous les fichiers électroniques utilisés pour les débats et l'élaboration de projets de texte pendant les réunions, avant la soumission de ces projets de texte au secrétariat du BR pour qu'ils soient établis en tant que documents temporaires officiels.</w:t>
      </w:r>
    </w:p>
    <w:p w:rsidR="00081D6E" w:rsidRPr="00081D6E" w:rsidRDefault="00081D6E" w:rsidP="00BE6EEC">
      <w:pPr>
        <w:pStyle w:val="Heading1"/>
        <w:spacing w:before="360" w:line="240" w:lineRule="auto"/>
        <w:jc w:val="left"/>
        <w:rPr>
          <w:lang w:val="fr-CH"/>
        </w:rPr>
      </w:pPr>
      <w:bookmarkStart w:id="365" w:name="_Toc521225218"/>
      <w:bookmarkStart w:id="366" w:name="_Toc5782500"/>
      <w:bookmarkStart w:id="367" w:name="_Toc7597338"/>
      <w:bookmarkStart w:id="368" w:name="_Toc78185188"/>
      <w:bookmarkStart w:id="369" w:name="_Toc78185357"/>
      <w:bookmarkStart w:id="370" w:name="_Toc125510195"/>
      <w:bookmarkStart w:id="371" w:name="_Toc213648032"/>
      <w:bookmarkStart w:id="372" w:name="_Toc213648281"/>
      <w:bookmarkStart w:id="373" w:name="_Toc355943778"/>
      <w:bookmarkStart w:id="374" w:name="_Toc449510506"/>
      <w:bookmarkStart w:id="375" w:name="_Toc449622612"/>
      <w:r w:rsidRPr="00081D6E">
        <w:rPr>
          <w:lang w:val="fr-CH"/>
        </w:rPr>
        <w:t>4</w:t>
      </w:r>
      <w:r w:rsidRPr="00081D6E">
        <w:rPr>
          <w:lang w:val="fr-CH"/>
        </w:rPr>
        <w:tab/>
        <w:t>Procédures concernant les réunions des commissions d'études</w:t>
      </w:r>
      <w:bookmarkEnd w:id="365"/>
      <w:bookmarkEnd w:id="366"/>
      <w:bookmarkEnd w:id="367"/>
      <w:bookmarkEnd w:id="368"/>
      <w:bookmarkEnd w:id="369"/>
      <w:bookmarkEnd w:id="370"/>
      <w:bookmarkEnd w:id="371"/>
      <w:bookmarkEnd w:id="372"/>
      <w:bookmarkEnd w:id="373"/>
      <w:bookmarkEnd w:id="374"/>
      <w:bookmarkEnd w:id="375"/>
    </w:p>
    <w:p w:rsidR="00081D6E" w:rsidRPr="00081D6E" w:rsidRDefault="00081D6E" w:rsidP="00BE6EEC">
      <w:pPr>
        <w:pStyle w:val="Heading2"/>
        <w:spacing w:before="200" w:line="240" w:lineRule="auto"/>
        <w:jc w:val="left"/>
        <w:rPr>
          <w:lang w:val="fr-CH"/>
        </w:rPr>
      </w:pPr>
      <w:bookmarkStart w:id="376" w:name="_Toc78185189"/>
      <w:bookmarkStart w:id="377" w:name="_Toc78185358"/>
      <w:bookmarkStart w:id="378" w:name="_Toc125510196"/>
      <w:bookmarkStart w:id="379" w:name="_Toc213648033"/>
      <w:bookmarkStart w:id="380" w:name="_Toc213648282"/>
      <w:bookmarkStart w:id="381" w:name="_Toc355943779"/>
      <w:bookmarkStart w:id="382" w:name="_Toc449510507"/>
      <w:bookmarkStart w:id="383" w:name="_Toc449622613"/>
      <w:r w:rsidRPr="00081D6E">
        <w:rPr>
          <w:lang w:val="fr-CH"/>
        </w:rPr>
        <w:t>4.1</w:t>
      </w:r>
      <w:r w:rsidRPr="00081D6E">
        <w:rPr>
          <w:lang w:val="fr-CH"/>
        </w:rPr>
        <w:tab/>
        <w:t>Examen de projets de Recommandation</w:t>
      </w:r>
      <w:bookmarkEnd w:id="376"/>
      <w:bookmarkEnd w:id="377"/>
      <w:bookmarkEnd w:id="378"/>
      <w:bookmarkEnd w:id="379"/>
      <w:bookmarkEnd w:id="380"/>
      <w:bookmarkEnd w:id="381"/>
      <w:bookmarkEnd w:id="382"/>
      <w:bookmarkEnd w:id="383"/>
    </w:p>
    <w:p w:rsidR="00081D6E" w:rsidRPr="00081D6E" w:rsidRDefault="00081D6E" w:rsidP="00BE6EEC">
      <w:pPr>
        <w:pStyle w:val="Heading3"/>
        <w:spacing w:before="200" w:line="240" w:lineRule="auto"/>
        <w:jc w:val="left"/>
        <w:rPr>
          <w:lang w:val="fr-CH"/>
        </w:rPr>
      </w:pPr>
      <w:bookmarkStart w:id="384" w:name="_Toc521225219"/>
      <w:bookmarkStart w:id="385" w:name="_Toc5782501"/>
      <w:bookmarkStart w:id="386" w:name="_Toc7597339"/>
      <w:bookmarkStart w:id="387" w:name="_Toc78185190"/>
      <w:bookmarkStart w:id="388" w:name="_Toc78185359"/>
      <w:bookmarkStart w:id="389" w:name="_Toc125510197"/>
      <w:bookmarkStart w:id="390" w:name="_Toc213648034"/>
      <w:bookmarkStart w:id="391" w:name="_Toc213648283"/>
      <w:bookmarkStart w:id="392" w:name="_Toc355943780"/>
      <w:bookmarkStart w:id="393" w:name="_Toc449510508"/>
      <w:bookmarkStart w:id="394" w:name="_Toc449622614"/>
      <w:r w:rsidRPr="00081D6E">
        <w:rPr>
          <w:lang w:val="fr-CH"/>
        </w:rPr>
        <w:t>4.1.1</w:t>
      </w:r>
      <w:r w:rsidRPr="00081D6E">
        <w:rPr>
          <w:lang w:val="fr-CH"/>
        </w:rPr>
        <w:tab/>
        <w:t>Adoption de projets de Recommandation en réunion de commission d'études</w:t>
      </w:r>
      <w:bookmarkEnd w:id="384"/>
      <w:bookmarkEnd w:id="385"/>
      <w:bookmarkEnd w:id="386"/>
      <w:bookmarkEnd w:id="387"/>
      <w:bookmarkEnd w:id="388"/>
      <w:bookmarkEnd w:id="389"/>
      <w:bookmarkEnd w:id="390"/>
      <w:bookmarkEnd w:id="391"/>
      <w:bookmarkEnd w:id="392"/>
      <w:bookmarkEnd w:id="393"/>
      <w:bookmarkEnd w:id="394"/>
    </w:p>
    <w:p w:rsidR="00081D6E" w:rsidRPr="00081D6E" w:rsidRDefault="00081D6E" w:rsidP="00BE6EEC">
      <w:pPr>
        <w:spacing w:before="120" w:line="240" w:lineRule="auto"/>
        <w:jc w:val="left"/>
        <w:rPr>
          <w:lang w:val="fr-CH"/>
        </w:rPr>
      </w:pPr>
      <w:r w:rsidRPr="00081D6E">
        <w:rPr>
          <w:lang w:val="fr-CH"/>
        </w:rPr>
        <w:t>La procédure d'adoption des projets de Recommandation lors d'une réunion de commission d'études est exposée au § A2.6.2.2.2 de l'Annexe 2 de la Résolution UIT</w:t>
      </w:r>
      <w:r w:rsidRPr="00081D6E">
        <w:rPr>
          <w:lang w:val="fr-CH"/>
        </w:rPr>
        <w:noBreakHyphen/>
        <w:t>R 1.</w:t>
      </w:r>
    </w:p>
    <w:p w:rsidR="00081D6E" w:rsidRPr="00081D6E" w:rsidRDefault="00081D6E" w:rsidP="00BE6EEC">
      <w:pPr>
        <w:pStyle w:val="Heading3"/>
        <w:spacing w:before="200" w:line="240" w:lineRule="auto"/>
        <w:jc w:val="left"/>
        <w:rPr>
          <w:lang w:val="fr-CH"/>
        </w:rPr>
      </w:pPr>
      <w:bookmarkStart w:id="395" w:name="_Toc521225220"/>
      <w:bookmarkStart w:id="396" w:name="_Toc5782502"/>
      <w:bookmarkStart w:id="397" w:name="_Toc7597340"/>
      <w:bookmarkStart w:id="398" w:name="_Toc78185191"/>
      <w:bookmarkStart w:id="399" w:name="_Toc78185360"/>
      <w:bookmarkStart w:id="400" w:name="_Toc125510198"/>
      <w:bookmarkStart w:id="401" w:name="_Toc213648035"/>
      <w:bookmarkStart w:id="402" w:name="_Toc213648284"/>
      <w:bookmarkStart w:id="403" w:name="_Toc355943781"/>
      <w:bookmarkStart w:id="404" w:name="_Toc449510509"/>
      <w:bookmarkStart w:id="405" w:name="_Toc449622615"/>
      <w:r w:rsidRPr="00081D6E">
        <w:rPr>
          <w:lang w:val="fr-CH"/>
        </w:rPr>
        <w:t>4.1.2</w:t>
      </w:r>
      <w:r w:rsidRPr="00081D6E">
        <w:rPr>
          <w:lang w:val="fr-CH"/>
        </w:rPr>
        <w:tab/>
        <w:t>Adoption de projets de Recommandation par correspondance</w:t>
      </w:r>
      <w:bookmarkEnd w:id="395"/>
      <w:bookmarkEnd w:id="396"/>
      <w:bookmarkEnd w:id="397"/>
      <w:bookmarkEnd w:id="398"/>
      <w:bookmarkEnd w:id="399"/>
      <w:bookmarkEnd w:id="400"/>
      <w:bookmarkEnd w:id="401"/>
      <w:bookmarkEnd w:id="402"/>
      <w:bookmarkEnd w:id="403"/>
      <w:bookmarkEnd w:id="404"/>
      <w:bookmarkEnd w:id="405"/>
    </w:p>
    <w:p w:rsidR="00081D6E" w:rsidRPr="00081D6E" w:rsidRDefault="00081D6E" w:rsidP="00BE6EEC">
      <w:pPr>
        <w:spacing w:before="120" w:line="240" w:lineRule="auto"/>
        <w:jc w:val="left"/>
        <w:rPr>
          <w:lang w:val="fr-CH"/>
        </w:rPr>
      </w:pPr>
      <w:r w:rsidRPr="00081D6E">
        <w:rPr>
          <w:lang w:val="fr-CH"/>
        </w:rPr>
        <w:t>La procédure d'adoption par correspondance des projets de Recommandation est exposée au § A2.6.2.2.3 de l'Annexe 2 de la Résolution UIT</w:t>
      </w:r>
      <w:r w:rsidRPr="00081D6E">
        <w:rPr>
          <w:lang w:val="fr-CH"/>
        </w:rPr>
        <w:noBreakHyphen/>
        <w:t>R 1. De plus, s'il n'y a pas d'objection de la part d'un Etat Membre participant à la réunion et si la Recommandation n'est pas incorporée par référence dans le Règlement des radiocommunications, la procédure d'adoption et d'approbation simultanées (PAAS) décrite au § A2.6.2.4 de l'Annexe 2 de la Résolution UIT</w:t>
      </w:r>
      <w:r w:rsidRPr="00081D6E">
        <w:rPr>
          <w:lang w:val="fr-CH"/>
        </w:rPr>
        <w:noBreakHyphen/>
        <w:t xml:space="preserve">R 1 est appliquée (voir également le § 5.1 ci-dessous). </w:t>
      </w:r>
      <w:bookmarkStart w:id="406" w:name="_Toc78185192"/>
      <w:bookmarkStart w:id="407" w:name="_Toc78185361"/>
      <w:bookmarkStart w:id="408" w:name="_Toc125510199"/>
    </w:p>
    <w:p w:rsidR="00081D6E" w:rsidRPr="00081D6E" w:rsidRDefault="00081D6E" w:rsidP="00BE6EEC">
      <w:pPr>
        <w:pStyle w:val="Heading3"/>
        <w:spacing w:before="200" w:line="240" w:lineRule="auto"/>
        <w:jc w:val="left"/>
        <w:rPr>
          <w:lang w:val="fr-CH"/>
        </w:rPr>
      </w:pPr>
      <w:bookmarkStart w:id="409" w:name="_Toc213648036"/>
      <w:bookmarkStart w:id="410" w:name="_Toc213648285"/>
      <w:bookmarkStart w:id="411" w:name="_Toc355943782"/>
      <w:bookmarkStart w:id="412" w:name="_Toc449510510"/>
      <w:bookmarkStart w:id="413" w:name="_Toc449622616"/>
      <w:r w:rsidRPr="00081D6E">
        <w:rPr>
          <w:lang w:val="fr-CH"/>
        </w:rPr>
        <w:t>4.1.3</w:t>
      </w:r>
      <w:r w:rsidRPr="00081D6E">
        <w:rPr>
          <w:lang w:val="fr-CH"/>
        </w:rPr>
        <w:tab/>
        <w:t>Décision concernant la procédure d'approbation</w:t>
      </w:r>
      <w:bookmarkEnd w:id="406"/>
      <w:bookmarkEnd w:id="407"/>
      <w:bookmarkEnd w:id="408"/>
      <w:bookmarkEnd w:id="409"/>
      <w:bookmarkEnd w:id="410"/>
      <w:bookmarkEnd w:id="411"/>
      <w:bookmarkEnd w:id="412"/>
      <w:bookmarkEnd w:id="413"/>
    </w:p>
    <w:p w:rsidR="00081D6E" w:rsidRPr="00081D6E" w:rsidRDefault="00081D6E" w:rsidP="00BE6EEC">
      <w:pPr>
        <w:spacing w:before="120" w:line="240" w:lineRule="auto"/>
        <w:jc w:val="left"/>
        <w:rPr>
          <w:lang w:val="fr-CH"/>
        </w:rPr>
      </w:pPr>
      <w:r w:rsidRPr="00081D6E">
        <w:rPr>
          <w:lang w:val="fr-CH"/>
        </w:rPr>
        <w:t>Au cours de sa réunion, la commission d'études décide de la procédure définitive à suivre pour rechercher l'approbation de chaque projet de Recommandation conformément au § A2.6.2.3.3 de l'Annexe 2 de la Résolution UIT</w:t>
      </w:r>
      <w:r w:rsidRPr="00081D6E">
        <w:rPr>
          <w:lang w:val="fr-CH"/>
        </w:rPr>
        <w:noBreakHyphen/>
        <w:t xml:space="preserve">R 1. </w:t>
      </w:r>
    </w:p>
    <w:p w:rsidR="00081D6E" w:rsidRPr="00081D6E" w:rsidRDefault="00081D6E" w:rsidP="00BE6EEC">
      <w:pPr>
        <w:pStyle w:val="Heading3"/>
        <w:spacing w:before="200" w:line="240" w:lineRule="auto"/>
        <w:jc w:val="left"/>
        <w:rPr>
          <w:lang w:val="fr-CH"/>
        </w:rPr>
      </w:pPr>
      <w:bookmarkStart w:id="414" w:name="_Toc125510200"/>
      <w:bookmarkStart w:id="415" w:name="_Toc213648037"/>
      <w:bookmarkStart w:id="416" w:name="_Toc213648286"/>
      <w:bookmarkStart w:id="417" w:name="_Toc355943783"/>
      <w:bookmarkStart w:id="418" w:name="_Toc449510511"/>
      <w:bookmarkStart w:id="419" w:name="_Toc449622617"/>
      <w:r w:rsidRPr="00081D6E">
        <w:rPr>
          <w:lang w:val="fr-CH"/>
        </w:rPr>
        <w:t>4.1.4</w:t>
      </w:r>
      <w:r w:rsidRPr="00081D6E">
        <w:rPr>
          <w:lang w:val="fr-CH"/>
        </w:rPr>
        <w:tab/>
        <w:t>Domaine d'application des Recommandations</w:t>
      </w:r>
      <w:bookmarkEnd w:id="414"/>
      <w:bookmarkEnd w:id="415"/>
      <w:bookmarkEnd w:id="416"/>
      <w:bookmarkEnd w:id="417"/>
      <w:bookmarkEnd w:id="418"/>
      <w:bookmarkEnd w:id="419"/>
    </w:p>
    <w:p w:rsidR="00081D6E" w:rsidRPr="00081D6E" w:rsidRDefault="00081D6E" w:rsidP="00BE6EEC">
      <w:pPr>
        <w:spacing w:before="120" w:line="240" w:lineRule="auto"/>
        <w:jc w:val="left"/>
        <w:rPr>
          <w:lang w:val="fr-CH"/>
        </w:rPr>
      </w:pPr>
      <w:r w:rsidRPr="00081D6E">
        <w:rPr>
          <w:lang w:val="fr-CH"/>
        </w:rPr>
        <w:t>Chaque Recommandation proposée pour adoption et/ou pour approbation doit comporter un point intitulé «domaine d'application», qui en précise l'objet. Ce point doit toujours figurer dans le texte de la Recommandation, même après son approbation.</w:t>
      </w:r>
    </w:p>
    <w:p w:rsidR="00081D6E" w:rsidRPr="00081D6E" w:rsidRDefault="00081D6E" w:rsidP="00BE6EEC">
      <w:pPr>
        <w:pStyle w:val="Heading2"/>
        <w:spacing w:before="200" w:line="240" w:lineRule="auto"/>
        <w:jc w:val="left"/>
        <w:rPr>
          <w:lang w:val="fr-CH"/>
        </w:rPr>
      </w:pPr>
      <w:bookmarkStart w:id="420" w:name="_Toc521225221"/>
      <w:bookmarkStart w:id="421" w:name="_Toc5782503"/>
      <w:bookmarkStart w:id="422" w:name="_Toc7597341"/>
      <w:bookmarkStart w:id="423" w:name="_Toc78185193"/>
      <w:bookmarkStart w:id="424" w:name="_Toc78185362"/>
      <w:bookmarkStart w:id="425" w:name="_Toc125510201"/>
      <w:bookmarkStart w:id="426" w:name="_Toc213648038"/>
      <w:bookmarkStart w:id="427" w:name="_Toc213648287"/>
      <w:bookmarkStart w:id="428" w:name="_Toc355943784"/>
      <w:bookmarkStart w:id="429" w:name="_Toc449510512"/>
      <w:bookmarkStart w:id="430" w:name="_Toc449622618"/>
      <w:r w:rsidRPr="00081D6E">
        <w:rPr>
          <w:lang w:val="fr-CH"/>
        </w:rPr>
        <w:lastRenderedPageBreak/>
        <w:t>4.2</w:t>
      </w:r>
      <w:r w:rsidRPr="00081D6E">
        <w:rPr>
          <w:lang w:val="fr-CH"/>
        </w:rPr>
        <w:tab/>
        <w:t>Traitement des Questions par les commissions d'études</w:t>
      </w:r>
      <w:bookmarkEnd w:id="420"/>
      <w:bookmarkEnd w:id="421"/>
      <w:bookmarkEnd w:id="422"/>
      <w:bookmarkEnd w:id="423"/>
      <w:bookmarkEnd w:id="424"/>
      <w:bookmarkEnd w:id="425"/>
      <w:bookmarkEnd w:id="426"/>
      <w:bookmarkEnd w:id="427"/>
      <w:bookmarkEnd w:id="428"/>
      <w:bookmarkEnd w:id="429"/>
      <w:bookmarkEnd w:id="430"/>
    </w:p>
    <w:p w:rsidR="00081D6E" w:rsidRPr="00081D6E" w:rsidRDefault="00081D6E" w:rsidP="00BE6EEC">
      <w:pPr>
        <w:pStyle w:val="Heading3"/>
        <w:spacing w:before="200" w:line="240" w:lineRule="auto"/>
        <w:jc w:val="left"/>
        <w:rPr>
          <w:lang w:val="fr-CH"/>
        </w:rPr>
      </w:pPr>
      <w:bookmarkStart w:id="431" w:name="_Toc78185194"/>
      <w:bookmarkStart w:id="432" w:name="_Toc78185363"/>
      <w:bookmarkStart w:id="433" w:name="_Toc125510202"/>
      <w:bookmarkStart w:id="434" w:name="_Toc213648039"/>
      <w:bookmarkStart w:id="435" w:name="_Toc213648288"/>
      <w:bookmarkStart w:id="436" w:name="_Toc355943785"/>
      <w:bookmarkStart w:id="437" w:name="_Toc449510513"/>
      <w:bookmarkStart w:id="438" w:name="_Toc449622619"/>
      <w:r w:rsidRPr="00081D6E">
        <w:rPr>
          <w:lang w:val="fr-CH"/>
        </w:rPr>
        <w:t>4.2.1</w:t>
      </w:r>
      <w:r w:rsidRPr="00081D6E">
        <w:rPr>
          <w:lang w:val="fr-CH"/>
        </w:rPr>
        <w:tab/>
        <w:t>Lignes directrices applicables aux Questions attribuées aux commissions d'études</w:t>
      </w:r>
      <w:bookmarkEnd w:id="431"/>
      <w:bookmarkEnd w:id="432"/>
      <w:bookmarkEnd w:id="433"/>
      <w:bookmarkEnd w:id="434"/>
      <w:bookmarkEnd w:id="435"/>
      <w:bookmarkEnd w:id="436"/>
      <w:bookmarkEnd w:id="437"/>
      <w:bookmarkEnd w:id="438"/>
    </w:p>
    <w:p w:rsidR="00081D6E" w:rsidRPr="00081D6E" w:rsidRDefault="00081D6E" w:rsidP="00BE6EEC">
      <w:pPr>
        <w:spacing w:before="120" w:line="240" w:lineRule="auto"/>
        <w:jc w:val="left"/>
        <w:rPr>
          <w:lang w:val="fr-CH"/>
        </w:rPr>
      </w:pPr>
      <w:r w:rsidRPr="00081D6E">
        <w:rPr>
          <w:lang w:val="fr-CH"/>
        </w:rPr>
        <w:t>Les lignes directrices que doivent utiliser les commissions d'études lorsqu'elles examinent les Questions qui leur ont été attribuées figurent dans les § A1.3.1.16 de l'Annexe 1 et A2.5.2.1.2 de l'Annexe 2 de la Résolution UIT</w:t>
      </w:r>
      <w:r w:rsidRPr="00081D6E">
        <w:rPr>
          <w:lang w:val="fr-CH"/>
        </w:rPr>
        <w:noBreakHyphen/>
        <w:t>R 1. Ces lignes directrices (§ </w:t>
      </w:r>
      <w:r w:rsidRPr="00081D6E">
        <w:rPr>
          <w:iCs/>
          <w:lang w:val="fr-CH"/>
        </w:rPr>
        <w:t>A1</w:t>
      </w:r>
      <w:r w:rsidRPr="00081D6E">
        <w:rPr>
          <w:lang w:val="fr-CH"/>
        </w:rPr>
        <w:t>.3.1.16 de l'Annexe 1) permettent de s'assurer: i) que les Questions relèvent du domaine de compétence de l'UIT</w:t>
      </w:r>
      <w:r w:rsidRPr="00081D6E">
        <w:rPr>
          <w:lang w:val="fr-CH"/>
        </w:rPr>
        <w:noBreakHyphen/>
        <w:t xml:space="preserve">R (conformément aux numéros 150 à 154 et au numéro 159 de la Convention de l'UIT); et ii) que les Questions ne font pas double emploi avec les travaux effectués par d'autres entités internationales. De plus, conformément au § A2.5.2.1.2 de l'Annexe 2 de cette Résolution, les commissions d'études sont priées d'évaluer les projets de nouvelle Question proposés pour adoption par rapport à ces lignes directrices, et de joindre cette évaluation lorsqu'elles soumettent ces projets de Question aux administrations pour approbation. </w:t>
      </w:r>
    </w:p>
    <w:p w:rsidR="00081D6E" w:rsidRPr="00081D6E" w:rsidRDefault="00081D6E" w:rsidP="00BE6EEC">
      <w:pPr>
        <w:spacing w:before="120" w:line="240" w:lineRule="auto"/>
        <w:jc w:val="left"/>
        <w:rPr>
          <w:lang w:val="fr-CH"/>
        </w:rPr>
      </w:pPr>
      <w:r w:rsidRPr="00081D6E">
        <w:rPr>
          <w:lang w:val="fr-CH"/>
        </w:rPr>
        <w:t>Pour satisfaire à ces dispositions, chaque projet de nouvelle Question soumis pour approbation doit être précédé d'un texte succinct justifiant l'adoption du projet de Question conformément aux lignes directrices précitées.</w:t>
      </w:r>
    </w:p>
    <w:p w:rsidR="00081D6E" w:rsidRPr="00081D6E" w:rsidRDefault="00081D6E" w:rsidP="00BE6EEC">
      <w:pPr>
        <w:spacing w:before="120" w:line="240" w:lineRule="auto"/>
        <w:jc w:val="left"/>
        <w:rPr>
          <w:lang w:val="fr-CH"/>
        </w:rPr>
      </w:pPr>
      <w:r w:rsidRPr="00081D6E">
        <w:rPr>
          <w:lang w:val="fr-CH"/>
        </w:rPr>
        <w:t>Il serait tout à fait approprié que les groupes subordonnés tiennent compte des lignes directrices exposées dans les § A1.3.1.16 de l'Annexe 1 et A2.5.2.1.2 de l'Annexe 2 lorsqu'ils élaborent des projets de nouvelle Question. En outre, il serait utile qu'ils rédigent le texte succinct justifiant l'approbation finale.</w:t>
      </w:r>
    </w:p>
    <w:p w:rsidR="00081D6E" w:rsidRPr="00081D6E" w:rsidRDefault="00081D6E" w:rsidP="00BE6EEC">
      <w:pPr>
        <w:pStyle w:val="Heading3"/>
        <w:spacing w:before="200" w:line="240" w:lineRule="auto"/>
        <w:jc w:val="left"/>
        <w:rPr>
          <w:lang w:val="fr-CH"/>
        </w:rPr>
      </w:pPr>
      <w:bookmarkStart w:id="439" w:name="_Toc78185195"/>
      <w:bookmarkStart w:id="440" w:name="_Toc78185364"/>
      <w:bookmarkStart w:id="441" w:name="_Toc125510203"/>
      <w:bookmarkStart w:id="442" w:name="_Toc213648040"/>
      <w:bookmarkStart w:id="443" w:name="_Toc213648289"/>
      <w:bookmarkStart w:id="444" w:name="_Toc355943786"/>
      <w:bookmarkStart w:id="445" w:name="_Toc449510514"/>
      <w:bookmarkStart w:id="446" w:name="_Toc449622620"/>
      <w:r w:rsidRPr="00081D6E">
        <w:rPr>
          <w:lang w:val="fr-CH"/>
        </w:rPr>
        <w:t>4.2.2</w:t>
      </w:r>
      <w:r w:rsidRPr="00081D6E">
        <w:rPr>
          <w:lang w:val="fr-CH"/>
        </w:rPr>
        <w:tab/>
        <w:t>Adoption et approbation des Questions</w:t>
      </w:r>
      <w:bookmarkEnd w:id="439"/>
      <w:bookmarkEnd w:id="440"/>
      <w:bookmarkEnd w:id="441"/>
      <w:bookmarkEnd w:id="442"/>
      <w:bookmarkEnd w:id="443"/>
      <w:bookmarkEnd w:id="444"/>
      <w:bookmarkEnd w:id="445"/>
      <w:bookmarkEnd w:id="446"/>
      <w:r w:rsidRPr="00081D6E">
        <w:rPr>
          <w:lang w:val="fr-CH"/>
        </w:rPr>
        <w:t xml:space="preserve"> </w:t>
      </w:r>
    </w:p>
    <w:p w:rsidR="00081D6E" w:rsidRPr="00081D6E" w:rsidRDefault="00081D6E" w:rsidP="00BE6EEC">
      <w:pPr>
        <w:spacing w:before="120" w:line="240" w:lineRule="auto"/>
        <w:jc w:val="left"/>
        <w:rPr>
          <w:lang w:val="fr-CH"/>
        </w:rPr>
      </w:pPr>
      <w:r w:rsidRPr="00081D6E">
        <w:rPr>
          <w:lang w:val="fr-CH"/>
        </w:rPr>
        <w:t>Conformément aux § A1.3.1.2 de l'Annexe 1, A2.5.2.1.1, A2.5.2.1.3, A2.5.2.1.4, A2.5.2.1.5 et A2.5.3.1 de l'Annexe 2 de la Résolution UIT</w:t>
      </w:r>
      <w:r w:rsidRPr="00081D6E">
        <w:rPr>
          <w:lang w:val="fr-CH"/>
        </w:rPr>
        <w:noBreakHyphen/>
        <w:t xml:space="preserve">R 1, les Questions nouvelles ou révisées, proposées au sein de commissions d'études, peuvent être adoptées par une commission d'études et approuvées, soit par une Assemblée des radiocommunications, soit par voie de consultation des Etats Membres. </w:t>
      </w:r>
    </w:p>
    <w:p w:rsidR="00081D6E" w:rsidRPr="00081D6E" w:rsidRDefault="00081D6E" w:rsidP="00BE6EEC">
      <w:pPr>
        <w:pStyle w:val="Heading2"/>
        <w:spacing w:before="200" w:line="240" w:lineRule="auto"/>
        <w:jc w:val="left"/>
        <w:rPr>
          <w:lang w:val="fr-CH"/>
        </w:rPr>
      </w:pPr>
      <w:bookmarkStart w:id="447" w:name="_Toc521225222"/>
      <w:bookmarkStart w:id="448" w:name="_Toc5782504"/>
      <w:bookmarkStart w:id="449" w:name="_Toc7597342"/>
      <w:bookmarkStart w:id="450" w:name="_Toc78185196"/>
      <w:bookmarkStart w:id="451" w:name="_Toc78185365"/>
      <w:bookmarkStart w:id="452" w:name="_Toc125510204"/>
      <w:bookmarkStart w:id="453" w:name="_Toc213648041"/>
      <w:bookmarkStart w:id="454" w:name="_Toc213648290"/>
      <w:bookmarkStart w:id="455" w:name="_Toc355943787"/>
      <w:bookmarkStart w:id="456" w:name="_Toc449510515"/>
      <w:bookmarkStart w:id="457" w:name="_Toc449622621"/>
      <w:r w:rsidRPr="00081D6E">
        <w:rPr>
          <w:lang w:val="fr-CH"/>
        </w:rPr>
        <w:t>4.3</w:t>
      </w:r>
      <w:r w:rsidRPr="00081D6E">
        <w:rPr>
          <w:lang w:val="fr-CH"/>
        </w:rPr>
        <w:tab/>
        <w:t>Approbation des Manuels</w:t>
      </w:r>
      <w:bookmarkEnd w:id="447"/>
      <w:bookmarkEnd w:id="448"/>
      <w:bookmarkEnd w:id="449"/>
      <w:bookmarkEnd w:id="450"/>
      <w:bookmarkEnd w:id="451"/>
      <w:bookmarkEnd w:id="452"/>
      <w:bookmarkEnd w:id="453"/>
      <w:bookmarkEnd w:id="454"/>
      <w:bookmarkEnd w:id="455"/>
      <w:bookmarkEnd w:id="456"/>
      <w:bookmarkEnd w:id="457"/>
    </w:p>
    <w:p w:rsidR="00081D6E" w:rsidRPr="00081D6E" w:rsidRDefault="00081D6E" w:rsidP="00BE6EEC">
      <w:pPr>
        <w:spacing w:before="120" w:line="240" w:lineRule="auto"/>
        <w:jc w:val="left"/>
        <w:rPr>
          <w:lang w:val="fr-CH"/>
        </w:rPr>
      </w:pPr>
      <w:r w:rsidRPr="00081D6E">
        <w:rPr>
          <w:lang w:val="fr-CH"/>
        </w:rPr>
        <w:t>Conformément au § A2.8.2 de l'Annexe 2 de la Résolution UIT</w:t>
      </w:r>
      <w:r w:rsidRPr="00081D6E">
        <w:rPr>
          <w:lang w:val="fr-CH"/>
        </w:rPr>
        <w:noBreakHyphen/>
        <w:t xml:space="preserve">R 1, les commissions d'études peuvent approuver des Manuels. Pour accélérer la procédure, elles ont coutume de déléguer au groupe subordonné qui prépare le Manuel le pouvoir d'approuver le texte final, sous réserve de l'accord du Président de la commission d'études et du Président du groupe subordonné concerné. Tel est spécifiquement le cas lorsque l'élaboration des éléments du texte est suffisamment avancée. </w:t>
      </w:r>
    </w:p>
    <w:p w:rsidR="00081D6E" w:rsidRPr="00081D6E" w:rsidRDefault="00081D6E" w:rsidP="00BE6EEC">
      <w:pPr>
        <w:pStyle w:val="Heading2"/>
        <w:spacing w:before="200" w:line="240" w:lineRule="auto"/>
        <w:jc w:val="left"/>
        <w:rPr>
          <w:lang w:val="fr-CH"/>
        </w:rPr>
      </w:pPr>
      <w:bookmarkStart w:id="458" w:name="_Toc521225223"/>
      <w:bookmarkStart w:id="459" w:name="_Toc5782505"/>
      <w:bookmarkStart w:id="460" w:name="_Toc7597343"/>
      <w:bookmarkStart w:id="461" w:name="_Toc78185197"/>
      <w:bookmarkStart w:id="462" w:name="_Toc78185366"/>
      <w:bookmarkStart w:id="463" w:name="_Toc125510205"/>
      <w:bookmarkStart w:id="464" w:name="_Toc213648042"/>
      <w:bookmarkStart w:id="465" w:name="_Toc213648291"/>
      <w:bookmarkStart w:id="466" w:name="_Toc355943788"/>
      <w:bookmarkStart w:id="467" w:name="_Toc449510516"/>
      <w:bookmarkStart w:id="468" w:name="_Toc449622622"/>
      <w:r w:rsidRPr="00081D6E">
        <w:rPr>
          <w:lang w:val="fr-CH"/>
        </w:rPr>
        <w:t>4.4</w:t>
      </w:r>
      <w:r w:rsidRPr="00081D6E">
        <w:rPr>
          <w:lang w:val="fr-CH"/>
        </w:rPr>
        <w:tab/>
        <w:t>Procédure applicable aux projets de Résolution, de Décision et de Voeu et aux Rapports des commissions d'études</w:t>
      </w:r>
      <w:bookmarkEnd w:id="458"/>
      <w:bookmarkEnd w:id="459"/>
      <w:bookmarkEnd w:id="460"/>
      <w:bookmarkEnd w:id="461"/>
      <w:bookmarkEnd w:id="462"/>
      <w:bookmarkEnd w:id="463"/>
      <w:bookmarkEnd w:id="464"/>
      <w:bookmarkEnd w:id="465"/>
      <w:bookmarkEnd w:id="466"/>
      <w:bookmarkEnd w:id="467"/>
      <w:bookmarkEnd w:id="468"/>
    </w:p>
    <w:p w:rsidR="00081D6E" w:rsidRPr="00081D6E" w:rsidRDefault="00081D6E" w:rsidP="00BE6EEC">
      <w:pPr>
        <w:spacing w:before="120" w:line="240" w:lineRule="auto"/>
        <w:jc w:val="left"/>
        <w:rPr>
          <w:lang w:val="fr-CH"/>
        </w:rPr>
      </w:pPr>
      <w:r w:rsidRPr="00081D6E">
        <w:rPr>
          <w:lang w:val="fr-CH"/>
        </w:rPr>
        <w:t>Les dispositions du § A2.3.2.1 de l'Annexe 2 de la Résolution UIT</w:t>
      </w:r>
      <w:r w:rsidRPr="00081D6E">
        <w:rPr>
          <w:lang w:val="fr-CH"/>
        </w:rPr>
        <w:noBreakHyphen/>
        <w:t>R 1 s'appliquent à l'adoption des projets de Résolution et les dispositions des § A2.4.2, A2.9.2 et A2.7.2.1 de l'Annexe 2 à l'approbation des Décisions, des Voeux et des Rapports.</w:t>
      </w:r>
    </w:p>
    <w:p w:rsidR="00081D6E" w:rsidRPr="00081D6E" w:rsidRDefault="00081D6E" w:rsidP="00BE6EEC">
      <w:pPr>
        <w:pStyle w:val="Heading2"/>
        <w:spacing w:before="200" w:line="240" w:lineRule="auto"/>
        <w:jc w:val="left"/>
        <w:rPr>
          <w:lang w:val="fr-CH"/>
        </w:rPr>
      </w:pPr>
      <w:bookmarkStart w:id="469" w:name="_Toc521225224"/>
      <w:bookmarkStart w:id="470" w:name="_Toc5782506"/>
      <w:bookmarkStart w:id="471" w:name="_Toc7597344"/>
      <w:bookmarkStart w:id="472" w:name="_Toc78185198"/>
      <w:bookmarkStart w:id="473" w:name="_Toc78185367"/>
      <w:bookmarkStart w:id="474" w:name="_Toc125510206"/>
      <w:bookmarkStart w:id="475" w:name="_Toc213648043"/>
      <w:bookmarkStart w:id="476" w:name="_Toc213648292"/>
      <w:bookmarkStart w:id="477" w:name="_Toc355943789"/>
      <w:bookmarkStart w:id="478" w:name="_Toc449510517"/>
      <w:bookmarkStart w:id="479" w:name="_Toc449622623"/>
      <w:r w:rsidRPr="00081D6E">
        <w:rPr>
          <w:lang w:val="fr-CH"/>
        </w:rPr>
        <w:t>4.5</w:t>
      </w:r>
      <w:r w:rsidRPr="00081D6E">
        <w:rPr>
          <w:lang w:val="fr-CH"/>
        </w:rPr>
        <w:tab/>
      </w:r>
      <w:bookmarkEnd w:id="469"/>
      <w:bookmarkEnd w:id="470"/>
      <w:bookmarkEnd w:id="471"/>
      <w:bookmarkEnd w:id="472"/>
      <w:bookmarkEnd w:id="473"/>
      <w:bookmarkEnd w:id="474"/>
      <w:bookmarkEnd w:id="475"/>
      <w:bookmarkEnd w:id="476"/>
      <w:bookmarkEnd w:id="477"/>
      <w:r w:rsidRPr="00081D6E">
        <w:rPr>
          <w:lang w:val="fr-CH"/>
        </w:rPr>
        <w:t>Rapporteurs chargés de liaison auprès du CCV</w:t>
      </w:r>
      <w:bookmarkEnd w:id="478"/>
      <w:bookmarkEnd w:id="479"/>
    </w:p>
    <w:p w:rsidR="00081D6E" w:rsidRPr="00081D6E" w:rsidRDefault="00081D6E" w:rsidP="00BE6EEC">
      <w:pPr>
        <w:spacing w:before="120" w:line="240" w:lineRule="auto"/>
        <w:jc w:val="left"/>
        <w:rPr>
          <w:lang w:val="fr-CH"/>
        </w:rPr>
      </w:pPr>
      <w:r w:rsidRPr="00081D6E">
        <w:rPr>
          <w:lang w:val="fr-CH"/>
        </w:rPr>
        <w:t>Le § A1.3.2.11 de l'Annexe 1 de la Résolution UIT-R 1 décrit comment les commissions d'études peuvent désigner un ou des Rapporteur(s) chargé(s) de liaison auprès du CCV.</w:t>
      </w:r>
    </w:p>
    <w:p w:rsidR="00081D6E" w:rsidRPr="00081D6E" w:rsidRDefault="00081D6E" w:rsidP="00BE6EEC">
      <w:pPr>
        <w:pStyle w:val="Heading2"/>
        <w:spacing w:before="200" w:line="240" w:lineRule="auto"/>
        <w:jc w:val="left"/>
        <w:rPr>
          <w:lang w:val="fr-CH"/>
        </w:rPr>
      </w:pPr>
      <w:bookmarkStart w:id="480" w:name="_Toc521225225"/>
      <w:bookmarkStart w:id="481" w:name="_Toc5782507"/>
      <w:bookmarkStart w:id="482" w:name="_Toc7597345"/>
      <w:bookmarkStart w:id="483" w:name="_Toc78185199"/>
      <w:bookmarkStart w:id="484" w:name="_Toc78185368"/>
      <w:bookmarkStart w:id="485" w:name="_Toc125510207"/>
      <w:bookmarkStart w:id="486" w:name="_Toc213648044"/>
      <w:bookmarkStart w:id="487" w:name="_Toc213648293"/>
      <w:bookmarkStart w:id="488" w:name="_Toc355943790"/>
      <w:bookmarkStart w:id="489" w:name="_Toc449510518"/>
      <w:bookmarkStart w:id="490" w:name="_Toc449622624"/>
      <w:r w:rsidRPr="00081D6E">
        <w:rPr>
          <w:lang w:val="fr-CH"/>
        </w:rPr>
        <w:lastRenderedPageBreak/>
        <w:t>4.6</w:t>
      </w:r>
      <w:r w:rsidRPr="00081D6E">
        <w:rPr>
          <w:lang w:val="fr-CH"/>
        </w:rPr>
        <w:tab/>
        <w:t>Mise à jour ou suppression de Recommandations</w:t>
      </w:r>
      <w:bookmarkEnd w:id="480"/>
      <w:bookmarkEnd w:id="481"/>
      <w:bookmarkEnd w:id="482"/>
      <w:bookmarkEnd w:id="483"/>
      <w:bookmarkEnd w:id="484"/>
      <w:bookmarkEnd w:id="485"/>
      <w:bookmarkEnd w:id="486"/>
      <w:bookmarkEnd w:id="487"/>
      <w:r w:rsidRPr="00081D6E">
        <w:rPr>
          <w:lang w:val="fr-CH"/>
        </w:rPr>
        <w:t>, de Rapports et de Questions</w:t>
      </w:r>
      <w:bookmarkEnd w:id="488"/>
      <w:bookmarkEnd w:id="489"/>
      <w:bookmarkEnd w:id="490"/>
    </w:p>
    <w:p w:rsidR="00081D6E" w:rsidRPr="00081D6E" w:rsidRDefault="00081D6E" w:rsidP="00BE6EEC">
      <w:pPr>
        <w:spacing w:before="120" w:line="240" w:lineRule="auto"/>
        <w:jc w:val="left"/>
        <w:rPr>
          <w:lang w:val="fr-CH"/>
        </w:rPr>
      </w:pPr>
      <w:r w:rsidRPr="00081D6E">
        <w:rPr>
          <w:lang w:val="fr-CH"/>
        </w:rPr>
        <w:t>Aux termes des § A2.6.2.1.9, A2.6.2.5, A2.6.3, A2.7.2, A2.7.3, A2.5.2.1.6, A2.5.2.4 et A2.5.3 de l'Annexe 2 de la Résolution UIT</w:t>
      </w:r>
      <w:r w:rsidRPr="00081D6E">
        <w:rPr>
          <w:lang w:val="fr-CH"/>
        </w:rPr>
        <w:noBreakHyphen/>
        <w:t>R 1, il appartient à chaque commission d'études d'examiner les Recommandations, les Rapports et les Questions maintenus et, si elle constate qu'ils ne sont plus nécessaires ou qu'ils sont devenus caduques, d'en proposer la mise à jour ou la suppression. En outre, les § A2.6.2.5.1 et A2.5.2.4.1 de l'Annexe 2 de la Résolution UIT-R 1 encouragent les commissions d'études à apporter des mises à jour d'ordre rédactionnel aux Recommandations et aux Questions maintenues. Les modifications d'ordre rédactionnel ne doivent pas être considérées comme des projets de révision des Recommandations ou des Questions tels qu'ils sont décrits aux § A2.6.2.5.2 et A2.5.2.4.2 de l'Annexe 2 de la Résolution UIT-R 1. Les résultats de ces examens doivent être communiqués à l'Assemblée des radiocommunications suivante.</w:t>
      </w:r>
    </w:p>
    <w:p w:rsidR="00081D6E" w:rsidRPr="00081D6E" w:rsidRDefault="00081D6E" w:rsidP="00BE6EEC">
      <w:pPr>
        <w:pStyle w:val="Heading1"/>
        <w:spacing w:before="360" w:line="240" w:lineRule="auto"/>
        <w:jc w:val="left"/>
        <w:rPr>
          <w:lang w:val="fr-CH"/>
        </w:rPr>
      </w:pPr>
      <w:bookmarkStart w:id="491" w:name="_Toc521225226"/>
      <w:bookmarkStart w:id="492" w:name="_Toc5782508"/>
      <w:bookmarkStart w:id="493" w:name="_Toc7597346"/>
      <w:bookmarkStart w:id="494" w:name="_Toc78185200"/>
      <w:bookmarkStart w:id="495" w:name="_Toc78185369"/>
      <w:bookmarkStart w:id="496" w:name="_Toc125510208"/>
      <w:bookmarkStart w:id="497" w:name="_Toc213648045"/>
      <w:bookmarkStart w:id="498" w:name="_Toc213648294"/>
      <w:bookmarkStart w:id="499" w:name="_Toc355943791"/>
      <w:bookmarkStart w:id="500" w:name="_Toc449510519"/>
      <w:bookmarkStart w:id="501" w:name="_Toc449622625"/>
      <w:r w:rsidRPr="00081D6E">
        <w:rPr>
          <w:lang w:val="fr-CH"/>
        </w:rPr>
        <w:t>5</w:t>
      </w:r>
      <w:r w:rsidRPr="00081D6E">
        <w:rPr>
          <w:lang w:val="fr-CH"/>
        </w:rPr>
        <w:tab/>
        <w:t>Approbation des Recommandations</w:t>
      </w:r>
      <w:bookmarkEnd w:id="491"/>
      <w:bookmarkEnd w:id="492"/>
      <w:bookmarkEnd w:id="493"/>
      <w:bookmarkEnd w:id="494"/>
      <w:bookmarkEnd w:id="495"/>
      <w:bookmarkEnd w:id="496"/>
      <w:bookmarkEnd w:id="497"/>
      <w:bookmarkEnd w:id="498"/>
      <w:bookmarkEnd w:id="499"/>
      <w:bookmarkEnd w:id="500"/>
      <w:bookmarkEnd w:id="501"/>
    </w:p>
    <w:p w:rsidR="00081D6E" w:rsidRPr="00081D6E" w:rsidRDefault="00081D6E" w:rsidP="00BE6EEC">
      <w:pPr>
        <w:pStyle w:val="Heading2"/>
        <w:spacing w:before="200" w:line="240" w:lineRule="auto"/>
        <w:jc w:val="left"/>
        <w:rPr>
          <w:lang w:val="fr-CH"/>
        </w:rPr>
      </w:pPr>
      <w:bookmarkStart w:id="502" w:name="_Toc78185202"/>
      <w:bookmarkStart w:id="503" w:name="_Toc78185371"/>
      <w:bookmarkStart w:id="504" w:name="_Toc125510210"/>
      <w:bookmarkStart w:id="505" w:name="_Toc213648047"/>
      <w:bookmarkStart w:id="506" w:name="_Toc213648296"/>
      <w:bookmarkStart w:id="507" w:name="_Toc355943792"/>
      <w:bookmarkStart w:id="508" w:name="_Toc449510520"/>
      <w:bookmarkStart w:id="509" w:name="_Toc449622626"/>
      <w:r w:rsidRPr="00081D6E">
        <w:rPr>
          <w:lang w:val="fr-CH"/>
        </w:rPr>
        <w:t>5.1</w:t>
      </w:r>
      <w:r w:rsidRPr="00081D6E">
        <w:rPr>
          <w:lang w:val="fr-CH"/>
        </w:rPr>
        <w:tab/>
        <w:t>Application de la procédure d'adoption et d'approbation simultanées (PAAS)</w:t>
      </w:r>
      <w:bookmarkEnd w:id="502"/>
      <w:bookmarkEnd w:id="503"/>
      <w:bookmarkEnd w:id="504"/>
      <w:bookmarkEnd w:id="505"/>
      <w:bookmarkEnd w:id="506"/>
      <w:bookmarkEnd w:id="507"/>
      <w:bookmarkEnd w:id="508"/>
      <w:bookmarkEnd w:id="509"/>
    </w:p>
    <w:p w:rsidR="00081D6E" w:rsidRPr="00081D6E" w:rsidRDefault="00081D6E" w:rsidP="00BE6EEC">
      <w:pPr>
        <w:spacing w:before="120" w:line="240" w:lineRule="auto"/>
        <w:jc w:val="left"/>
        <w:rPr>
          <w:lang w:val="fr-CH"/>
        </w:rPr>
      </w:pPr>
      <w:r w:rsidRPr="00081D6E">
        <w:rPr>
          <w:lang w:val="fr-CH"/>
        </w:rPr>
        <w:t>A moins qu'il n'en soit décidé autrement par la commission d'études, et si la Recommandation n'est pas incorporée par référence dans le Règlement des radiocommunications, la procédure d'adoption et d'approbation simultanées de projets de Recommandation conformément au § A2.6.2.4 de l'Annexe 2 de la Résolution UIT</w:t>
      </w:r>
      <w:r w:rsidRPr="00081D6E">
        <w:rPr>
          <w:lang w:val="fr-CH"/>
        </w:rPr>
        <w:noBreakHyphen/>
        <w:t>R 1 est appliquée (voir le § 4.1.2 ci</w:t>
      </w:r>
      <w:r w:rsidRPr="00081D6E">
        <w:rPr>
          <w:lang w:val="fr-CH"/>
        </w:rPr>
        <w:noBreakHyphen/>
        <w:t xml:space="preserve">dessus). Si aucune objection n'est formulée par les Etats Membres pendant la période de consultation réglementaire, à la fin de cette période, le projet de Recommandation est considéré non seulement comme ayant été adopté, mais aussi comme ayant été approuvé. </w:t>
      </w:r>
    </w:p>
    <w:p w:rsidR="00081D6E" w:rsidRPr="00081D6E" w:rsidRDefault="00081D6E" w:rsidP="00BE6EEC">
      <w:pPr>
        <w:pStyle w:val="Heading2"/>
        <w:spacing w:before="200" w:line="240" w:lineRule="auto"/>
        <w:jc w:val="left"/>
        <w:rPr>
          <w:lang w:val="fr-CH"/>
        </w:rPr>
      </w:pPr>
      <w:bookmarkStart w:id="510" w:name="_Toc521225228"/>
      <w:bookmarkStart w:id="511" w:name="_Toc5782510"/>
      <w:bookmarkStart w:id="512" w:name="_Toc7597348"/>
      <w:bookmarkStart w:id="513" w:name="_Toc78185203"/>
      <w:bookmarkStart w:id="514" w:name="_Toc78185372"/>
      <w:bookmarkStart w:id="515" w:name="_Toc125510211"/>
      <w:bookmarkStart w:id="516" w:name="_Toc213648048"/>
      <w:bookmarkStart w:id="517" w:name="_Toc213648297"/>
      <w:bookmarkStart w:id="518" w:name="_Toc355943793"/>
      <w:bookmarkStart w:id="519" w:name="_Toc449510521"/>
      <w:bookmarkStart w:id="520" w:name="_Toc449622627"/>
      <w:r w:rsidRPr="00081D6E">
        <w:rPr>
          <w:lang w:val="fr-CH"/>
        </w:rPr>
        <w:t>5.2</w:t>
      </w:r>
      <w:r w:rsidRPr="00081D6E">
        <w:rPr>
          <w:lang w:val="fr-CH"/>
        </w:rPr>
        <w:tab/>
        <w:t>Procédure d'approbation des Recommandations</w:t>
      </w:r>
      <w:bookmarkEnd w:id="510"/>
      <w:bookmarkEnd w:id="511"/>
      <w:bookmarkEnd w:id="512"/>
      <w:bookmarkEnd w:id="513"/>
      <w:bookmarkEnd w:id="514"/>
      <w:bookmarkEnd w:id="515"/>
      <w:bookmarkEnd w:id="516"/>
      <w:bookmarkEnd w:id="517"/>
      <w:bookmarkEnd w:id="518"/>
      <w:bookmarkEnd w:id="519"/>
      <w:bookmarkEnd w:id="520"/>
    </w:p>
    <w:p w:rsidR="00081D6E" w:rsidRPr="00081D6E" w:rsidRDefault="00081D6E" w:rsidP="00BE6EEC">
      <w:pPr>
        <w:spacing w:before="120" w:line="240" w:lineRule="auto"/>
        <w:jc w:val="left"/>
        <w:rPr>
          <w:lang w:val="fr-CH"/>
        </w:rPr>
      </w:pPr>
      <w:r w:rsidRPr="00081D6E">
        <w:rPr>
          <w:lang w:val="fr-CH"/>
        </w:rPr>
        <w:t>Lorsqu'un projet de Recommandation a été adopté par une commission d'études suivant l'une des deux procédures décrites ci-dessus aux § 4.1.1 et 4.1.2 (mais sans appliquer la procédure PAAS), il existe deux procédures d'approbation de cette Recommandation par les Etats Membres – l'approbation par consultation et l'approbation pendant une Assemblée des radiocommunications. Ces procédures sont exposées aux § A2.6.2.1.7, A2.6.2.1.8 et A2.6.2.3 de l'Annexe 2 de la Résolution UIT</w:t>
      </w:r>
      <w:r w:rsidRPr="00081D6E">
        <w:rPr>
          <w:lang w:val="fr-CH"/>
        </w:rPr>
        <w:noBreakHyphen/>
        <w:t xml:space="preserve">R 1. </w:t>
      </w:r>
    </w:p>
    <w:p w:rsidR="00081D6E" w:rsidRPr="00081D6E" w:rsidRDefault="00081D6E" w:rsidP="00BE6EEC">
      <w:pPr>
        <w:pStyle w:val="Heading1"/>
        <w:spacing w:before="360" w:line="240" w:lineRule="auto"/>
        <w:jc w:val="left"/>
        <w:rPr>
          <w:lang w:val="fr-CH"/>
        </w:rPr>
      </w:pPr>
      <w:bookmarkStart w:id="521" w:name="_Toc78185204"/>
      <w:bookmarkStart w:id="522" w:name="_Toc78185373"/>
      <w:bookmarkStart w:id="523" w:name="_Toc125510212"/>
      <w:bookmarkStart w:id="524" w:name="_Toc213648049"/>
      <w:bookmarkStart w:id="525" w:name="_Toc213648298"/>
      <w:bookmarkStart w:id="526" w:name="_Toc355943794"/>
      <w:bookmarkStart w:id="527" w:name="_Toc449510522"/>
      <w:bookmarkStart w:id="528" w:name="_Toc449622628"/>
      <w:r w:rsidRPr="00081D6E">
        <w:rPr>
          <w:lang w:val="fr-CH"/>
        </w:rPr>
        <w:t>6</w:t>
      </w:r>
      <w:r w:rsidRPr="00081D6E">
        <w:rPr>
          <w:lang w:val="fr-CH"/>
        </w:rPr>
        <w:tab/>
        <w:t>Liaison et collaboration entre l'UIT-R et l'UIT-T, l'UIT-D et d'autres organisations</w:t>
      </w:r>
      <w:bookmarkEnd w:id="521"/>
      <w:bookmarkEnd w:id="522"/>
      <w:bookmarkEnd w:id="523"/>
      <w:bookmarkEnd w:id="524"/>
      <w:bookmarkEnd w:id="525"/>
      <w:bookmarkEnd w:id="526"/>
      <w:bookmarkEnd w:id="527"/>
      <w:bookmarkEnd w:id="528"/>
    </w:p>
    <w:p w:rsidR="00081D6E" w:rsidRPr="00081D6E" w:rsidRDefault="00081D6E" w:rsidP="00BE6EEC">
      <w:pPr>
        <w:pStyle w:val="Heading2"/>
        <w:spacing w:before="200" w:line="240" w:lineRule="auto"/>
        <w:jc w:val="left"/>
        <w:rPr>
          <w:lang w:val="fr-CH"/>
        </w:rPr>
      </w:pPr>
      <w:r w:rsidRPr="00081D6E">
        <w:rPr>
          <w:lang w:val="fr-CH"/>
        </w:rPr>
        <w:t>6.1</w:t>
      </w:r>
      <w:r w:rsidRPr="00081D6E">
        <w:rPr>
          <w:lang w:val="fr-CH"/>
        </w:rPr>
        <w:tab/>
        <w:t>Liaison et collaboration avec l'UIT-T et l'UIT-D</w:t>
      </w:r>
    </w:p>
    <w:p w:rsidR="00081D6E" w:rsidRPr="00081D6E" w:rsidRDefault="00081D6E" w:rsidP="00BE6EEC">
      <w:pPr>
        <w:spacing w:before="120" w:line="240" w:lineRule="auto"/>
        <w:jc w:val="left"/>
        <w:rPr>
          <w:lang w:val="fr-CH"/>
        </w:rPr>
      </w:pPr>
      <w:r w:rsidRPr="00081D6E">
        <w:rPr>
          <w:lang w:val="fr-CH"/>
        </w:rPr>
        <w:t>La liaison et la collaboration avec le Secteur de la normalisation des télécommunications et le Secteur du développement des télécommunications de l'UIT sont traitées dans les Résolutions UIT</w:t>
      </w:r>
      <w:r w:rsidRPr="00081D6E">
        <w:rPr>
          <w:lang w:val="fr-CH"/>
        </w:rPr>
        <w:noBreakHyphen/>
        <w:t xml:space="preserve">R 6 et 7, respectivement, disponibles à l'adresse </w:t>
      </w:r>
      <w:hyperlink r:id="rId29" w:history="1">
        <w:r w:rsidRPr="00081D6E">
          <w:rPr>
            <w:rStyle w:val="Hyperlink"/>
            <w:lang w:val="fr-CH"/>
          </w:rPr>
          <w:t>http://www.itu.int/pub/R-RES</w:t>
        </w:r>
      </w:hyperlink>
      <w:r w:rsidRPr="00081D6E">
        <w:rPr>
          <w:lang w:val="fr-CH"/>
        </w:rPr>
        <w:t xml:space="preserve">. </w:t>
      </w:r>
    </w:p>
    <w:p w:rsidR="00081D6E" w:rsidRPr="00081D6E" w:rsidRDefault="00081D6E" w:rsidP="00BE6EEC">
      <w:pPr>
        <w:pStyle w:val="Heading2"/>
        <w:spacing w:before="200" w:line="240" w:lineRule="auto"/>
        <w:jc w:val="left"/>
        <w:rPr>
          <w:lang w:val="fr-CH"/>
        </w:rPr>
      </w:pPr>
      <w:r w:rsidRPr="00081D6E">
        <w:rPr>
          <w:lang w:val="fr-CH"/>
        </w:rPr>
        <w:t>6.2</w:t>
      </w:r>
      <w:r w:rsidRPr="00081D6E">
        <w:rPr>
          <w:lang w:val="fr-CH"/>
        </w:rPr>
        <w:tab/>
        <w:t>Liaison et collaboration avec d'autres organisations</w:t>
      </w:r>
    </w:p>
    <w:p w:rsidR="00081D6E" w:rsidRPr="00081D6E" w:rsidRDefault="00081D6E" w:rsidP="00BE6EEC">
      <w:pPr>
        <w:spacing w:before="120" w:line="240" w:lineRule="auto"/>
        <w:jc w:val="left"/>
        <w:rPr>
          <w:lang w:val="fr-CH"/>
        </w:rPr>
      </w:pPr>
      <w:r w:rsidRPr="00081D6E">
        <w:rPr>
          <w:lang w:val="fr-CH"/>
        </w:rPr>
        <w:t>La liaison et la collaboration avec d'autres organisations concernées, en particulier l'ISO, la CEI et le CISPR, sont traitées dans la Résolution UIT</w:t>
      </w:r>
      <w:r w:rsidRPr="00081D6E">
        <w:rPr>
          <w:lang w:val="fr-CH"/>
        </w:rPr>
        <w:noBreakHyphen/>
        <w:t>R 9. Les lignes directrices, élaborées conformément à la Résolution UIT</w:t>
      </w:r>
      <w:r w:rsidRPr="00081D6E">
        <w:rPr>
          <w:lang w:val="fr-CH"/>
        </w:rPr>
        <w:noBreakHyphen/>
        <w:t xml:space="preserve">R 9, sont disponibles à l'adresse </w:t>
      </w:r>
      <w:hyperlink r:id="rId30" w:history="1">
        <w:r w:rsidRPr="00081D6E">
          <w:rPr>
            <w:rStyle w:val="Hyperlink"/>
            <w:lang w:val="fr-CH"/>
          </w:rPr>
          <w:t>http://www.itu.int/en/ITU-R/study-groups/Pages/extcoop.aspx</w:t>
        </w:r>
      </w:hyperlink>
      <w:r w:rsidRPr="00081D6E">
        <w:rPr>
          <w:lang w:val="fr-CH"/>
        </w:rPr>
        <w:t>.</w:t>
      </w:r>
    </w:p>
    <w:p w:rsidR="00081D6E" w:rsidRPr="00081D6E" w:rsidRDefault="00081D6E" w:rsidP="00BE6EEC">
      <w:pPr>
        <w:pStyle w:val="Heading1"/>
        <w:spacing w:before="360" w:line="240" w:lineRule="auto"/>
        <w:jc w:val="left"/>
        <w:rPr>
          <w:lang w:val="fr-CH"/>
        </w:rPr>
      </w:pPr>
      <w:bookmarkStart w:id="529" w:name="_Toc355943795"/>
      <w:bookmarkStart w:id="530" w:name="_Toc449510523"/>
      <w:bookmarkStart w:id="531" w:name="_Toc449622629"/>
      <w:r w:rsidRPr="00081D6E">
        <w:rPr>
          <w:lang w:val="fr-CH"/>
        </w:rPr>
        <w:lastRenderedPageBreak/>
        <w:t>7</w:t>
      </w:r>
      <w:r w:rsidRPr="00081D6E">
        <w:rPr>
          <w:lang w:val="fr-CH"/>
        </w:rPr>
        <w:tab/>
        <w:t>Participation à distance</w:t>
      </w:r>
      <w:bookmarkEnd w:id="529"/>
      <w:bookmarkEnd w:id="530"/>
      <w:bookmarkEnd w:id="531"/>
    </w:p>
    <w:p w:rsidR="00081D6E" w:rsidRPr="00081D6E" w:rsidRDefault="00081D6E" w:rsidP="00BE6EEC">
      <w:pPr>
        <w:spacing w:before="120" w:line="240" w:lineRule="auto"/>
        <w:jc w:val="left"/>
        <w:rPr>
          <w:lang w:val="fr-CH" w:eastAsia="zh-CN"/>
        </w:rPr>
      </w:pPr>
      <w:r w:rsidRPr="00081D6E">
        <w:rPr>
          <w:lang w:val="fr-CH" w:eastAsia="zh-CN"/>
        </w:rPr>
        <w:t>La diffusion audio sur le web est disponible pour toutes les séances plénières des réunions des commissions d'études et des groupes de travail qui se tiennent à Genève, pour les utilisateurs inscrits au système TIES. Les participants qui souhaitent uniquement écouter la séance sont invités à utiliser ce service de diffusion sur le web et n'ont pas besoin d'être inscrits à la réunion pour ce faire.</w:t>
      </w:r>
    </w:p>
    <w:p w:rsidR="00081D6E" w:rsidRPr="00081D6E" w:rsidRDefault="00081D6E" w:rsidP="00BE6EEC">
      <w:pPr>
        <w:spacing w:before="120" w:line="240" w:lineRule="auto"/>
        <w:jc w:val="left"/>
        <w:rPr>
          <w:lang w:val="fr-CH"/>
        </w:rPr>
      </w:pPr>
      <w:r w:rsidRPr="00081D6E">
        <w:rPr>
          <w:lang w:val="fr-CH" w:eastAsia="zh-CN"/>
        </w:rPr>
        <w:t xml:space="preserve">Conformément aux suggestions faites par le Groupe consultatif des radiocommunications, des dispositions ont été adoptées pour que les participants à distance prennent activement part aux réunions pertinentes d'un groupe de travail lorsqu'aucun processus décisionnel formel n'est engagé (par exemple, pour présenter une contribution ou faire un exposé). </w:t>
      </w:r>
      <w:r w:rsidRPr="00081D6E">
        <w:rPr>
          <w:lang w:val="fr-CH"/>
        </w:rPr>
        <w:t xml:space="preserve">Le secrétariat mettra tout en oeuvre pour faciliter cette participation active, mais il convient de reconnaître que, dans certains cas, cela ne sera peut-être pas possible pour différentes raisons; il se peut que les salles de réunion ne soient pas toutes dûment équipées, que les effectifs de personnel d'appui soient limités et qu'un grand nombre de réunions se tiennent en parallèle, sans oublier la nécessité, pour les participants à distance, de disposer d'un accès à Internet de haute qualité ainsi que d'une connexion téléphonique. Les délégués qui souhaitent utiliser les services de participation à distance sont tenus de coordonner leur </w:t>
      </w:r>
      <w:r w:rsidRPr="00081D6E">
        <w:rPr>
          <w:lang w:val="fr-CH" w:eastAsia="zh-CN"/>
        </w:rPr>
        <w:t>participation avec le Conseiller du groupe de travail correspondant au moins un mois avant la réunion.</w:t>
      </w:r>
    </w:p>
    <w:p w:rsidR="00081D6E" w:rsidRPr="00081D6E" w:rsidRDefault="00081D6E" w:rsidP="00BE6EEC">
      <w:pPr>
        <w:spacing w:before="120" w:line="240" w:lineRule="auto"/>
        <w:jc w:val="left"/>
        <w:rPr>
          <w:lang w:val="fr-CH"/>
        </w:rPr>
      </w:pPr>
      <w:r w:rsidRPr="00081D6E">
        <w:rPr>
          <w:lang w:val="fr-CH"/>
        </w:rPr>
        <w:t>Pour les réunions organisées en dehors de Genève, les services de diffusion audio sur le web et de participation à distance ne seront assurés que si le lieu de la réunion est équipé d'installations appropriées.</w:t>
      </w:r>
    </w:p>
    <w:p w:rsidR="00081D6E" w:rsidRPr="00081D6E" w:rsidRDefault="00081D6E" w:rsidP="00BE6EEC">
      <w:pPr>
        <w:pStyle w:val="Heading1"/>
        <w:spacing w:before="360" w:line="240" w:lineRule="auto"/>
        <w:jc w:val="left"/>
        <w:rPr>
          <w:lang w:val="fr-CH"/>
        </w:rPr>
      </w:pPr>
      <w:bookmarkStart w:id="532" w:name="_Toc449510524"/>
      <w:bookmarkStart w:id="533" w:name="_Toc449622630"/>
      <w:r w:rsidRPr="00081D6E">
        <w:rPr>
          <w:lang w:val="fr-CH"/>
        </w:rPr>
        <w:t>8</w:t>
      </w:r>
      <w:r w:rsidRPr="00081D6E">
        <w:rPr>
          <w:lang w:val="fr-CH"/>
        </w:rPr>
        <w:tab/>
        <w:t>Sous-titrage</w:t>
      </w:r>
      <w:bookmarkEnd w:id="532"/>
      <w:bookmarkEnd w:id="533"/>
    </w:p>
    <w:p w:rsidR="00081D6E" w:rsidRPr="00081D6E" w:rsidRDefault="00081D6E" w:rsidP="00BE6EEC">
      <w:pPr>
        <w:spacing w:before="120" w:line="240" w:lineRule="auto"/>
        <w:jc w:val="left"/>
        <w:rPr>
          <w:lang w:val="fr-CH"/>
        </w:rPr>
      </w:pPr>
      <w:r w:rsidRPr="00081D6E">
        <w:rPr>
          <w:lang w:val="fr-CH"/>
        </w:rPr>
        <w:t>Toutes les séances plénières de l'AR et des Commissions d'études sont tenues avec un sous-titrage en direct en anglais, dont la transcription est ensuite mise à disposition sur le site web de l'UIT.</w:t>
      </w:r>
    </w:p>
    <w:p w:rsidR="00081D6E" w:rsidRPr="00081D6E" w:rsidRDefault="00081D6E" w:rsidP="00BE6EEC">
      <w:pPr>
        <w:pStyle w:val="Heading1"/>
        <w:spacing w:before="360" w:line="240" w:lineRule="auto"/>
        <w:jc w:val="left"/>
        <w:rPr>
          <w:lang w:val="fr-CH"/>
        </w:rPr>
      </w:pPr>
      <w:bookmarkStart w:id="534" w:name="_Toc78185205"/>
      <w:bookmarkStart w:id="535" w:name="_Toc78185374"/>
      <w:bookmarkStart w:id="536" w:name="_Toc125510213"/>
      <w:bookmarkStart w:id="537" w:name="_Toc213648050"/>
      <w:bookmarkStart w:id="538" w:name="_Toc213648299"/>
      <w:bookmarkStart w:id="539" w:name="_Toc355943796"/>
      <w:bookmarkStart w:id="540" w:name="_Toc449510525"/>
      <w:bookmarkStart w:id="541" w:name="_Toc449622631"/>
      <w:r w:rsidRPr="00081D6E">
        <w:rPr>
          <w:lang w:val="fr-CH"/>
        </w:rPr>
        <w:t>9</w:t>
      </w:r>
      <w:r w:rsidRPr="00081D6E">
        <w:rPr>
          <w:lang w:val="fr-CH"/>
        </w:rPr>
        <w:tab/>
        <w:t>Politique en matière de droits de propriété intellectuelle</w:t>
      </w:r>
      <w:bookmarkEnd w:id="534"/>
      <w:bookmarkEnd w:id="535"/>
      <w:bookmarkEnd w:id="536"/>
      <w:bookmarkEnd w:id="537"/>
      <w:bookmarkEnd w:id="538"/>
      <w:bookmarkEnd w:id="539"/>
      <w:bookmarkEnd w:id="540"/>
      <w:bookmarkEnd w:id="541"/>
      <w:r w:rsidRPr="00081D6E">
        <w:rPr>
          <w:lang w:val="fr-CH"/>
        </w:rPr>
        <w:t xml:space="preserve"> </w:t>
      </w:r>
    </w:p>
    <w:p w:rsidR="00081D6E" w:rsidRPr="00081D6E" w:rsidRDefault="00081D6E" w:rsidP="00BE6EEC">
      <w:pPr>
        <w:spacing w:before="120" w:line="240" w:lineRule="auto"/>
        <w:jc w:val="left"/>
        <w:rPr>
          <w:lang w:val="fr-CH"/>
        </w:rPr>
      </w:pPr>
      <w:r w:rsidRPr="00081D6E">
        <w:rPr>
          <w:lang w:val="fr-CH"/>
        </w:rPr>
        <w:t>La politique de l'UIT</w:t>
      </w:r>
      <w:r w:rsidRPr="00081D6E">
        <w:rPr>
          <w:lang w:val="fr-CH"/>
        </w:rPr>
        <w:noBreakHyphen/>
        <w:t>R en matière de droits de propriété intellectuelle est décrite dans la «Politique commune UIT</w:t>
      </w:r>
      <w:r w:rsidRPr="00081D6E">
        <w:rPr>
          <w:lang w:val="fr-CH"/>
        </w:rPr>
        <w:noBreakHyphen/>
        <w:t>T/UIT</w:t>
      </w:r>
      <w:r w:rsidRPr="00081D6E">
        <w:rPr>
          <w:lang w:val="fr-CH"/>
        </w:rPr>
        <w:noBreakHyphen/>
        <w:t xml:space="preserve">R/ISO/CEI en matière de brevets», dont il est question au § A2.6.1 Note 2 de l'Annexe 2 de la Résolution UIT-R 1. Les formulaires que les titulaires de brevets doivent utiliser pour soumettre les déclarations de brevet et d'octroi de licence sont accessibles à l'adresse: </w:t>
      </w:r>
      <w:hyperlink r:id="rId31" w:history="1">
        <w:r w:rsidRPr="00081D6E">
          <w:rPr>
            <w:rStyle w:val="Hyperlink"/>
            <w:lang w:val="fr-CH"/>
          </w:rPr>
          <w:t>http://itu.int/go/ITUpatents</w:t>
        </w:r>
      </w:hyperlink>
      <w:r w:rsidRPr="00081D6E">
        <w:rPr>
          <w:lang w:val="fr-CH"/>
        </w:rPr>
        <w:t>, où l'on trouvera également les Lignes directrices relatives à la mise en oeuvre de la politique commune de l'UIT</w:t>
      </w:r>
      <w:r w:rsidRPr="00081D6E">
        <w:rPr>
          <w:lang w:val="fr-CH"/>
        </w:rPr>
        <w:noBreakHyphen/>
        <w:t>T, l'UIT</w:t>
      </w:r>
      <w:r w:rsidRPr="00081D6E">
        <w:rPr>
          <w:lang w:val="fr-CH"/>
        </w:rPr>
        <w:noBreakHyphen/>
        <w:t>R, l'ISO et la CEI</w:t>
      </w:r>
      <w:r w:rsidRPr="00081D6E" w:rsidDel="0061025C">
        <w:rPr>
          <w:lang w:val="fr-CH"/>
        </w:rPr>
        <w:t xml:space="preserve"> </w:t>
      </w:r>
      <w:r w:rsidRPr="00081D6E">
        <w:rPr>
          <w:lang w:val="fr-CH"/>
        </w:rPr>
        <w:t>en matière de brevets et la base de données en matière de brevets de l'UIT-R.</w:t>
      </w:r>
    </w:p>
    <w:p w:rsidR="00081D6E" w:rsidRPr="00081D6E" w:rsidRDefault="00081D6E" w:rsidP="00BE6EEC">
      <w:pPr>
        <w:pStyle w:val="Heading1"/>
        <w:spacing w:before="360" w:line="240" w:lineRule="auto"/>
        <w:jc w:val="left"/>
        <w:rPr>
          <w:lang w:val="fr-CH"/>
        </w:rPr>
      </w:pPr>
      <w:bookmarkStart w:id="542" w:name="_Toc355943797"/>
      <w:bookmarkStart w:id="543" w:name="_Toc449510526"/>
      <w:bookmarkStart w:id="544" w:name="_Toc449622632"/>
      <w:bookmarkStart w:id="545" w:name="_Toc354672861"/>
      <w:r w:rsidRPr="00081D6E">
        <w:rPr>
          <w:lang w:val="fr-CH"/>
        </w:rPr>
        <w:t>10</w:t>
      </w:r>
      <w:r w:rsidRPr="00081D6E">
        <w:rPr>
          <w:lang w:val="fr-CH"/>
        </w:rPr>
        <w:tab/>
        <w:t>Lignes directrices et formulaire relatifs aux droits d'auteur afférents aux logiciels</w:t>
      </w:r>
      <w:bookmarkEnd w:id="542"/>
      <w:bookmarkEnd w:id="543"/>
      <w:bookmarkEnd w:id="544"/>
      <w:r w:rsidRPr="00081D6E">
        <w:rPr>
          <w:lang w:val="fr-CH"/>
        </w:rPr>
        <w:t xml:space="preserve"> </w:t>
      </w:r>
      <w:bookmarkEnd w:id="545"/>
    </w:p>
    <w:p w:rsidR="00081D6E" w:rsidRPr="00081D6E" w:rsidRDefault="00081D6E" w:rsidP="00BE6EEC">
      <w:pPr>
        <w:spacing w:before="120" w:line="240" w:lineRule="auto"/>
        <w:jc w:val="left"/>
        <w:rPr>
          <w:lang w:val="fr-CH"/>
        </w:rPr>
      </w:pPr>
      <w:r w:rsidRPr="00081D6E">
        <w:rPr>
          <w:lang w:val="fr-CH"/>
        </w:rPr>
        <w:t xml:space="preserve">Les Lignes directrices de l'UIT relatives aux droits d'auteur afférents aux logiciels donnent des indications aux commissions d'études concernant l'incorporation de contenus protégés par la législation sur les droits d'auteur dans des Recommandations UIT-R, qui peuvent être consultées à l'adresse: </w:t>
      </w:r>
      <w:hyperlink r:id="rId32" w:history="1">
        <w:r w:rsidRPr="00081D6E">
          <w:rPr>
            <w:rStyle w:val="Hyperlink"/>
            <w:lang w:val="fr-CH"/>
          </w:rPr>
          <w:t>http://www.itu.int/oth/T0404000004/en</w:t>
        </w:r>
      </w:hyperlink>
      <w:r w:rsidRPr="00081D6E">
        <w:rPr>
          <w:lang w:val="fr-CH"/>
        </w:rPr>
        <w:t xml:space="preserve">. Les formulaires que les détenteurs de droits d'auteur doivent utiliser pour soumettre les déclarations de droits d'auteur et d'octroi de licence afférentes aux logiciels sont accessibles à l'adresse: </w:t>
      </w:r>
      <w:hyperlink r:id="rId33" w:history="1">
        <w:r w:rsidRPr="00081D6E">
          <w:rPr>
            <w:rStyle w:val="Hyperlink"/>
            <w:lang w:val="fr-CH"/>
          </w:rPr>
          <w:t>http://www.itu.int/oth/T0404000005/en</w:t>
        </w:r>
      </w:hyperlink>
      <w:r w:rsidRPr="00081D6E">
        <w:rPr>
          <w:lang w:val="fr-CH"/>
        </w:rPr>
        <w:t>.</w:t>
      </w:r>
    </w:p>
    <w:p w:rsidR="00081D6E" w:rsidRPr="00081D6E" w:rsidRDefault="00081D6E" w:rsidP="00BE6EEC">
      <w:pPr>
        <w:tabs>
          <w:tab w:val="clear" w:pos="794"/>
          <w:tab w:val="clear" w:pos="1191"/>
          <w:tab w:val="clear" w:pos="1588"/>
          <w:tab w:val="clear" w:pos="1985"/>
        </w:tabs>
        <w:overflowPunct/>
        <w:autoSpaceDE/>
        <w:autoSpaceDN/>
        <w:adjustRightInd/>
        <w:spacing w:before="0" w:line="240" w:lineRule="auto"/>
        <w:textAlignment w:val="auto"/>
        <w:rPr>
          <w:lang w:val="fr-CH"/>
        </w:rPr>
      </w:pPr>
      <w:r w:rsidRPr="00081D6E">
        <w:rPr>
          <w:lang w:val="fr-CH"/>
        </w:rPr>
        <w:br w:type="page"/>
      </w:r>
    </w:p>
    <w:p w:rsidR="00081D6E" w:rsidRPr="002C04A0" w:rsidRDefault="00081D6E" w:rsidP="00BE6EEC">
      <w:pPr>
        <w:pStyle w:val="AnnexNotitle0"/>
        <w:rPr>
          <w:rFonts w:asciiTheme="minorHAnsi" w:hAnsiTheme="minorHAnsi"/>
          <w:b w:val="0"/>
          <w:bCs/>
        </w:rPr>
      </w:pPr>
      <w:r w:rsidRPr="002C04A0">
        <w:rPr>
          <w:rFonts w:asciiTheme="minorHAnsi" w:hAnsiTheme="minorHAnsi"/>
          <w:b w:val="0"/>
          <w:bCs/>
        </w:rPr>
        <w:lastRenderedPageBreak/>
        <w:t>ANNEXE</w:t>
      </w:r>
    </w:p>
    <w:p w:rsidR="00081D6E" w:rsidRPr="002C04A0" w:rsidRDefault="00081D6E" w:rsidP="00BE6EEC">
      <w:pPr>
        <w:pStyle w:val="AnnexNotitle0"/>
        <w:spacing w:after="120"/>
        <w:rPr>
          <w:rFonts w:asciiTheme="minorHAnsi" w:hAnsiTheme="minorHAnsi"/>
          <w:b w:val="0"/>
          <w:bCs/>
        </w:rPr>
      </w:pPr>
      <w:r w:rsidRPr="002C04A0">
        <w:rPr>
          <w:rFonts w:asciiTheme="minorHAnsi" w:hAnsiTheme="minorHAnsi"/>
          <w:bCs/>
        </w:rPr>
        <w:t>Format commun obligatoire à utiliser pour les Recommandations UIT-R</w:t>
      </w:r>
    </w:p>
    <w:p w:rsidR="00081D6E" w:rsidRPr="002C04A0" w:rsidRDefault="00081D6E" w:rsidP="00BE6EEC">
      <w:pPr>
        <w:pStyle w:val="Headingb"/>
        <w:spacing w:before="320" w:line="240" w:lineRule="auto"/>
        <w:rPr>
          <w:rFonts w:asciiTheme="minorHAnsi" w:hAnsiTheme="minorHAnsi"/>
          <w:lang w:val="fr-CH"/>
        </w:rPr>
      </w:pPr>
      <w:r w:rsidRPr="002C04A0">
        <w:rPr>
          <w:rFonts w:asciiTheme="minorHAnsi" w:hAnsiTheme="minorHAnsi"/>
          <w:lang w:val="fr-CH"/>
        </w:rPr>
        <w:t>Résumé</w:t>
      </w:r>
    </w:p>
    <w:p w:rsidR="00081D6E" w:rsidRPr="002C04A0" w:rsidRDefault="00081D6E" w:rsidP="00BE6EEC">
      <w:pPr>
        <w:spacing w:line="240" w:lineRule="auto"/>
        <w:rPr>
          <w:rFonts w:asciiTheme="minorHAnsi" w:hAnsiTheme="minorHAnsi"/>
          <w:lang w:val="fr-CH"/>
        </w:rPr>
      </w:pPr>
    </w:p>
    <w:tbl>
      <w:tblPr>
        <w:tblW w:w="9064" w:type="dxa"/>
        <w:jc w:val="center"/>
        <w:tblLayout w:type="fixed"/>
        <w:tblLook w:val="0000" w:firstRow="0" w:lastRow="0" w:firstColumn="0" w:lastColumn="0" w:noHBand="0" w:noVBand="0"/>
      </w:tblPr>
      <w:tblGrid>
        <w:gridCol w:w="9064"/>
      </w:tblGrid>
      <w:tr w:rsidR="00081D6E" w:rsidRPr="002C04A0" w:rsidTr="00081D6E">
        <w:trPr>
          <w:cantSplit/>
          <w:trHeight w:val="284"/>
          <w:jc w:val="center"/>
        </w:trPr>
        <w:tc>
          <w:tcPr>
            <w:tcW w:w="9064"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tabs>
                <w:tab w:val="left" w:pos="1560"/>
              </w:tabs>
              <w:spacing w:line="240" w:lineRule="auto"/>
              <w:rPr>
                <w:rFonts w:asciiTheme="minorHAnsi" w:hAnsiTheme="minorHAnsi" w:cstheme="majorBidi"/>
                <w:szCs w:val="24"/>
                <w:lang w:val="fr-CH"/>
              </w:rPr>
            </w:pPr>
            <w:r w:rsidRPr="002C04A0">
              <w:rPr>
                <w:rFonts w:asciiTheme="minorHAnsi" w:hAnsiTheme="minorHAnsi" w:cstheme="majorBidi"/>
                <w:szCs w:val="24"/>
                <w:lang w:val="fr-CH"/>
              </w:rPr>
              <w:t>Cet élément est placé en tête de la Recommandation. Il en présente l'objet et le contenu sous la forme d'un bref aperçu indiquant les raisons de l'étude et les motifs de l'élaboration de la Recommandation, ce qui permet aux membres et aux utilisateurs de l'UIT d'en évaluer l'utilité pour leurs propres travaux.</w:t>
            </w:r>
          </w:p>
          <w:p w:rsidR="00081D6E" w:rsidRPr="002C04A0" w:rsidRDefault="00081D6E" w:rsidP="00BE6EEC">
            <w:pPr>
              <w:tabs>
                <w:tab w:val="left" w:pos="1560"/>
              </w:tabs>
              <w:spacing w:line="240" w:lineRule="auto"/>
              <w:rPr>
                <w:rFonts w:asciiTheme="minorHAnsi" w:hAnsiTheme="minorHAnsi" w:cstheme="majorBidi"/>
                <w:szCs w:val="24"/>
                <w:lang w:val="fr-CH"/>
              </w:rPr>
            </w:pPr>
            <w:r w:rsidRPr="002C04A0">
              <w:rPr>
                <w:rFonts w:asciiTheme="minorHAnsi" w:hAnsiTheme="minorHAnsi" w:cstheme="majorBidi"/>
                <w:szCs w:val="24"/>
                <w:lang w:val="fr-CH"/>
              </w:rPr>
              <w:t>En cas de révision ou de modification d'une Recommandation existante, cet élément devrait comporter une description succincte des changements qui y ont été apportés, en particulier s'il s'agit d'une Recommandation incorporée par référence dans le Règlement des radiocommunications.</w:t>
            </w:r>
          </w:p>
          <w:p w:rsidR="00081D6E" w:rsidRPr="002C04A0" w:rsidRDefault="00081D6E" w:rsidP="00BE6EEC">
            <w:pPr>
              <w:pStyle w:val="TableText0"/>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Cet élément définit sans ambigüité le but ou le sujet de la Recommandation, et:</w:t>
            </w:r>
          </w:p>
          <w:p w:rsidR="00081D6E" w:rsidRPr="002C04A0" w:rsidRDefault="00081D6E" w:rsidP="00BE6EEC">
            <w:pPr>
              <w:pStyle w:val="TableText0"/>
              <w:numPr>
                <w:ilvl w:val="0"/>
                <w:numId w:val="4"/>
              </w:numPr>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devrait clarifier l'objectif de la Recommandation;</w:t>
            </w:r>
          </w:p>
          <w:p w:rsidR="00081D6E" w:rsidRPr="002C04A0" w:rsidRDefault="00081D6E" w:rsidP="00BE6EEC">
            <w:pPr>
              <w:pStyle w:val="TableText0"/>
              <w:numPr>
                <w:ilvl w:val="0"/>
                <w:numId w:val="4"/>
              </w:numPr>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devrait indiquer les limites d'applicabilité de la Recommandation.</w:t>
            </w:r>
          </w:p>
          <w:p w:rsidR="00081D6E" w:rsidRPr="002C04A0" w:rsidRDefault="00081D6E" w:rsidP="00BE6EEC">
            <w:pPr>
              <w:pStyle w:val="TableText0"/>
              <w:spacing w:before="120" w:after="120" w:line="240" w:lineRule="auto"/>
              <w:jc w:val="left"/>
              <w:rPr>
                <w:rFonts w:asciiTheme="minorHAnsi" w:hAnsiTheme="minorHAnsi" w:cstheme="majorBidi"/>
                <w:sz w:val="24"/>
                <w:szCs w:val="24"/>
                <w:lang w:val="fr-CH"/>
              </w:rPr>
            </w:pPr>
            <w:r w:rsidRPr="002C04A0">
              <w:rPr>
                <w:rFonts w:asciiTheme="minorHAnsi" w:hAnsiTheme="minorHAnsi" w:cstheme="majorBidi"/>
                <w:sz w:val="24"/>
                <w:szCs w:val="24"/>
                <w:lang w:val="fr-CH"/>
              </w:rPr>
              <w:t>Le résumé devrait être supprimé du texte de la Recommandation une fois que celle-ci a été approuvée.</w:t>
            </w:r>
          </w:p>
        </w:tc>
      </w:tr>
    </w:tbl>
    <w:p w:rsidR="00081D6E" w:rsidRPr="002C04A0" w:rsidRDefault="00081D6E" w:rsidP="00BE6EEC">
      <w:pPr>
        <w:spacing w:line="240" w:lineRule="auto"/>
        <w:rPr>
          <w:rFonts w:asciiTheme="minorHAnsi" w:hAnsiTheme="minorHAnsi"/>
          <w:lang w:val="fr-CH"/>
        </w:rPr>
      </w:pPr>
    </w:p>
    <w:p w:rsidR="00081D6E" w:rsidRPr="002C04A0" w:rsidRDefault="00081D6E" w:rsidP="00BE6EEC">
      <w:pPr>
        <w:pStyle w:val="TableText0"/>
        <w:tabs>
          <w:tab w:val="clear" w:pos="794"/>
          <w:tab w:val="clear" w:pos="1191"/>
          <w:tab w:val="clear" w:pos="1588"/>
          <w:tab w:val="clear" w:pos="1985"/>
          <w:tab w:val="left" w:pos="5387"/>
        </w:tabs>
        <w:spacing w:before="0" w:after="0" w:line="240" w:lineRule="auto"/>
        <w:jc w:val="left"/>
        <w:rPr>
          <w:rFonts w:asciiTheme="minorHAnsi" w:hAnsiTheme="minorHAnsi" w:cstheme="majorBidi"/>
          <w:sz w:val="24"/>
          <w:szCs w:val="24"/>
          <w:lang w:val="fr-CH"/>
        </w:rPr>
      </w:pPr>
      <w:r w:rsidRPr="002C04A0">
        <w:rPr>
          <w:rFonts w:asciiTheme="minorHAnsi" w:hAnsiTheme="minorHAnsi" w:cstheme="majorBidi"/>
          <w:b/>
          <w:bCs/>
          <w:sz w:val="40"/>
          <w:szCs w:val="40"/>
          <w:lang w:val="fr-CH"/>
        </w:rPr>
        <w:sym w:font="Wingdings 3" w:char="F03B"/>
      </w:r>
      <w:r w:rsidRPr="002C04A0">
        <w:rPr>
          <w:rFonts w:asciiTheme="minorHAnsi" w:hAnsiTheme="minorHAnsi" w:cstheme="majorBidi"/>
          <w:b/>
          <w:bCs/>
          <w:sz w:val="32"/>
          <w:szCs w:val="32"/>
          <w:lang w:val="fr-CH"/>
        </w:rPr>
        <w:t xml:space="preserve"> </w:t>
      </w:r>
      <w:r w:rsidRPr="002C04A0">
        <w:rPr>
          <w:rFonts w:asciiTheme="minorHAnsi" w:hAnsiTheme="minorHAnsi" w:cstheme="majorBidi"/>
          <w:b/>
          <w:bCs/>
          <w:sz w:val="24"/>
          <w:szCs w:val="24"/>
          <w:lang w:val="fr-CH"/>
        </w:rPr>
        <w:t>[</w:t>
      </w:r>
      <w:r w:rsidRPr="002C04A0">
        <w:rPr>
          <w:rFonts w:asciiTheme="minorHAnsi" w:hAnsiTheme="minorHAnsi" w:cstheme="majorBidi"/>
          <w:sz w:val="20"/>
          <w:lang w:val="fr-CH"/>
        </w:rPr>
        <w:t>soumis à l'examen de la CE compétente</w:t>
      </w:r>
      <w:r w:rsidRPr="002C04A0">
        <w:rPr>
          <w:rFonts w:asciiTheme="minorHAnsi" w:hAnsiTheme="minorHAnsi" w:cstheme="majorBidi"/>
          <w:sz w:val="24"/>
          <w:szCs w:val="24"/>
          <w:lang w:val="fr-CH"/>
        </w:rPr>
        <w:t>]</w:t>
      </w:r>
    </w:p>
    <w:p w:rsidR="00081D6E" w:rsidRPr="002C04A0" w:rsidRDefault="00081D6E" w:rsidP="00BE6EEC">
      <w:pPr>
        <w:pStyle w:val="TableText0"/>
        <w:spacing w:before="0" w:after="120" w:line="240" w:lineRule="auto"/>
        <w:jc w:val="center"/>
        <w:rPr>
          <w:rFonts w:asciiTheme="minorHAnsi" w:hAnsiTheme="minorHAnsi" w:cstheme="majorBidi"/>
          <w:b/>
          <w:bCs/>
          <w:sz w:val="28"/>
          <w:szCs w:val="28"/>
          <w:lang w:val="fr-CH"/>
        </w:rPr>
      </w:pPr>
      <w:r w:rsidRPr="002C04A0">
        <w:rPr>
          <w:rFonts w:asciiTheme="minorHAnsi" w:hAnsiTheme="minorHAnsi" w:cstheme="majorBidi"/>
          <w:b/>
          <w:bCs/>
          <w:sz w:val="28"/>
          <w:szCs w:val="28"/>
          <w:lang w:val="fr-CH"/>
        </w:rPr>
        <w:t xml:space="preserve">Recommandation UIT-R (Série).XXX-version </w:t>
      </w:r>
      <w:r w:rsidRPr="002C04A0">
        <w:rPr>
          <w:rFonts w:asciiTheme="minorHAnsi" w:hAnsiTheme="minorHAnsi" w:cstheme="majorBidi"/>
          <w:b/>
          <w:bCs/>
          <w:sz w:val="28"/>
          <w:szCs w:val="28"/>
          <w:vertAlign w:val="superscript"/>
          <w:lang w:val="fr-CH"/>
        </w:rPr>
        <w:t>[*]</w:t>
      </w:r>
    </w:p>
    <w:p w:rsidR="00081D6E" w:rsidRPr="002C04A0" w:rsidRDefault="00081D6E" w:rsidP="00BE6EEC">
      <w:pPr>
        <w:pStyle w:val="TableText0"/>
        <w:tabs>
          <w:tab w:val="clear" w:pos="794"/>
          <w:tab w:val="clear" w:pos="1191"/>
          <w:tab w:val="clear" w:pos="1588"/>
          <w:tab w:val="clear" w:pos="1985"/>
          <w:tab w:val="left" w:pos="6946"/>
        </w:tabs>
        <w:spacing w:before="0" w:after="0" w:line="240" w:lineRule="auto"/>
        <w:jc w:val="left"/>
        <w:rPr>
          <w:rFonts w:asciiTheme="minorHAnsi" w:hAnsiTheme="minorHAnsi" w:cstheme="majorBidi"/>
          <w:b/>
          <w:bCs/>
          <w:sz w:val="40"/>
          <w:szCs w:val="40"/>
          <w:lang w:val="fr-CH"/>
        </w:rPr>
      </w:pPr>
      <w:r w:rsidRPr="002C04A0">
        <w:rPr>
          <w:rFonts w:asciiTheme="minorHAnsi" w:hAnsiTheme="minorHAnsi" w:cstheme="majorBidi"/>
          <w:b/>
          <w:bCs/>
          <w:sz w:val="40"/>
          <w:szCs w:val="40"/>
          <w:lang w:val="fr-CH"/>
        </w:rPr>
        <w:sym w:font="Wingdings 3" w:char="F039"/>
      </w:r>
      <w:r w:rsidRPr="002C04A0">
        <w:rPr>
          <w:rFonts w:asciiTheme="minorHAnsi" w:hAnsiTheme="minorHAnsi" w:cstheme="majorBidi"/>
          <w:b/>
          <w:bCs/>
          <w:sz w:val="40"/>
          <w:szCs w:val="40"/>
          <w:lang w:val="fr-CH"/>
        </w:rPr>
        <w:t xml:space="preserve"> </w:t>
      </w:r>
      <w:r w:rsidRPr="002C04A0">
        <w:rPr>
          <w:rFonts w:asciiTheme="minorHAnsi" w:hAnsiTheme="minorHAnsi" w:cstheme="majorBidi"/>
          <w:sz w:val="24"/>
          <w:szCs w:val="24"/>
          <w:lang w:val="fr-CH"/>
        </w:rPr>
        <w:t>[</w:t>
      </w:r>
      <w:r w:rsidRPr="002C04A0">
        <w:rPr>
          <w:rFonts w:asciiTheme="minorHAnsi" w:hAnsiTheme="minorHAnsi" w:cstheme="majorBidi"/>
          <w:sz w:val="20"/>
          <w:lang w:val="fr-CH"/>
        </w:rPr>
        <w:t>à partir de 0, p. ex. 1154-0</w:t>
      </w:r>
      <w:r w:rsidRPr="002C04A0">
        <w:rPr>
          <w:rFonts w:asciiTheme="minorHAnsi" w:hAnsiTheme="minorHAnsi" w:cstheme="majorBidi"/>
          <w:sz w:val="24"/>
          <w:szCs w:val="24"/>
          <w:lang w:val="fr-CH"/>
        </w:rPr>
        <w:t>]</w:t>
      </w:r>
    </w:p>
    <w:p w:rsidR="00081D6E" w:rsidRPr="002C04A0" w:rsidRDefault="00081D6E" w:rsidP="00BE6EEC">
      <w:pPr>
        <w:pStyle w:val="Title4"/>
        <w:spacing w:line="240" w:lineRule="auto"/>
        <w:rPr>
          <w:rFonts w:asciiTheme="minorHAnsi" w:hAnsiTheme="minorHAnsi"/>
          <w:lang w:val="fr-CH"/>
        </w:rPr>
      </w:pPr>
      <w:r w:rsidRPr="002C04A0">
        <w:rPr>
          <w:rFonts w:asciiTheme="minorHAnsi" w:hAnsiTheme="minorHAnsi"/>
          <w:lang w:val="fr-CH"/>
        </w:rPr>
        <w:t>Titre</w:t>
      </w:r>
    </w:p>
    <w:p w:rsidR="00081D6E" w:rsidRPr="002C04A0" w:rsidRDefault="00081D6E" w:rsidP="00BE6EEC">
      <w:pPr>
        <w:spacing w:line="240" w:lineRule="auto"/>
        <w:rPr>
          <w:rFonts w:asciiTheme="minorHAnsi" w:hAnsiTheme="minorHAnsi"/>
          <w:lang w:val="fr-CH"/>
        </w:rPr>
      </w:pPr>
    </w:p>
    <w:tbl>
      <w:tblPr>
        <w:tblW w:w="0" w:type="dxa"/>
        <w:tblLayout w:type="fixed"/>
        <w:tblLook w:val="0000" w:firstRow="0" w:lastRow="0" w:firstColumn="0" w:lastColumn="0" w:noHBand="0" w:noVBand="0"/>
      </w:tblPr>
      <w:tblGrid>
        <w:gridCol w:w="9639"/>
      </w:tblGrid>
      <w:tr w:rsidR="00081D6E" w:rsidRPr="002C04A0" w:rsidTr="00081D6E">
        <w:trPr>
          <w:cantSplit/>
          <w:trHeight w:val="284"/>
        </w:trPr>
        <w:tc>
          <w:tcPr>
            <w:tcW w:w="9639"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pStyle w:val="TableText0"/>
              <w:numPr>
                <w:ilvl w:val="0"/>
                <w:numId w:val="7"/>
              </w:numPr>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devrait refléter l'objet principal de la Recommandation;</w:t>
            </w:r>
          </w:p>
          <w:p w:rsidR="00081D6E" w:rsidRPr="002C04A0" w:rsidRDefault="00081D6E" w:rsidP="00BE6EEC">
            <w:pPr>
              <w:pStyle w:val="TableText0"/>
              <w:numPr>
                <w:ilvl w:val="0"/>
                <w:numId w:val="7"/>
              </w:numPr>
              <w:spacing w:before="120" w:after="120" w:line="240" w:lineRule="auto"/>
              <w:jc w:val="left"/>
              <w:rPr>
                <w:rFonts w:asciiTheme="minorHAnsi" w:hAnsiTheme="minorHAnsi" w:cstheme="majorBidi"/>
                <w:sz w:val="24"/>
                <w:szCs w:val="24"/>
                <w:lang w:val="fr-CH"/>
              </w:rPr>
            </w:pPr>
            <w:r w:rsidRPr="002C04A0">
              <w:rPr>
                <w:rFonts w:asciiTheme="minorHAnsi" w:hAnsiTheme="minorHAnsi" w:cstheme="majorBidi"/>
                <w:sz w:val="24"/>
                <w:szCs w:val="24"/>
                <w:lang w:val="fr-CH"/>
              </w:rPr>
              <w:t>devrait donner une indication des principaux services et bandes de fréquences concernés, s'il y a lieu;</w:t>
            </w:r>
          </w:p>
          <w:p w:rsidR="00081D6E" w:rsidRPr="002C04A0" w:rsidRDefault="00081D6E" w:rsidP="00BE6EEC">
            <w:pPr>
              <w:pStyle w:val="TableText0"/>
              <w:numPr>
                <w:ilvl w:val="0"/>
                <w:numId w:val="7"/>
              </w:numPr>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ne devrait pas être inutilement long;</w:t>
            </w:r>
          </w:p>
          <w:p w:rsidR="00081D6E" w:rsidRPr="002C04A0" w:rsidRDefault="00081D6E" w:rsidP="00BE6EEC">
            <w:pPr>
              <w:pStyle w:val="TableText0"/>
              <w:numPr>
                <w:ilvl w:val="0"/>
                <w:numId w:val="7"/>
              </w:numPr>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les renseignements importants devraient être placés dans le Domaine d'application.</w:t>
            </w:r>
          </w:p>
        </w:tc>
      </w:tr>
    </w:tbl>
    <w:p w:rsidR="00081D6E" w:rsidRPr="002C04A0" w:rsidRDefault="00081D6E" w:rsidP="00BE6EEC">
      <w:pPr>
        <w:pStyle w:val="TableText0"/>
        <w:spacing w:before="120" w:after="120" w:line="240" w:lineRule="auto"/>
        <w:jc w:val="right"/>
        <w:rPr>
          <w:rFonts w:asciiTheme="minorHAnsi" w:hAnsiTheme="minorHAnsi" w:cstheme="majorBidi"/>
          <w:sz w:val="24"/>
          <w:szCs w:val="24"/>
          <w:lang w:val="fr-CH"/>
        </w:rPr>
      </w:pPr>
      <w:r w:rsidRPr="002C04A0">
        <w:rPr>
          <w:rFonts w:asciiTheme="minorHAnsi" w:hAnsiTheme="minorHAnsi" w:cstheme="majorBidi"/>
          <w:sz w:val="24"/>
          <w:szCs w:val="24"/>
          <w:lang w:val="fr-CH"/>
        </w:rPr>
        <w:t>(années d'approbation)</w:t>
      </w:r>
    </w:p>
    <w:p w:rsidR="00081D6E" w:rsidRPr="002C04A0" w:rsidRDefault="00081D6E" w:rsidP="00BE6EEC">
      <w:pPr>
        <w:spacing w:line="240" w:lineRule="auto"/>
        <w:rPr>
          <w:rFonts w:asciiTheme="minorHAnsi" w:hAnsiTheme="minorHAnsi"/>
          <w:lang w:val="fr-CH"/>
        </w:rPr>
      </w:pPr>
    </w:p>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b/>
          <w:bCs/>
          <w:szCs w:val="24"/>
          <w:lang w:val="fr-CH" w:eastAsia="ru-RU"/>
        </w:rPr>
      </w:pPr>
      <w:r w:rsidRPr="002C04A0">
        <w:rPr>
          <w:rFonts w:asciiTheme="minorHAnsi" w:hAnsiTheme="minorHAnsi" w:cstheme="majorBidi"/>
          <w:b/>
          <w:bCs/>
          <w:szCs w:val="24"/>
          <w:lang w:val="fr-CH"/>
        </w:rPr>
        <w:br w:type="page"/>
      </w:r>
    </w:p>
    <w:p w:rsidR="00081D6E" w:rsidRPr="002C04A0" w:rsidRDefault="00081D6E" w:rsidP="00BE6EEC">
      <w:pPr>
        <w:pStyle w:val="TableText0"/>
        <w:keepNext w:val="0"/>
        <w:spacing w:before="120" w:after="120" w:line="240" w:lineRule="auto"/>
        <w:rPr>
          <w:rFonts w:asciiTheme="minorHAnsi" w:hAnsiTheme="minorHAnsi" w:cstheme="majorBidi"/>
          <w:b/>
          <w:bCs/>
          <w:sz w:val="24"/>
          <w:szCs w:val="24"/>
          <w:lang w:val="fr-CH"/>
        </w:rPr>
      </w:pPr>
      <w:r w:rsidRPr="002C04A0">
        <w:rPr>
          <w:rFonts w:asciiTheme="minorHAnsi" w:hAnsiTheme="minorHAnsi" w:cstheme="majorBidi"/>
          <w:b/>
          <w:bCs/>
          <w:sz w:val="24"/>
          <w:szCs w:val="24"/>
          <w:lang w:val="fr-CH"/>
        </w:rPr>
        <w:lastRenderedPageBreak/>
        <w:t>Domaine d'application</w:t>
      </w:r>
    </w:p>
    <w:tbl>
      <w:tblPr>
        <w:tblW w:w="9631" w:type="dxa"/>
        <w:tblLayout w:type="fixed"/>
        <w:tblLook w:val="0000" w:firstRow="0" w:lastRow="0" w:firstColumn="0" w:lastColumn="0" w:noHBand="0" w:noVBand="0"/>
        <w:tblPrChange w:id="546" w:author="Saxod, Nathalie" w:date="2015-09-15T11:46:00Z">
          <w:tblPr>
            <w:tblW w:w="0" w:type="auto"/>
            <w:jc w:val="center"/>
            <w:tblLayout w:type="fixed"/>
            <w:tblLook w:val="0000" w:firstRow="0" w:lastRow="0" w:firstColumn="0" w:lastColumn="0" w:noHBand="0" w:noVBand="0"/>
          </w:tblPr>
        </w:tblPrChange>
      </w:tblPr>
      <w:tblGrid>
        <w:gridCol w:w="9631"/>
        <w:tblGridChange w:id="547">
          <w:tblGrid>
            <w:gridCol w:w="9862"/>
          </w:tblGrid>
        </w:tblGridChange>
      </w:tblGrid>
      <w:tr w:rsidR="00081D6E" w:rsidRPr="002C04A0" w:rsidTr="00081D6E">
        <w:trPr>
          <w:cantSplit/>
          <w:trHeight w:val="284"/>
          <w:trPrChange w:id="548" w:author="Saxod, Nathalie" w:date="2015-09-15T11:46:00Z">
            <w:trPr>
              <w:cantSplit/>
              <w:trHeight w:val="284"/>
              <w:jc w:val="center"/>
            </w:trPr>
          </w:trPrChange>
        </w:trPr>
        <w:tc>
          <w:tcPr>
            <w:tcW w:w="9631" w:type="dxa"/>
            <w:tcBorders>
              <w:top w:val="single" w:sz="6" w:space="0" w:color="auto"/>
              <w:left w:val="single" w:sz="6" w:space="0" w:color="auto"/>
              <w:bottom w:val="single" w:sz="6" w:space="0" w:color="auto"/>
              <w:right w:val="single" w:sz="6" w:space="0" w:color="auto"/>
            </w:tcBorders>
            <w:tcPrChange w:id="549" w:author="Saxod, Nathalie" w:date="2015-09-15T11:46:00Z">
              <w:tcPr>
                <w:tcW w:w="9862" w:type="dxa"/>
                <w:tcBorders>
                  <w:top w:val="single" w:sz="6" w:space="0" w:color="auto"/>
                  <w:left w:val="single" w:sz="6" w:space="0" w:color="auto"/>
                  <w:bottom w:val="single" w:sz="6" w:space="0" w:color="auto"/>
                  <w:right w:val="single" w:sz="6" w:space="0" w:color="auto"/>
                </w:tcBorders>
              </w:tcPr>
            </w:tcPrChange>
          </w:tcPr>
          <w:p w:rsidR="00081D6E" w:rsidRPr="002C04A0" w:rsidRDefault="00081D6E" w:rsidP="00BE6EEC">
            <w:pPr>
              <w:pStyle w:val="TableText0"/>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Cet élément définit sans ambigüité le but ou le sujet de la Recommandation et:</w:t>
            </w:r>
          </w:p>
          <w:p w:rsidR="00081D6E" w:rsidRPr="002C04A0" w:rsidRDefault="00081D6E" w:rsidP="00BE6EEC">
            <w:pPr>
              <w:pStyle w:val="TableText0"/>
              <w:numPr>
                <w:ilvl w:val="0"/>
                <w:numId w:val="4"/>
              </w:numPr>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devrait clarifier l'objectif de la Recommandation;</w:t>
            </w:r>
          </w:p>
          <w:p w:rsidR="00081D6E" w:rsidRPr="002C04A0" w:rsidRDefault="00081D6E" w:rsidP="00BE6EEC">
            <w:pPr>
              <w:pStyle w:val="TableText0"/>
              <w:numPr>
                <w:ilvl w:val="0"/>
                <w:numId w:val="4"/>
              </w:numPr>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devrait indiquer les limites d'applicabilité de la Recommandation (p. ex. service(s), bande(s) de fréquences, systèmes, applications, etc.)</w:t>
            </w:r>
          </w:p>
          <w:p w:rsidR="00081D6E" w:rsidRPr="002C04A0" w:rsidRDefault="00081D6E" w:rsidP="00BE6EEC">
            <w:pPr>
              <w:pStyle w:val="TableText0"/>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Le Domaine d'application devrait être conservé dans le texte de la Recommandation après que celle-ci a été approuvée.</w:t>
            </w:r>
          </w:p>
        </w:tc>
      </w:tr>
    </w:tbl>
    <w:p w:rsidR="00081D6E" w:rsidRPr="002C04A0" w:rsidRDefault="00081D6E" w:rsidP="00BE6EEC">
      <w:pPr>
        <w:pStyle w:val="Headingb"/>
        <w:spacing w:line="240" w:lineRule="auto"/>
        <w:rPr>
          <w:rFonts w:asciiTheme="minorHAnsi" w:hAnsiTheme="minorHAnsi"/>
          <w:bCs/>
          <w:lang w:val="fr-CH"/>
        </w:rPr>
      </w:pPr>
      <w:r w:rsidRPr="002C04A0">
        <w:rPr>
          <w:rFonts w:asciiTheme="minorHAnsi" w:hAnsiTheme="minorHAnsi"/>
          <w:bCs/>
          <w:lang w:val="fr-CH"/>
        </w:rPr>
        <w:t>Mots-clés [</w:t>
      </w:r>
      <w:r w:rsidRPr="002C04A0">
        <w:rPr>
          <w:rFonts w:asciiTheme="minorHAnsi" w:hAnsiTheme="minorHAnsi"/>
          <w:lang w:val="fr-CH"/>
        </w:rPr>
        <w:t>peuvent figurer dans le Domaine d'application</w:t>
      </w:r>
      <w:r w:rsidRPr="002C04A0">
        <w:rPr>
          <w:rFonts w:asciiTheme="minorHAnsi" w:hAnsiTheme="minorHAnsi"/>
          <w:bCs/>
          <w:lang w:val="fr-CH"/>
        </w:rPr>
        <w:t>]</w:t>
      </w:r>
    </w:p>
    <w:p w:rsidR="00081D6E" w:rsidRPr="002C04A0" w:rsidRDefault="00081D6E" w:rsidP="00BE6EEC">
      <w:pPr>
        <w:spacing w:line="240" w:lineRule="auto"/>
        <w:rPr>
          <w:rFonts w:asciiTheme="minorHAnsi" w:hAnsiTheme="minorHAnsi"/>
          <w:lang w:val="fr-CH"/>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9"/>
      </w:tblGrid>
      <w:tr w:rsidR="00081D6E" w:rsidRPr="002C04A0" w:rsidTr="00081D6E">
        <w:tc>
          <w:tcPr>
            <w:tcW w:w="9639" w:type="dxa"/>
          </w:tcPr>
          <w:p w:rsidR="00081D6E" w:rsidRPr="002C04A0" w:rsidRDefault="00081D6E" w:rsidP="00BE6EEC">
            <w:pPr>
              <w:pStyle w:val="TableText0"/>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 xml:space="preserve">Les mots-clés spécifiques: </w:t>
            </w:r>
          </w:p>
          <w:p w:rsidR="00081D6E" w:rsidRPr="002C04A0" w:rsidRDefault="00081D6E" w:rsidP="00BE6EEC">
            <w:pPr>
              <w:pStyle w:val="TableText0"/>
              <w:numPr>
                <w:ilvl w:val="0"/>
                <w:numId w:val="8"/>
              </w:numPr>
              <w:spacing w:before="120" w:after="120" w:line="240" w:lineRule="auto"/>
              <w:jc w:val="left"/>
              <w:rPr>
                <w:rFonts w:asciiTheme="minorHAnsi" w:hAnsiTheme="minorHAnsi" w:cstheme="majorBidi"/>
                <w:sz w:val="24"/>
                <w:szCs w:val="24"/>
                <w:lang w:val="fr-CH"/>
              </w:rPr>
            </w:pPr>
            <w:r w:rsidRPr="002C04A0">
              <w:rPr>
                <w:rFonts w:asciiTheme="minorHAnsi" w:hAnsiTheme="minorHAnsi" w:cstheme="majorBidi"/>
                <w:sz w:val="24"/>
                <w:szCs w:val="24"/>
                <w:lang w:val="fr-CH"/>
              </w:rPr>
              <w:t>devraient décrire les principaux thèmes de la Recommandation et servir aux recherches plein texte;</w:t>
            </w:r>
          </w:p>
          <w:p w:rsidR="00081D6E" w:rsidRPr="002C04A0" w:rsidRDefault="00081D6E" w:rsidP="00BE6EEC">
            <w:pPr>
              <w:pStyle w:val="TableText0"/>
              <w:numPr>
                <w:ilvl w:val="0"/>
                <w:numId w:val="8"/>
              </w:numPr>
              <w:spacing w:before="120" w:after="120" w:line="240" w:lineRule="auto"/>
              <w:rPr>
                <w:rFonts w:asciiTheme="minorHAnsi" w:hAnsiTheme="minorHAnsi" w:cstheme="majorBidi"/>
                <w:sz w:val="24"/>
                <w:szCs w:val="24"/>
                <w:lang w:val="fr-CH"/>
              </w:rPr>
            </w:pPr>
            <w:r w:rsidRPr="002C04A0">
              <w:rPr>
                <w:rFonts w:asciiTheme="minorHAnsi" w:hAnsiTheme="minorHAnsi" w:cstheme="majorBidi"/>
                <w:sz w:val="24"/>
                <w:szCs w:val="24"/>
                <w:lang w:val="fr-CH"/>
              </w:rPr>
              <w:t>ne devraient normalement pas comporter plus de 5 mots.</w:t>
            </w:r>
          </w:p>
        </w:tc>
      </w:tr>
    </w:tbl>
    <w:p w:rsidR="00081D6E" w:rsidRPr="002C04A0" w:rsidRDefault="00081D6E" w:rsidP="00BE6EEC">
      <w:pPr>
        <w:spacing w:line="240" w:lineRule="auto"/>
        <w:rPr>
          <w:rFonts w:asciiTheme="minorHAnsi" w:hAnsiTheme="minorHAnsi" w:cstheme="majorBidi"/>
          <w:i/>
          <w:iCs/>
          <w:sz w:val="18"/>
          <w:szCs w:val="18"/>
          <w:lang w:val="fr-CH"/>
        </w:rPr>
      </w:pPr>
    </w:p>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Les deux</w:t>
      </w:r>
      <w:r w:rsidRPr="002C04A0">
        <w:rPr>
          <w:rFonts w:asciiTheme="minorHAnsi" w:hAnsiTheme="minorHAnsi" w:cstheme="majorBidi"/>
          <w:i/>
          <w:iCs/>
          <w:sz w:val="20"/>
          <w:lang w:val="fr-CH"/>
        </w:rPr>
        <w:t xml:space="preserve"> </w:t>
      </w:r>
      <w:r w:rsidRPr="002C04A0">
        <w:rPr>
          <w:rFonts w:asciiTheme="minorHAnsi" w:hAnsiTheme="minorHAnsi" w:cstheme="majorBidi"/>
          <w:i/>
          <w:iCs/>
          <w:szCs w:val="24"/>
          <w:lang w:val="fr-CH"/>
        </w:rPr>
        <w:t>éléments suivants</w:t>
      </w:r>
      <w:r w:rsidRPr="002C04A0">
        <w:rPr>
          <w:rFonts w:asciiTheme="minorHAnsi" w:hAnsiTheme="minorHAnsi" w:cstheme="majorBidi"/>
          <w:i/>
          <w:iCs/>
          <w:sz w:val="18"/>
          <w:szCs w:val="18"/>
          <w:lang w:val="fr-CH"/>
        </w:rPr>
        <w:t xml:space="preserve"> </w:t>
      </w:r>
      <w:r w:rsidRPr="002C04A0">
        <w:rPr>
          <w:rFonts w:asciiTheme="minorHAnsi" w:hAnsiTheme="minorHAnsi" w:cstheme="majorBidi"/>
          <w:i/>
          <w:iCs/>
          <w:szCs w:val="24"/>
          <w:lang w:val="fr-CH"/>
        </w:rPr>
        <w:t>(Abréviations/Glossaire et Recommandations et Rapports UIT</w:t>
      </w:r>
      <w:r w:rsidRPr="002C04A0">
        <w:rPr>
          <w:rFonts w:asciiTheme="minorHAnsi" w:hAnsiTheme="minorHAnsi" w:cstheme="majorBidi"/>
          <w:i/>
          <w:iCs/>
          <w:sz w:val="20"/>
          <w:lang w:val="fr-CH"/>
        </w:rPr>
        <w:t xml:space="preserve"> </w:t>
      </w:r>
      <w:r w:rsidRPr="002C04A0">
        <w:rPr>
          <w:rFonts w:asciiTheme="minorHAnsi" w:hAnsiTheme="minorHAnsi" w:cstheme="majorBidi"/>
          <w:i/>
          <w:iCs/>
          <w:szCs w:val="24"/>
          <w:lang w:val="fr-CH"/>
        </w:rPr>
        <w:t>connexes) peuvent être placés à la suite des précédents, comme ici, ou à la fin de la Recommandation.</w:t>
      </w:r>
    </w:p>
    <w:p w:rsidR="00081D6E" w:rsidRPr="002C04A0" w:rsidRDefault="00081D6E" w:rsidP="00BE6EEC">
      <w:pPr>
        <w:pStyle w:val="Title4"/>
        <w:spacing w:after="240" w:line="240" w:lineRule="auto"/>
        <w:rPr>
          <w:rFonts w:asciiTheme="minorHAnsi" w:hAnsiTheme="minorHAnsi"/>
          <w:lang w:val="fr-CH"/>
        </w:rPr>
      </w:pPr>
      <w:r w:rsidRPr="002C04A0">
        <w:rPr>
          <w:rFonts w:asciiTheme="minorHAnsi" w:hAnsiTheme="minorHAnsi"/>
          <w:lang w:val="fr-CH"/>
        </w:rPr>
        <w:t xml:space="preserve">Abréviations/Glossaire </w:t>
      </w:r>
    </w:p>
    <w:tbl>
      <w:tblPr>
        <w:tblW w:w="0" w:type="auto"/>
        <w:tblLayout w:type="fixed"/>
        <w:tblLook w:val="0000" w:firstRow="0" w:lastRow="0" w:firstColumn="0" w:lastColumn="0" w:noHBand="0" w:noVBand="0"/>
      </w:tblPr>
      <w:tblGrid>
        <w:gridCol w:w="9499"/>
      </w:tblGrid>
      <w:tr w:rsidR="00081D6E" w:rsidRPr="002C04A0" w:rsidTr="00081D6E">
        <w:trPr>
          <w:cantSplit/>
          <w:trHeight w:val="284"/>
        </w:trPr>
        <w:tc>
          <w:tcPr>
            <w:tcW w:w="9499"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pStyle w:val="TableText0"/>
              <w:spacing w:before="120" w:after="120" w:line="240" w:lineRule="auto"/>
              <w:jc w:val="left"/>
              <w:rPr>
                <w:rFonts w:asciiTheme="minorHAnsi" w:hAnsiTheme="minorHAnsi" w:cstheme="majorBidi"/>
                <w:sz w:val="24"/>
                <w:szCs w:val="24"/>
                <w:lang w:val="fr-CH"/>
              </w:rPr>
            </w:pPr>
            <w:r w:rsidRPr="002C04A0">
              <w:rPr>
                <w:rFonts w:asciiTheme="minorHAnsi" w:hAnsiTheme="minorHAnsi" w:cstheme="majorBidi"/>
                <w:sz w:val="24"/>
                <w:szCs w:val="24"/>
                <w:lang w:val="fr-CH"/>
              </w:rPr>
              <w:t>La liste des abréviations (resp. le glossaire) comporte au moins 5 entrées et dresse la liste des abréviations (resp. des termes) employé(e)s dans toute la Recommandation, rangé(e)s dans l'ordre alphabétique et accompagné(e)s de leur forme développée (resp. de leur définition).</w:t>
            </w:r>
          </w:p>
        </w:tc>
      </w:tr>
    </w:tbl>
    <w:p w:rsidR="00081D6E" w:rsidRPr="002C04A0" w:rsidRDefault="00081D6E" w:rsidP="00BE6EEC">
      <w:pPr>
        <w:pStyle w:val="Headingb"/>
        <w:spacing w:line="240" w:lineRule="auto"/>
        <w:jc w:val="center"/>
        <w:rPr>
          <w:rFonts w:asciiTheme="minorHAnsi" w:eastAsia="SimSun" w:hAnsiTheme="minorHAnsi" w:cstheme="majorBidi"/>
          <w:sz w:val="18"/>
          <w:szCs w:val="18"/>
          <w:lang w:val="fr-CH"/>
        </w:rPr>
      </w:pPr>
    </w:p>
    <w:p w:rsidR="00081D6E" w:rsidRPr="002C04A0" w:rsidRDefault="00081D6E" w:rsidP="00BE6EEC">
      <w:pPr>
        <w:pStyle w:val="Title4"/>
        <w:spacing w:after="240" w:line="240" w:lineRule="auto"/>
        <w:rPr>
          <w:rFonts w:asciiTheme="minorHAnsi" w:eastAsia="SimSun" w:hAnsiTheme="minorHAnsi"/>
          <w:lang w:val="fr-CH"/>
        </w:rPr>
      </w:pPr>
      <w:r w:rsidRPr="002C04A0">
        <w:rPr>
          <w:rFonts w:asciiTheme="minorHAnsi" w:eastAsia="SimSun" w:hAnsiTheme="minorHAnsi"/>
          <w:lang w:val="fr-CH"/>
        </w:rPr>
        <w:t>Recommandations et Rapports UIT connexes</w:t>
      </w:r>
    </w:p>
    <w:p w:rsidR="00081D6E" w:rsidRPr="002C04A0" w:rsidRDefault="00081D6E" w:rsidP="00BE6EEC">
      <w:pPr>
        <w:pStyle w:val="Note"/>
        <w:spacing w:line="240" w:lineRule="auto"/>
        <w:rPr>
          <w:rFonts w:asciiTheme="minorHAnsi" w:hAnsiTheme="minorHAnsi" w:cstheme="majorBidi"/>
          <w:szCs w:val="24"/>
          <w:lang w:val="fr-CH"/>
        </w:rPr>
      </w:pPr>
      <w:r w:rsidRPr="002C04A0">
        <w:rPr>
          <w:rFonts w:asciiTheme="minorHAnsi" w:hAnsiTheme="minorHAnsi" w:cstheme="majorBidi"/>
          <w:szCs w:val="24"/>
          <w:lang w:val="fr-CH"/>
        </w:rPr>
        <w:t>NOTE – Dans tous les cas, il convient de citer l'édition la plus récente de la Recommandation ou du Rapport en vigueur.</w:t>
      </w:r>
    </w:p>
    <w:p w:rsidR="00081D6E" w:rsidRPr="002C04A0" w:rsidRDefault="00081D6E" w:rsidP="00BE6EEC">
      <w:pPr>
        <w:spacing w:line="240" w:lineRule="auto"/>
        <w:rPr>
          <w:rFonts w:asciiTheme="minorHAnsi" w:hAnsiTheme="minorHAnsi" w:cstheme="majorBidi"/>
          <w:lang w:val="fr-CH"/>
        </w:rPr>
      </w:pPr>
      <w:r w:rsidRPr="002C04A0">
        <w:rPr>
          <w:rFonts w:asciiTheme="minorHAnsi" w:hAnsiTheme="minorHAnsi" w:cstheme="majorBidi"/>
          <w:b/>
          <w:bCs/>
          <w:sz w:val="28"/>
          <w:szCs w:val="28"/>
          <w:vertAlign w:val="superscript"/>
          <w:lang w:val="fr-CH"/>
        </w:rPr>
        <w:t>[*]</w:t>
      </w:r>
      <w:r w:rsidRPr="002C04A0">
        <w:rPr>
          <w:rFonts w:asciiTheme="minorHAnsi" w:hAnsiTheme="minorHAnsi" w:cstheme="majorBidi"/>
          <w:b/>
          <w:bCs/>
          <w:sz w:val="28"/>
          <w:szCs w:val="28"/>
          <w:vertAlign w:val="superscript"/>
          <w:lang w:val="fr-CH"/>
        </w:rPr>
        <w:tab/>
      </w:r>
      <w:r w:rsidRPr="002C04A0">
        <w:rPr>
          <w:rFonts w:asciiTheme="minorHAnsi" w:hAnsiTheme="minorHAnsi" w:cstheme="majorBidi"/>
          <w:lang w:val="fr-CH"/>
        </w:rPr>
        <w:t>Recommandation incorporée par référence dans le Règlement des radiocommunications (voir Volume 4).</w:t>
      </w:r>
    </w:p>
    <w:p w:rsidR="00081D6E" w:rsidRPr="002C04A0" w:rsidRDefault="00081D6E" w:rsidP="00BE6EEC">
      <w:pPr>
        <w:pStyle w:val="Normalaftertitle"/>
        <w:spacing w:line="240" w:lineRule="auto"/>
        <w:rPr>
          <w:rFonts w:asciiTheme="minorHAnsi" w:hAnsiTheme="minorHAnsi"/>
          <w:lang w:val="fr-CH"/>
        </w:rPr>
      </w:pPr>
      <w:r w:rsidRPr="002C04A0">
        <w:rPr>
          <w:rFonts w:asciiTheme="minorHAnsi" w:hAnsiTheme="minorHAnsi"/>
          <w:lang w:val="fr-CH"/>
        </w:rPr>
        <w:t xml:space="preserve">L'Assemblée des radiocommunications de l'UIT, </w:t>
      </w:r>
    </w:p>
    <w:p w:rsidR="00081D6E" w:rsidRPr="002C04A0" w:rsidRDefault="00081D6E" w:rsidP="00BE6EEC">
      <w:pPr>
        <w:pStyle w:val="Call"/>
        <w:spacing w:after="120" w:line="240" w:lineRule="auto"/>
        <w:rPr>
          <w:rFonts w:asciiTheme="minorHAnsi" w:hAnsiTheme="minorHAnsi"/>
          <w:lang w:val="fr-CH"/>
        </w:rPr>
      </w:pPr>
      <w:r w:rsidRPr="002C04A0">
        <w:rPr>
          <w:rFonts w:asciiTheme="minorHAnsi" w:hAnsiTheme="minorHAnsi"/>
        </w:rPr>
        <w:t>considérant</w:t>
      </w:r>
      <w:r w:rsidRPr="002C04A0">
        <w:rPr>
          <w:rFonts w:asciiTheme="minorHAnsi" w:hAnsiTheme="minorHAnsi"/>
          <w:lang w:val="fr-CH"/>
        </w:rPr>
        <w:t xml:space="preserve"> (obligatoire)</w:t>
      </w:r>
    </w:p>
    <w:tbl>
      <w:tblPr>
        <w:tblW w:w="0" w:type="auto"/>
        <w:tblLayout w:type="fixed"/>
        <w:tblLook w:val="0000" w:firstRow="0" w:lastRow="0" w:firstColumn="0" w:lastColumn="0" w:noHBand="0" w:noVBand="0"/>
      </w:tblPr>
      <w:tblGrid>
        <w:gridCol w:w="9499"/>
      </w:tblGrid>
      <w:tr w:rsidR="00081D6E" w:rsidRPr="002C04A0" w:rsidTr="00081D6E">
        <w:trPr>
          <w:cantSplit/>
          <w:trHeight w:val="284"/>
        </w:trPr>
        <w:tc>
          <w:tcPr>
            <w:tcW w:w="9499"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spacing w:after="120" w:line="240" w:lineRule="auto"/>
              <w:rPr>
                <w:rFonts w:asciiTheme="minorHAnsi" w:hAnsiTheme="minorHAnsi" w:cstheme="majorBidi"/>
                <w:szCs w:val="24"/>
                <w:lang w:val="fr-CH"/>
              </w:rPr>
            </w:pPr>
            <w:r w:rsidRPr="002C04A0">
              <w:rPr>
                <w:rFonts w:asciiTheme="minorHAnsi" w:hAnsiTheme="minorHAnsi" w:cstheme="majorBidi"/>
                <w:szCs w:val="24"/>
                <w:lang w:val="fr-CH"/>
              </w:rPr>
              <w:t>Cette partie devrait comporter des considérations générales indiquant les raisons de l'étude et les motifs de l'élaboration de la Recommandation; elle devrait faire l'objet de recommandations dans la partie "</w:t>
            </w:r>
            <w:r w:rsidRPr="002C04A0">
              <w:rPr>
                <w:rFonts w:asciiTheme="minorHAnsi" w:hAnsiTheme="minorHAnsi" w:cstheme="majorBidi"/>
                <w:i/>
                <w:iCs/>
                <w:szCs w:val="24"/>
                <w:lang w:val="fr-CH"/>
              </w:rPr>
              <w:t>recommande</w:t>
            </w:r>
            <w:r w:rsidRPr="002C04A0">
              <w:rPr>
                <w:rFonts w:asciiTheme="minorHAnsi" w:hAnsiTheme="minorHAnsi" w:cstheme="majorBidi"/>
                <w:szCs w:val="24"/>
                <w:lang w:val="fr-CH"/>
              </w:rPr>
              <w:t>" et ses différents points devraient être énumérés comme suit:</w:t>
            </w:r>
          </w:p>
        </w:tc>
      </w:tr>
    </w:tbl>
    <w:p w:rsidR="002C04A0" w:rsidRDefault="002C04A0" w:rsidP="00BE6EEC">
      <w:pPr>
        <w:spacing w:line="240" w:lineRule="auto"/>
        <w:rPr>
          <w:rFonts w:asciiTheme="minorHAnsi" w:hAnsiTheme="minorHAnsi" w:cstheme="majorBidi"/>
          <w:i/>
          <w:iCs/>
          <w:szCs w:val="24"/>
          <w:lang w:val="fr-CH"/>
        </w:rPr>
      </w:pPr>
      <w:r>
        <w:rPr>
          <w:rFonts w:asciiTheme="minorHAnsi" w:hAnsiTheme="minorHAnsi" w:cstheme="majorBidi"/>
          <w:i/>
          <w:iCs/>
          <w:szCs w:val="24"/>
          <w:lang w:val="fr-CH"/>
        </w:rPr>
        <w:br w:type="page"/>
      </w:r>
    </w:p>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lastRenderedPageBreak/>
        <w:t>a)</w:t>
      </w:r>
    </w:p>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b)</w:t>
      </w:r>
    </w:p>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c)…… à z)</w:t>
      </w:r>
    </w:p>
    <w:p w:rsidR="00081D6E" w:rsidRPr="002C04A0" w:rsidRDefault="00081D6E" w:rsidP="00BE6EEC">
      <w:pPr>
        <w:pStyle w:val="Call"/>
        <w:spacing w:line="240" w:lineRule="auto"/>
        <w:rPr>
          <w:rFonts w:asciiTheme="minorHAnsi" w:hAnsiTheme="minorHAnsi"/>
          <w:lang w:val="fr-CH"/>
        </w:rPr>
      </w:pPr>
      <w:r w:rsidRPr="002C04A0">
        <w:rPr>
          <w:rFonts w:asciiTheme="minorHAnsi" w:hAnsiTheme="minorHAnsi"/>
          <w:lang w:val="fr-CH"/>
        </w:rPr>
        <w:t>reconnaissant (facultatif)</w:t>
      </w:r>
    </w:p>
    <w:p w:rsidR="00081D6E" w:rsidRPr="002C04A0" w:rsidRDefault="00081D6E" w:rsidP="00BE6EEC">
      <w:pPr>
        <w:spacing w:line="240" w:lineRule="auto"/>
        <w:rPr>
          <w:rFonts w:asciiTheme="minorHAnsi" w:hAnsiTheme="minorHAnsi" w:cstheme="majorBidi"/>
          <w:i/>
          <w:iCs/>
          <w:szCs w:val="24"/>
          <w:lang w:val="fr-CH"/>
        </w:rPr>
      </w:pPr>
    </w:p>
    <w:tbl>
      <w:tblPr>
        <w:tblW w:w="0" w:type="auto"/>
        <w:tblLayout w:type="fixed"/>
        <w:tblLook w:val="0000" w:firstRow="0" w:lastRow="0" w:firstColumn="0" w:lastColumn="0" w:noHBand="0" w:noVBand="0"/>
      </w:tblPr>
      <w:tblGrid>
        <w:gridCol w:w="9807"/>
      </w:tblGrid>
      <w:tr w:rsidR="00081D6E" w:rsidRPr="002C04A0" w:rsidTr="00081D6E">
        <w:trPr>
          <w:cantSplit/>
          <w:trHeight w:val="284"/>
        </w:trPr>
        <w:tc>
          <w:tcPr>
            <w:tcW w:w="9807"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spacing w:after="120" w:line="240" w:lineRule="auto"/>
              <w:rPr>
                <w:rFonts w:asciiTheme="minorHAnsi" w:hAnsiTheme="minorHAnsi" w:cstheme="majorBidi"/>
                <w:szCs w:val="24"/>
                <w:lang w:val="fr-CH"/>
              </w:rPr>
            </w:pPr>
            <w:r w:rsidRPr="002C04A0">
              <w:rPr>
                <w:rFonts w:asciiTheme="minorHAnsi" w:hAnsiTheme="minorHAnsi" w:cstheme="majorBidi"/>
                <w:szCs w:val="24"/>
                <w:lang w:val="fr-CH"/>
              </w:rPr>
              <w:t>Cette partie devrait comporter des références à des éléments d'information factuels ou à des études qui ont servi de base aux travaux et ont été pris en compte, selon les cas; ces références devraient normalement renvoyer à des documents de l'UIT, et être énumérées comme suit:</w:t>
            </w:r>
          </w:p>
        </w:tc>
      </w:tr>
    </w:tbl>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a)</w:t>
      </w:r>
    </w:p>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b)</w:t>
      </w:r>
    </w:p>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c)…… à z)</w:t>
      </w:r>
    </w:p>
    <w:p w:rsidR="00081D6E" w:rsidRPr="002C04A0" w:rsidRDefault="00081D6E" w:rsidP="00BE6EEC">
      <w:pPr>
        <w:pStyle w:val="Call"/>
        <w:spacing w:line="240" w:lineRule="auto"/>
        <w:rPr>
          <w:rFonts w:asciiTheme="minorHAnsi" w:hAnsiTheme="minorHAnsi"/>
          <w:lang w:val="fr-CH"/>
        </w:rPr>
      </w:pPr>
      <w:r w:rsidRPr="002C04A0">
        <w:rPr>
          <w:rFonts w:asciiTheme="minorHAnsi" w:hAnsiTheme="minorHAnsi"/>
          <w:lang w:val="fr-CH"/>
        </w:rPr>
        <w:t xml:space="preserve">notant (facultatif) </w:t>
      </w:r>
    </w:p>
    <w:p w:rsidR="00081D6E" w:rsidRPr="002C04A0" w:rsidRDefault="00081D6E" w:rsidP="00BE6EEC">
      <w:pPr>
        <w:spacing w:line="240" w:lineRule="auto"/>
        <w:rPr>
          <w:rFonts w:asciiTheme="minorHAnsi" w:hAnsiTheme="minorHAnsi" w:cstheme="majorBidi"/>
          <w:szCs w:val="24"/>
          <w:lang w:val="fr-CH"/>
        </w:rPr>
      </w:pPr>
    </w:p>
    <w:tbl>
      <w:tblPr>
        <w:tblW w:w="0" w:type="auto"/>
        <w:tblLayout w:type="fixed"/>
        <w:tblLook w:val="0000" w:firstRow="0" w:lastRow="0" w:firstColumn="0" w:lastColumn="0" w:noHBand="0" w:noVBand="0"/>
      </w:tblPr>
      <w:tblGrid>
        <w:gridCol w:w="9499"/>
      </w:tblGrid>
      <w:tr w:rsidR="00081D6E" w:rsidRPr="002C04A0" w:rsidTr="00081D6E">
        <w:trPr>
          <w:cantSplit/>
          <w:trHeight w:val="284"/>
        </w:trPr>
        <w:tc>
          <w:tcPr>
            <w:tcW w:w="9499"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spacing w:after="120" w:line="240" w:lineRule="auto"/>
              <w:rPr>
                <w:rFonts w:asciiTheme="minorHAnsi" w:hAnsiTheme="minorHAnsi" w:cstheme="majorBidi"/>
                <w:szCs w:val="24"/>
                <w:lang w:val="fr-CH"/>
              </w:rPr>
            </w:pPr>
            <w:r w:rsidRPr="002C04A0">
              <w:rPr>
                <w:rFonts w:asciiTheme="minorHAnsi" w:hAnsiTheme="minorHAnsi" w:cstheme="majorBidi"/>
                <w:szCs w:val="24"/>
                <w:lang w:val="fr-CH"/>
              </w:rPr>
              <w:t>Cette partie devrait comporter des éléments d'information généralement admis à l'appui de la Recommandation et/ou s'y rapportant, ainsi que des références aux Annexes appropriées, et ses différents points devraient être énumérés comme suit:</w:t>
            </w:r>
          </w:p>
        </w:tc>
      </w:tr>
    </w:tbl>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a)</w:t>
      </w:r>
    </w:p>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b)</w:t>
      </w:r>
    </w:p>
    <w:p w:rsidR="00081D6E" w:rsidRPr="002C04A0" w:rsidRDefault="00081D6E" w:rsidP="00BE6EEC">
      <w:pPr>
        <w:spacing w:line="240" w:lineRule="auto"/>
        <w:rPr>
          <w:rFonts w:asciiTheme="minorHAnsi" w:hAnsiTheme="minorHAnsi" w:cstheme="majorBidi"/>
          <w:i/>
          <w:iCs/>
          <w:szCs w:val="24"/>
          <w:lang w:val="fr-CH"/>
        </w:rPr>
      </w:pPr>
      <w:r w:rsidRPr="002C04A0">
        <w:rPr>
          <w:rFonts w:asciiTheme="minorHAnsi" w:hAnsiTheme="minorHAnsi" w:cstheme="majorBidi"/>
          <w:i/>
          <w:iCs/>
          <w:szCs w:val="24"/>
          <w:lang w:val="fr-CH"/>
        </w:rPr>
        <w:t>c)…… à z)</w:t>
      </w:r>
    </w:p>
    <w:p w:rsidR="00081D6E" w:rsidRPr="002C04A0" w:rsidRDefault="00081D6E" w:rsidP="00BE6EEC">
      <w:pPr>
        <w:pStyle w:val="Call"/>
        <w:spacing w:line="240" w:lineRule="auto"/>
        <w:rPr>
          <w:rFonts w:asciiTheme="minorHAnsi" w:hAnsiTheme="minorHAnsi"/>
          <w:lang w:val="fr-CH"/>
        </w:rPr>
      </w:pPr>
      <w:r w:rsidRPr="002C04A0">
        <w:rPr>
          <w:rFonts w:asciiTheme="minorHAnsi" w:hAnsiTheme="minorHAnsi"/>
          <w:lang w:val="fr-CH"/>
        </w:rPr>
        <w:t>recommande (obligatoire)</w:t>
      </w:r>
    </w:p>
    <w:p w:rsidR="00081D6E" w:rsidRPr="002C04A0" w:rsidRDefault="00081D6E" w:rsidP="00BE6EEC">
      <w:pPr>
        <w:spacing w:line="240" w:lineRule="auto"/>
        <w:rPr>
          <w:rFonts w:asciiTheme="minorHAnsi" w:hAnsiTheme="minorHAnsi" w:cstheme="majorBidi"/>
          <w:i/>
          <w:iCs/>
          <w:szCs w:val="24"/>
          <w:lang w:val="fr-CH"/>
        </w:rPr>
      </w:pPr>
    </w:p>
    <w:tbl>
      <w:tblPr>
        <w:tblW w:w="0" w:type="auto"/>
        <w:tblLayout w:type="fixed"/>
        <w:tblLook w:val="0000" w:firstRow="0" w:lastRow="0" w:firstColumn="0" w:lastColumn="0" w:noHBand="0" w:noVBand="0"/>
      </w:tblPr>
      <w:tblGrid>
        <w:gridCol w:w="9499"/>
      </w:tblGrid>
      <w:tr w:rsidR="00081D6E" w:rsidRPr="002C04A0" w:rsidTr="00081D6E">
        <w:trPr>
          <w:cantSplit/>
          <w:trHeight w:val="284"/>
        </w:trPr>
        <w:tc>
          <w:tcPr>
            <w:tcW w:w="9499"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spacing w:after="120" w:line="240" w:lineRule="auto"/>
              <w:rPr>
                <w:rFonts w:asciiTheme="minorHAnsi" w:hAnsiTheme="minorHAnsi" w:cstheme="majorBidi"/>
                <w:szCs w:val="24"/>
                <w:lang w:val="fr-CH"/>
              </w:rPr>
            </w:pPr>
            <w:r w:rsidRPr="002C04A0">
              <w:rPr>
                <w:rFonts w:asciiTheme="minorHAnsi" w:hAnsiTheme="minorHAnsi" w:cstheme="majorBidi"/>
                <w:szCs w:val="24"/>
                <w:lang w:val="fr-CH"/>
              </w:rPr>
              <w:t xml:space="preserve">Cette partie devrait comporter: </w:t>
            </w:r>
          </w:p>
          <w:p w:rsidR="00081D6E" w:rsidRPr="002C04A0" w:rsidRDefault="00081D6E" w:rsidP="00BE6EEC">
            <w:pPr>
              <w:spacing w:line="240" w:lineRule="auto"/>
              <w:rPr>
                <w:rFonts w:asciiTheme="minorHAnsi" w:hAnsiTheme="minorHAnsi" w:cstheme="majorBidi"/>
                <w:szCs w:val="24"/>
                <w:lang w:val="fr-CH"/>
              </w:rPr>
            </w:pPr>
            <w:r w:rsidRPr="002C04A0">
              <w:rPr>
                <w:rFonts w:asciiTheme="minorHAnsi" w:hAnsiTheme="minorHAnsi" w:cstheme="majorBidi"/>
                <w:szCs w:val="24"/>
                <w:lang w:val="fr-CH"/>
              </w:rPr>
              <w:t xml:space="preserve">des spécifications, exigences, données ou orientations recommandées concernant les méthodes recommandées pour accomplir une tâche donnée; ou des procédures recommandées relativement à une application donnée. </w:t>
            </w:r>
            <w:r w:rsidRPr="002C04A0">
              <w:rPr>
                <w:rFonts w:asciiTheme="minorHAnsi" w:hAnsiTheme="minorHAnsi" w:cstheme="majorBidi"/>
                <w:i/>
                <w:iCs/>
                <w:szCs w:val="24"/>
                <w:lang w:val="fr-CH"/>
              </w:rPr>
              <w:t>Ses différents points devraient être énumérés comme suit:</w:t>
            </w:r>
          </w:p>
          <w:p w:rsidR="00081D6E" w:rsidRPr="002C04A0" w:rsidRDefault="00081D6E" w:rsidP="00BE6EEC">
            <w:pPr>
              <w:tabs>
                <w:tab w:val="left" w:pos="1098"/>
              </w:tabs>
              <w:spacing w:line="240" w:lineRule="auto"/>
              <w:rPr>
                <w:rFonts w:asciiTheme="minorHAnsi" w:hAnsiTheme="minorHAnsi" w:cstheme="majorBidi"/>
                <w:szCs w:val="24"/>
                <w:lang w:val="fr-CH"/>
              </w:rPr>
            </w:pPr>
            <w:r w:rsidRPr="002C04A0">
              <w:rPr>
                <w:rFonts w:asciiTheme="minorHAnsi" w:hAnsiTheme="minorHAnsi" w:cstheme="majorBidi"/>
                <w:szCs w:val="24"/>
                <w:lang w:val="fr-CH"/>
              </w:rPr>
              <w:t>1</w:t>
            </w:r>
            <w:r w:rsidRPr="002C04A0">
              <w:rPr>
                <w:rFonts w:asciiTheme="minorHAnsi" w:hAnsiTheme="minorHAnsi" w:cstheme="majorBidi"/>
                <w:szCs w:val="24"/>
                <w:lang w:val="fr-CH"/>
              </w:rPr>
              <w:tab/>
            </w:r>
          </w:p>
          <w:p w:rsidR="00081D6E" w:rsidRPr="002C04A0" w:rsidRDefault="00081D6E" w:rsidP="00BE6EEC">
            <w:pPr>
              <w:tabs>
                <w:tab w:val="left" w:pos="1098"/>
              </w:tabs>
              <w:spacing w:line="240" w:lineRule="auto"/>
              <w:rPr>
                <w:rFonts w:asciiTheme="minorHAnsi" w:hAnsiTheme="minorHAnsi" w:cstheme="majorBidi"/>
                <w:szCs w:val="24"/>
                <w:lang w:val="fr-CH"/>
              </w:rPr>
            </w:pPr>
            <w:r w:rsidRPr="002C04A0">
              <w:rPr>
                <w:rFonts w:asciiTheme="minorHAnsi" w:hAnsiTheme="minorHAnsi" w:cstheme="majorBidi"/>
                <w:szCs w:val="24"/>
                <w:lang w:val="fr-CH"/>
              </w:rPr>
              <w:t>2</w:t>
            </w:r>
            <w:r w:rsidRPr="002C04A0">
              <w:rPr>
                <w:rFonts w:asciiTheme="minorHAnsi" w:hAnsiTheme="minorHAnsi" w:cstheme="majorBidi"/>
                <w:szCs w:val="24"/>
                <w:lang w:val="fr-CH"/>
              </w:rPr>
              <w:tab/>
            </w:r>
          </w:p>
          <w:p w:rsidR="00081D6E" w:rsidRPr="002C04A0" w:rsidRDefault="00081D6E" w:rsidP="00BE6EEC">
            <w:pPr>
              <w:spacing w:after="120" w:line="240" w:lineRule="auto"/>
              <w:rPr>
                <w:rFonts w:asciiTheme="minorHAnsi" w:hAnsiTheme="minorHAnsi" w:cstheme="majorBidi"/>
                <w:szCs w:val="24"/>
                <w:lang w:val="fr-CH"/>
              </w:rPr>
            </w:pPr>
            <w:r w:rsidRPr="002C04A0">
              <w:rPr>
                <w:rFonts w:asciiTheme="minorHAnsi" w:hAnsiTheme="minorHAnsi" w:cstheme="majorBidi"/>
                <w:szCs w:val="24"/>
                <w:lang w:val="fr-CH"/>
              </w:rPr>
              <w:t>On peut inclure dans cette partie des Notes portant sur un point en particulier ou sur l'ensemble d'entre eux (par exemple afin d'indiquer que certaines études ne sont pas encore terminées).</w:t>
            </w:r>
          </w:p>
        </w:tc>
      </w:tr>
    </w:tbl>
    <w:p w:rsidR="00081D6E" w:rsidRPr="002C04A0" w:rsidRDefault="00081D6E" w:rsidP="00BE6EEC">
      <w:pPr>
        <w:pStyle w:val="AnnexNotitle0"/>
        <w:keepLines w:val="0"/>
        <w:overflowPunct/>
        <w:autoSpaceDE/>
        <w:autoSpaceDN/>
        <w:adjustRightInd/>
        <w:spacing w:after="120"/>
        <w:textAlignment w:val="auto"/>
        <w:rPr>
          <w:rFonts w:asciiTheme="minorHAnsi" w:hAnsiTheme="minorHAnsi"/>
          <w:lang w:val="fr-CH"/>
        </w:rPr>
      </w:pPr>
      <w:r w:rsidRPr="002C04A0">
        <w:rPr>
          <w:rFonts w:asciiTheme="minorHAnsi" w:hAnsiTheme="minorHAnsi"/>
          <w:lang w:val="fr-CH"/>
        </w:rPr>
        <w:lastRenderedPageBreak/>
        <w:t>Annexe(s)</w:t>
      </w:r>
    </w:p>
    <w:tbl>
      <w:tblPr>
        <w:tblW w:w="0" w:type="auto"/>
        <w:tblLayout w:type="fixed"/>
        <w:tblLook w:val="0000" w:firstRow="0" w:lastRow="0" w:firstColumn="0" w:lastColumn="0" w:noHBand="0" w:noVBand="0"/>
      </w:tblPr>
      <w:tblGrid>
        <w:gridCol w:w="9499"/>
      </w:tblGrid>
      <w:tr w:rsidR="00081D6E" w:rsidRPr="002C04A0" w:rsidTr="00081D6E">
        <w:trPr>
          <w:cantSplit/>
          <w:trHeight w:val="284"/>
        </w:trPr>
        <w:tc>
          <w:tcPr>
            <w:tcW w:w="9499"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spacing w:after="120" w:line="240" w:lineRule="auto"/>
              <w:rPr>
                <w:rFonts w:asciiTheme="minorHAnsi" w:hAnsiTheme="minorHAnsi" w:cstheme="majorBidi"/>
                <w:szCs w:val="24"/>
                <w:lang w:val="fr-CH"/>
              </w:rPr>
            </w:pPr>
            <w:r w:rsidRPr="002C04A0">
              <w:rPr>
                <w:rFonts w:asciiTheme="minorHAnsi" w:hAnsiTheme="minorHAnsi" w:cstheme="majorBidi"/>
                <w:szCs w:val="24"/>
                <w:lang w:val="fr-CH"/>
              </w:rPr>
              <w:t xml:space="preserve">Cette partie devrait: </w:t>
            </w:r>
          </w:p>
          <w:p w:rsidR="00081D6E" w:rsidRPr="002C04A0" w:rsidRDefault="00081D6E" w:rsidP="00BE6EEC">
            <w:pPr>
              <w:pStyle w:val="ListParagraph"/>
              <w:numPr>
                <w:ilvl w:val="0"/>
                <w:numId w:val="6"/>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inorHAnsi" w:hAnsiTheme="minorHAnsi" w:cstheme="majorBidi"/>
                <w:szCs w:val="24"/>
                <w:lang w:val="fr-CH"/>
              </w:rPr>
            </w:pPr>
            <w:r w:rsidRPr="002C04A0">
              <w:rPr>
                <w:rFonts w:asciiTheme="minorHAnsi" w:hAnsiTheme="minorHAnsi" w:cstheme="majorBidi"/>
                <w:szCs w:val="24"/>
                <w:lang w:val="fr-CH"/>
              </w:rPr>
              <w:t>comporter des détails techniques ou une description des méthodes/procédures;</w:t>
            </w:r>
          </w:p>
          <w:p w:rsidR="00081D6E" w:rsidRPr="002C04A0" w:rsidRDefault="00081D6E" w:rsidP="00BE6EE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inorHAnsi" w:hAnsiTheme="minorHAnsi" w:cstheme="majorBidi"/>
                <w:szCs w:val="24"/>
                <w:lang w:val="fr-CH"/>
              </w:rPr>
            </w:pPr>
            <w:r w:rsidRPr="002C04A0">
              <w:rPr>
                <w:rFonts w:asciiTheme="minorHAnsi" w:hAnsiTheme="minorHAnsi" w:cstheme="majorBidi"/>
                <w:szCs w:val="24"/>
                <w:lang w:val="fr-CH"/>
              </w:rPr>
              <w:t xml:space="preserve">appuyer ou clarifier les points du </w:t>
            </w:r>
            <w:r w:rsidRPr="002C04A0">
              <w:rPr>
                <w:rFonts w:asciiTheme="minorHAnsi" w:hAnsiTheme="minorHAnsi" w:cstheme="majorBidi"/>
                <w:i/>
                <w:iCs/>
                <w:szCs w:val="24"/>
                <w:lang w:val="fr-CH"/>
              </w:rPr>
              <w:t>recommande</w:t>
            </w:r>
            <w:r w:rsidRPr="002C04A0">
              <w:rPr>
                <w:rFonts w:asciiTheme="minorHAnsi" w:hAnsiTheme="minorHAnsi" w:cstheme="majorBidi"/>
                <w:szCs w:val="24"/>
                <w:lang w:val="fr-CH"/>
              </w:rPr>
              <w:t xml:space="preserve"> qui y sont visés;</w:t>
            </w:r>
          </w:p>
          <w:p w:rsidR="00081D6E" w:rsidRPr="002C04A0" w:rsidRDefault="00081D6E" w:rsidP="00BE6EE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inorHAnsi" w:hAnsiTheme="minorHAnsi" w:cstheme="majorBidi"/>
                <w:szCs w:val="24"/>
                <w:lang w:val="fr-CH"/>
              </w:rPr>
            </w:pPr>
            <w:r w:rsidRPr="002C04A0">
              <w:rPr>
                <w:rFonts w:asciiTheme="minorHAnsi" w:hAnsiTheme="minorHAnsi" w:cstheme="majorBidi"/>
                <w:szCs w:val="24"/>
                <w:lang w:val="fr-CH"/>
              </w:rPr>
              <w:t>être numérotée selon l'ordre suivant: Annexe 1, Annexe 2, etc.</w:t>
            </w:r>
          </w:p>
          <w:p w:rsidR="00081D6E" w:rsidRPr="002C04A0" w:rsidRDefault="00081D6E" w:rsidP="00BE6EEC">
            <w:pPr>
              <w:pStyle w:val="ListParagraph"/>
              <w:ind w:left="360"/>
              <w:rPr>
                <w:rFonts w:asciiTheme="minorHAnsi" w:hAnsiTheme="minorHAnsi" w:cstheme="majorBidi"/>
                <w:szCs w:val="24"/>
                <w:lang w:val="fr-CH"/>
              </w:rPr>
            </w:pPr>
            <w:r w:rsidRPr="002C04A0">
              <w:rPr>
                <w:rFonts w:asciiTheme="minorHAnsi" w:hAnsiTheme="minorHAnsi" w:cstheme="majorBidi"/>
                <w:szCs w:val="24"/>
                <w:lang w:val="fr-CH"/>
              </w:rPr>
              <w:t>Elle est nécessaire à l'intégrité et la compréhension générales de la Recommandation.</w:t>
            </w:r>
          </w:p>
          <w:p w:rsidR="00081D6E" w:rsidRPr="002C04A0" w:rsidRDefault="00081D6E" w:rsidP="00BE6EEC">
            <w:pPr>
              <w:spacing w:line="240" w:lineRule="auto"/>
              <w:rPr>
                <w:rFonts w:asciiTheme="minorHAnsi" w:hAnsiTheme="minorHAnsi" w:cstheme="majorBidi"/>
                <w:szCs w:val="24"/>
                <w:lang w:val="fr-CH"/>
              </w:rPr>
            </w:pPr>
            <w:r w:rsidRPr="002C04A0">
              <w:rPr>
                <w:rFonts w:asciiTheme="minorHAnsi" w:hAnsiTheme="minorHAnsi" w:cstheme="majorBidi"/>
                <w:szCs w:val="24"/>
                <w:lang w:val="fr-CH"/>
              </w:rPr>
              <w:t>Si le texte de l'Annexe a plus de 5 pages, celle-ci doit comporter une TABLE DES MATIÈRES.</w:t>
            </w:r>
          </w:p>
        </w:tc>
      </w:tr>
    </w:tbl>
    <w:p w:rsidR="00081D6E" w:rsidRPr="002C04A0" w:rsidRDefault="00081D6E" w:rsidP="00BE6EEC">
      <w:pPr>
        <w:pStyle w:val="TableText0"/>
        <w:spacing w:before="480" w:after="120" w:line="240" w:lineRule="auto"/>
        <w:jc w:val="center"/>
        <w:rPr>
          <w:rFonts w:asciiTheme="minorHAnsi" w:hAnsiTheme="minorHAnsi" w:cstheme="majorBidi"/>
          <w:sz w:val="28"/>
          <w:szCs w:val="28"/>
          <w:lang w:val="fr-CH"/>
        </w:rPr>
      </w:pPr>
      <w:r w:rsidRPr="002C04A0">
        <w:rPr>
          <w:rFonts w:asciiTheme="minorHAnsi" w:hAnsiTheme="minorHAnsi" w:cstheme="majorBidi"/>
          <w:b/>
          <w:bCs/>
          <w:sz w:val="28"/>
          <w:szCs w:val="28"/>
          <w:lang w:val="fr-CH"/>
        </w:rPr>
        <w:t>Pièce</w:t>
      </w:r>
      <w:r w:rsidRPr="002C04A0">
        <w:rPr>
          <w:rFonts w:asciiTheme="minorHAnsi" w:hAnsiTheme="minorHAnsi" w:cstheme="majorBidi"/>
          <w:sz w:val="28"/>
          <w:szCs w:val="28"/>
          <w:lang w:val="fr-CH"/>
        </w:rPr>
        <w:t>(s)</w:t>
      </w:r>
      <w:r w:rsidRPr="002C04A0">
        <w:rPr>
          <w:rFonts w:asciiTheme="minorHAnsi" w:hAnsiTheme="minorHAnsi" w:cstheme="majorBidi"/>
          <w:b/>
          <w:bCs/>
          <w:sz w:val="28"/>
          <w:szCs w:val="28"/>
          <w:lang w:val="fr-CH"/>
        </w:rPr>
        <w:t xml:space="preserve"> jointe</w:t>
      </w:r>
      <w:r w:rsidRPr="002C04A0">
        <w:rPr>
          <w:rFonts w:asciiTheme="minorHAnsi" w:hAnsiTheme="minorHAnsi" w:cstheme="majorBidi"/>
          <w:sz w:val="28"/>
          <w:szCs w:val="28"/>
          <w:lang w:val="fr-CH"/>
        </w:rPr>
        <w:t>(s) à une Annexe (si nécessaire):</w:t>
      </w:r>
    </w:p>
    <w:tbl>
      <w:tblPr>
        <w:tblW w:w="0" w:type="auto"/>
        <w:tblLayout w:type="fixed"/>
        <w:tblLook w:val="0000" w:firstRow="0" w:lastRow="0" w:firstColumn="0" w:lastColumn="0" w:noHBand="0" w:noVBand="0"/>
      </w:tblPr>
      <w:tblGrid>
        <w:gridCol w:w="9499"/>
      </w:tblGrid>
      <w:tr w:rsidR="00081D6E" w:rsidRPr="002C04A0" w:rsidTr="00081D6E">
        <w:trPr>
          <w:cantSplit/>
          <w:trHeight w:val="284"/>
        </w:trPr>
        <w:tc>
          <w:tcPr>
            <w:tcW w:w="9499" w:type="dxa"/>
            <w:tcBorders>
              <w:top w:val="single" w:sz="6" w:space="0" w:color="auto"/>
              <w:left w:val="single" w:sz="6" w:space="0" w:color="auto"/>
              <w:bottom w:val="single" w:sz="6" w:space="0" w:color="auto"/>
              <w:right w:val="single" w:sz="6" w:space="0" w:color="auto"/>
            </w:tcBorders>
          </w:tcPr>
          <w:p w:rsidR="00081D6E" w:rsidRPr="002C04A0" w:rsidRDefault="00081D6E" w:rsidP="00BE6EEC">
            <w:pPr>
              <w:spacing w:after="120" w:line="240" w:lineRule="auto"/>
              <w:rPr>
                <w:rFonts w:asciiTheme="minorHAnsi" w:hAnsiTheme="minorHAnsi" w:cstheme="majorBidi"/>
                <w:szCs w:val="24"/>
                <w:lang w:val="fr-CH"/>
              </w:rPr>
            </w:pPr>
            <w:r w:rsidRPr="002C04A0">
              <w:rPr>
                <w:rFonts w:asciiTheme="minorHAnsi" w:hAnsiTheme="minorHAnsi" w:cstheme="majorBidi"/>
                <w:szCs w:val="24"/>
                <w:lang w:val="fr-CH"/>
              </w:rPr>
              <w:t xml:space="preserve">Cette partie devrait: </w:t>
            </w:r>
          </w:p>
          <w:p w:rsidR="00081D6E" w:rsidRPr="002C04A0" w:rsidRDefault="00081D6E" w:rsidP="00BE6EE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inorHAnsi" w:hAnsiTheme="minorHAnsi" w:cstheme="majorBidi"/>
                <w:szCs w:val="24"/>
                <w:lang w:val="fr-CH"/>
              </w:rPr>
            </w:pPr>
            <w:r w:rsidRPr="002C04A0">
              <w:rPr>
                <w:rFonts w:asciiTheme="minorHAnsi" w:hAnsiTheme="minorHAnsi" w:cstheme="majorBidi"/>
                <w:szCs w:val="24"/>
                <w:lang w:val="fr-CH"/>
              </w:rPr>
              <w:t>comporter des informations se rapportant à une Annexe d'une Recommandation et la complétant;</w:t>
            </w:r>
          </w:p>
          <w:p w:rsidR="00081D6E" w:rsidRPr="002C04A0" w:rsidRDefault="00081D6E" w:rsidP="00BE6EEC">
            <w:pPr>
              <w:pStyle w:val="ListParagraph"/>
              <w:numPr>
                <w:ilvl w:val="0"/>
                <w:numId w:val="5"/>
              </w:numPr>
              <w:tabs>
                <w:tab w:val="clear" w:pos="1134"/>
                <w:tab w:val="clear" w:pos="1871"/>
                <w:tab w:val="clear" w:pos="2268"/>
                <w:tab w:val="left" w:pos="794"/>
                <w:tab w:val="left" w:pos="1191"/>
                <w:tab w:val="left" w:pos="1588"/>
                <w:tab w:val="left" w:pos="1985"/>
              </w:tabs>
              <w:overflowPunct/>
              <w:autoSpaceDE/>
              <w:autoSpaceDN/>
              <w:adjustRightInd/>
              <w:textAlignment w:val="auto"/>
              <w:rPr>
                <w:rFonts w:asciiTheme="minorHAnsi" w:hAnsiTheme="minorHAnsi" w:cstheme="majorBidi"/>
                <w:szCs w:val="24"/>
                <w:lang w:val="fr-CH"/>
              </w:rPr>
            </w:pPr>
            <w:r w:rsidRPr="002C04A0">
              <w:rPr>
                <w:rFonts w:asciiTheme="minorHAnsi" w:hAnsiTheme="minorHAnsi" w:cstheme="majorBidi"/>
                <w:szCs w:val="24"/>
                <w:lang w:val="fr-CH"/>
              </w:rPr>
              <w:t xml:space="preserve">clarifier les points du </w:t>
            </w:r>
            <w:r w:rsidRPr="002C04A0">
              <w:rPr>
                <w:rFonts w:asciiTheme="minorHAnsi" w:hAnsiTheme="minorHAnsi" w:cstheme="majorBidi"/>
                <w:i/>
                <w:iCs/>
                <w:szCs w:val="24"/>
                <w:lang w:val="fr-CH"/>
              </w:rPr>
              <w:t>recommande</w:t>
            </w:r>
            <w:r w:rsidRPr="002C04A0">
              <w:rPr>
                <w:rFonts w:asciiTheme="minorHAnsi" w:hAnsiTheme="minorHAnsi" w:cstheme="majorBidi"/>
                <w:szCs w:val="24"/>
                <w:lang w:val="fr-CH"/>
              </w:rPr>
              <w:t xml:space="preserve"> visés dans cette Annexe. </w:t>
            </w:r>
          </w:p>
          <w:p w:rsidR="00081D6E" w:rsidRPr="002C04A0" w:rsidRDefault="00081D6E" w:rsidP="00BE6EEC">
            <w:pPr>
              <w:pStyle w:val="ListParagraph"/>
              <w:ind w:left="360"/>
              <w:rPr>
                <w:rFonts w:asciiTheme="minorHAnsi" w:hAnsiTheme="minorHAnsi" w:cstheme="majorBidi"/>
                <w:szCs w:val="24"/>
                <w:lang w:val="fr-CH"/>
              </w:rPr>
            </w:pPr>
            <w:r w:rsidRPr="002C04A0">
              <w:rPr>
                <w:rFonts w:asciiTheme="minorHAnsi" w:hAnsiTheme="minorHAnsi" w:cstheme="majorBidi"/>
                <w:szCs w:val="24"/>
                <w:lang w:val="fr-CH"/>
              </w:rPr>
              <w:t>Elle n'est pas nécessaire à l'intégrité et la compréhension générales de la Recommandation.</w:t>
            </w:r>
          </w:p>
          <w:p w:rsidR="00081D6E" w:rsidRPr="002C04A0" w:rsidRDefault="00081D6E" w:rsidP="00BE6EEC">
            <w:pPr>
              <w:spacing w:line="240" w:lineRule="auto"/>
              <w:rPr>
                <w:rFonts w:asciiTheme="minorHAnsi" w:hAnsiTheme="minorHAnsi" w:cstheme="majorBidi"/>
                <w:szCs w:val="24"/>
                <w:lang w:val="fr-CH"/>
              </w:rPr>
            </w:pPr>
            <w:r w:rsidRPr="002C04A0">
              <w:rPr>
                <w:rFonts w:asciiTheme="minorHAnsi" w:hAnsiTheme="minorHAnsi" w:cstheme="majorBidi"/>
                <w:szCs w:val="24"/>
                <w:lang w:val="fr-CH"/>
              </w:rPr>
              <w:t xml:space="preserve">Si le texte de la Pièce jointe a plus de cinq pages, celle-ci doit comporter une TABLE DES MATIÈRES. </w:t>
            </w:r>
          </w:p>
        </w:tc>
      </w:tr>
    </w:tbl>
    <w:p w:rsidR="00081D6E" w:rsidRPr="002C04A0" w:rsidRDefault="00081D6E" w:rsidP="00BE6EEC">
      <w:pPr>
        <w:pStyle w:val="TableText0"/>
        <w:spacing w:line="240" w:lineRule="auto"/>
        <w:jc w:val="center"/>
        <w:rPr>
          <w:rFonts w:asciiTheme="minorHAnsi" w:hAnsiTheme="minorHAnsi" w:cstheme="majorBidi"/>
          <w:sz w:val="24"/>
          <w:szCs w:val="24"/>
          <w:lang w:val="fr-CH"/>
        </w:rPr>
      </w:pPr>
    </w:p>
    <w:p w:rsidR="00081D6E" w:rsidRPr="002C04A0" w:rsidRDefault="00081D6E" w:rsidP="00BE6EEC">
      <w:pPr>
        <w:spacing w:line="240" w:lineRule="auto"/>
        <w:rPr>
          <w:rFonts w:asciiTheme="minorHAnsi" w:hAnsiTheme="minorHAnsi" w:cstheme="majorBidi"/>
          <w:szCs w:val="24"/>
          <w:lang w:val="fr-CH"/>
        </w:rPr>
      </w:pPr>
      <w:r w:rsidRPr="002C04A0">
        <w:rPr>
          <w:rFonts w:asciiTheme="minorHAnsi" w:hAnsiTheme="minorHAnsi" w:cstheme="majorBidi"/>
          <w:szCs w:val="24"/>
          <w:lang w:val="fr-CH"/>
        </w:rPr>
        <w:t>Les Recommandations ne devraient pas comporter d'</w:t>
      </w:r>
      <w:r w:rsidRPr="002C04A0">
        <w:rPr>
          <w:rFonts w:asciiTheme="minorHAnsi" w:hAnsiTheme="minorHAnsi" w:cstheme="majorBidi"/>
          <w:b/>
          <w:bCs/>
          <w:szCs w:val="24"/>
          <w:lang w:val="fr-CH"/>
        </w:rPr>
        <w:t>Appendice</w:t>
      </w:r>
      <w:r w:rsidRPr="002C04A0">
        <w:rPr>
          <w:rFonts w:asciiTheme="minorHAnsi" w:hAnsiTheme="minorHAnsi" w:cstheme="majorBidi"/>
          <w:szCs w:val="24"/>
          <w:lang w:val="fr-CH"/>
        </w:rPr>
        <w:t xml:space="preserve">(s), afin d'éviter toute confusion avec les </w:t>
      </w:r>
      <w:r w:rsidRPr="002C04A0">
        <w:rPr>
          <w:rFonts w:asciiTheme="minorHAnsi" w:hAnsiTheme="minorHAnsi" w:cstheme="majorBidi"/>
          <w:b/>
          <w:bCs/>
          <w:szCs w:val="24"/>
          <w:lang w:val="fr-CH"/>
        </w:rPr>
        <w:t>Appendices</w:t>
      </w:r>
      <w:r w:rsidRPr="002C04A0">
        <w:rPr>
          <w:rFonts w:asciiTheme="minorHAnsi" w:hAnsiTheme="minorHAnsi" w:cstheme="majorBidi"/>
          <w:szCs w:val="24"/>
          <w:lang w:val="fr-CH"/>
        </w:rPr>
        <w:t xml:space="preserve"> du RR.</w:t>
      </w:r>
    </w:p>
    <w:p w:rsidR="00081D6E" w:rsidRPr="002C04A0" w:rsidRDefault="00081D6E" w:rsidP="00BE6EEC">
      <w:pPr>
        <w:spacing w:line="240" w:lineRule="auto"/>
        <w:rPr>
          <w:rFonts w:asciiTheme="minorHAnsi" w:hAnsiTheme="minorHAnsi"/>
          <w:lang w:val="fr-CH"/>
        </w:rPr>
      </w:pPr>
    </w:p>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aps/>
          <w:lang w:val="fr-CH"/>
        </w:rPr>
      </w:pPr>
      <w:r w:rsidRPr="002C04A0">
        <w:rPr>
          <w:rFonts w:asciiTheme="minorHAnsi" w:hAnsiTheme="minorHAnsi"/>
          <w:caps/>
          <w:lang w:val="fr-CH"/>
        </w:rPr>
        <w:br w:type="page"/>
      </w:r>
    </w:p>
    <w:p w:rsidR="00081D6E" w:rsidRPr="002C04A0" w:rsidRDefault="00081D6E" w:rsidP="00BE6EEC">
      <w:pPr>
        <w:pStyle w:val="AnnexNotitle0"/>
        <w:rPr>
          <w:rFonts w:asciiTheme="minorHAnsi" w:hAnsiTheme="minorHAnsi"/>
          <w:b w:val="0"/>
          <w:bCs/>
        </w:rPr>
      </w:pPr>
      <w:r w:rsidRPr="002C04A0">
        <w:rPr>
          <w:rFonts w:asciiTheme="minorHAnsi" w:hAnsiTheme="minorHAnsi"/>
          <w:b w:val="0"/>
          <w:bCs/>
        </w:rPr>
        <w:lastRenderedPageBreak/>
        <w:t>ANNEXE 3</w:t>
      </w:r>
    </w:p>
    <w:p w:rsidR="00081D6E" w:rsidRPr="002C04A0" w:rsidRDefault="00081D6E" w:rsidP="00BE6EEC">
      <w:pPr>
        <w:pStyle w:val="AnnexNotitle0"/>
        <w:rPr>
          <w:rFonts w:asciiTheme="minorHAnsi" w:hAnsiTheme="minorHAnsi"/>
        </w:rPr>
      </w:pPr>
      <w:r w:rsidRPr="002C04A0">
        <w:rPr>
          <w:rFonts w:asciiTheme="minorHAnsi" w:hAnsiTheme="minorHAnsi"/>
        </w:rPr>
        <w:t xml:space="preserve">Projet de plan opérationnel quadriennal glissant </w:t>
      </w:r>
      <w:r w:rsidRPr="002C04A0">
        <w:rPr>
          <w:rFonts w:asciiTheme="minorHAnsi" w:hAnsiTheme="minorHAnsi"/>
        </w:rPr>
        <w:br/>
        <w:t xml:space="preserve">du Secteur des radiocommunications pour </w:t>
      </w:r>
      <w:r w:rsidRPr="002C04A0">
        <w:rPr>
          <w:rFonts w:asciiTheme="minorHAnsi" w:hAnsiTheme="minorHAnsi"/>
        </w:rPr>
        <w:br/>
        <w:t>la période 2017-2020</w:t>
      </w:r>
    </w:p>
    <w:p w:rsidR="00081D6E" w:rsidRPr="002C04A0" w:rsidRDefault="00081D6E" w:rsidP="00BE6EEC">
      <w:pPr>
        <w:spacing w:line="240" w:lineRule="auto"/>
        <w:ind w:left="794" w:hanging="794"/>
        <w:rPr>
          <w:rFonts w:asciiTheme="minorHAnsi" w:hAnsiTheme="minorHAnsi"/>
          <w:caps/>
          <w:lang w:val="fr-CH"/>
        </w:rPr>
      </w:pPr>
    </w:p>
    <w:p w:rsidR="00081D6E" w:rsidRPr="002C04A0" w:rsidRDefault="00081D6E" w:rsidP="00BE6EEC">
      <w:pPr>
        <w:spacing w:line="240" w:lineRule="auto"/>
        <w:rPr>
          <w:rFonts w:asciiTheme="minorHAnsi" w:hAnsiTheme="minorHAnsi"/>
          <w:lang w:val="fr-CH"/>
        </w:rPr>
      </w:pPr>
      <w:r w:rsidRPr="002C04A0">
        <w:rPr>
          <w:rFonts w:asciiTheme="minorHAnsi" w:hAnsiTheme="minorHAnsi"/>
          <w:lang w:val="fr-CH"/>
        </w:rPr>
        <w:t>Ce document présente un résumé et les principaux éléments du projet de Plan opérationnel quadriennal glissant du Secteur des radiocommunications (UIT-R) pour la période 2017-2020 tel qu'il a été modifié lors de la séance spéciale tenue par le GCR le 11 mai 2016.</w:t>
      </w:r>
    </w:p>
    <w:p w:rsidR="00081D6E" w:rsidRPr="002C04A0" w:rsidRDefault="00081D6E" w:rsidP="00BE6EEC">
      <w:pPr>
        <w:spacing w:line="240" w:lineRule="auto"/>
        <w:rPr>
          <w:rFonts w:asciiTheme="minorHAnsi" w:hAnsiTheme="minorHAnsi"/>
          <w:lang w:val="fr-CH"/>
        </w:rPr>
      </w:pPr>
    </w:p>
    <w:p w:rsidR="00081D6E" w:rsidRPr="002C04A0" w:rsidRDefault="00081D6E" w:rsidP="00BE6EEC">
      <w:pPr>
        <w:spacing w:line="240" w:lineRule="auto"/>
        <w:rPr>
          <w:rFonts w:asciiTheme="minorHAnsi" w:hAnsiTheme="minorHAnsi"/>
          <w:lang w:val="fr-CH"/>
        </w:rPr>
        <w:sectPr w:rsidR="00081D6E" w:rsidRPr="002C04A0" w:rsidSect="00081D6E">
          <w:headerReference w:type="even" r:id="rId34"/>
          <w:footerReference w:type="even" r:id="rId35"/>
          <w:footerReference w:type="default" r:id="rId36"/>
          <w:pgSz w:w="11907" w:h="16834"/>
          <w:pgMar w:top="1418" w:right="1134" w:bottom="1418" w:left="1134" w:header="720" w:footer="720" w:gutter="0"/>
          <w:paperSrc w:first="15" w:other="15"/>
          <w:cols w:space="720"/>
          <w:titlePg/>
          <w:docGrid w:linePitch="326"/>
        </w:sectPr>
      </w:pPr>
    </w:p>
    <w:p w:rsidR="00081D6E" w:rsidRPr="002C04A0" w:rsidRDefault="00081D6E" w:rsidP="00BE6EEC">
      <w:pPr>
        <w:pStyle w:val="Heading1"/>
        <w:spacing w:line="240" w:lineRule="auto"/>
        <w:rPr>
          <w:rFonts w:asciiTheme="minorHAnsi" w:hAnsiTheme="minorHAnsi"/>
          <w:lang w:val="fr-CH"/>
        </w:rPr>
      </w:pPr>
      <w:r w:rsidRPr="002C04A0">
        <w:rPr>
          <w:rFonts w:asciiTheme="minorHAnsi" w:hAnsiTheme="minorHAnsi"/>
          <w:lang w:val="fr-CH"/>
        </w:rPr>
        <w:lastRenderedPageBreak/>
        <w:t>1</w:t>
      </w:r>
      <w:r w:rsidRPr="002C04A0">
        <w:rPr>
          <w:rFonts w:asciiTheme="minorHAnsi" w:hAnsiTheme="minorHAnsi"/>
          <w:lang w:val="fr-CH"/>
        </w:rPr>
        <w:tab/>
        <w:t>Introduction</w:t>
      </w:r>
    </w:p>
    <w:p w:rsidR="00081D6E" w:rsidRPr="002C04A0" w:rsidRDefault="00081D6E" w:rsidP="00BE6EEC">
      <w:pPr>
        <w:spacing w:line="240" w:lineRule="auto"/>
        <w:rPr>
          <w:rFonts w:asciiTheme="minorHAnsi" w:hAnsiTheme="minorHAnsi"/>
          <w:lang w:val="fr-CH"/>
        </w:rPr>
      </w:pPr>
      <w:r w:rsidRPr="002C04A0">
        <w:rPr>
          <w:rFonts w:asciiTheme="minorHAnsi" w:hAnsiTheme="minorHAnsi"/>
          <w:lang w:val="fr-CH"/>
        </w:rPr>
        <w:t>Le Plan opérationnel quadriennal glissant du Secteur des radiocommunications de l'UIT (UIT</w:t>
      </w:r>
      <w:r w:rsidRPr="002C04A0">
        <w:rPr>
          <w:rFonts w:asciiTheme="minorHAnsi" w:hAnsiTheme="minorHAnsi"/>
          <w:lang w:val="fr-CH"/>
        </w:rPr>
        <w:noBreakHyphen/>
        <w:t>R) est établi dans le strict respect du Plan stratégique de l'UIT pour la période 2017-2020, dans les limites fixées dans le Plan financier pour la période 2017-2020 et dans les budgets biennaux correspondants. La structure du Plan est conforme au cadre de présentation des résultats de l'UIT</w:t>
      </w:r>
      <w:r w:rsidRPr="002C04A0">
        <w:rPr>
          <w:rFonts w:asciiTheme="minorHAnsi" w:hAnsiTheme="minorHAnsi"/>
          <w:lang w:val="fr-CH"/>
        </w:rPr>
        <w:noBreakHyphen/>
        <w:t>R, qui consiste à décrire les objectifs de l'UIT</w:t>
      </w:r>
      <w:r w:rsidRPr="002C04A0">
        <w:rPr>
          <w:rFonts w:asciiTheme="minorHAnsi" w:hAnsiTheme="minorHAnsi"/>
          <w:lang w:val="fr-CH"/>
        </w:rPr>
        <w:noBreakHyphen/>
        <w:t>R, les résultats associés et les indicateurs servant à mesurer les progrès accomplis en vue d'obtenir ces résultats, ainsi que les produits (produits et services) résultant des activités du Secteur.</w:t>
      </w:r>
    </w:p>
    <w:p w:rsidR="00081D6E" w:rsidRPr="002C04A0" w:rsidRDefault="00081D6E" w:rsidP="00BE6EEC">
      <w:pPr>
        <w:spacing w:line="240" w:lineRule="auto"/>
        <w:rPr>
          <w:rFonts w:asciiTheme="minorHAnsi" w:hAnsiTheme="minorHAnsi"/>
          <w:lang w:val="fr-CH"/>
        </w:rPr>
      </w:pPr>
      <w:r w:rsidRPr="002C04A0">
        <w:rPr>
          <w:rFonts w:asciiTheme="minorHAnsi" w:hAnsiTheme="minorHAnsi"/>
          <w:lang w:val="fr-CH"/>
        </w:rPr>
        <w:t>La planification, la mise en oeuvre et le processus de suivi et d'évaluation pour le Bureau des radiocommunications (BR) seront complétés par les mécanismes internes suivants:</w:t>
      </w:r>
    </w:p>
    <w:p w:rsidR="00081D6E" w:rsidRPr="002C04A0" w:rsidRDefault="00081D6E" w:rsidP="00BE6EEC">
      <w:pPr>
        <w:spacing w:line="240" w:lineRule="auto"/>
        <w:rPr>
          <w:rFonts w:asciiTheme="minorHAnsi" w:hAnsiTheme="minorHAnsi"/>
          <w:lang w:val="fr-CH"/>
        </w:rPr>
      </w:pPr>
      <w:r w:rsidRPr="002C04A0">
        <w:rPr>
          <w:rFonts w:asciiTheme="minorHAnsi" w:hAnsiTheme="minorHAnsi"/>
          <w:lang w:val="fr-CH"/>
        </w:rPr>
        <w:t>i)</w:t>
      </w:r>
      <w:r w:rsidRPr="002C04A0">
        <w:rPr>
          <w:rFonts w:asciiTheme="minorHAnsi" w:hAnsiTheme="minorHAnsi"/>
          <w:lang w:val="fr-CH"/>
        </w:rPr>
        <w:tab/>
        <w:t>les programmes de travail des Départements et Divisions du BR; et</w:t>
      </w:r>
    </w:p>
    <w:p w:rsidR="002C04A0" w:rsidRDefault="00081D6E" w:rsidP="00BE6EEC">
      <w:pPr>
        <w:spacing w:line="240" w:lineRule="auto"/>
        <w:rPr>
          <w:rFonts w:asciiTheme="minorHAnsi" w:hAnsiTheme="minorHAnsi"/>
          <w:lang w:val="fr-CH"/>
        </w:rPr>
      </w:pPr>
      <w:r w:rsidRPr="002C04A0">
        <w:rPr>
          <w:rFonts w:asciiTheme="minorHAnsi" w:hAnsiTheme="minorHAnsi"/>
          <w:lang w:val="fr-CH"/>
        </w:rPr>
        <w:t>ii)</w:t>
      </w:r>
      <w:r w:rsidRPr="002C04A0">
        <w:rPr>
          <w:rFonts w:asciiTheme="minorHAnsi" w:hAnsiTheme="minorHAnsi"/>
          <w:lang w:val="fr-CH"/>
        </w:rPr>
        <w:tab/>
        <w:t>les accords de niveau de service (SLA) pour la planification, le suivi et l'évaluation des services d'appui.</w:t>
      </w:r>
    </w:p>
    <w:p w:rsidR="00081D6E" w:rsidRPr="002C04A0" w:rsidRDefault="00081D6E" w:rsidP="00BE6EEC">
      <w:pPr>
        <w:spacing w:line="240" w:lineRule="auto"/>
        <w:jc w:val="center"/>
        <w:rPr>
          <w:rFonts w:asciiTheme="minorHAnsi" w:hAnsiTheme="minorHAnsi"/>
        </w:rPr>
      </w:pPr>
      <w:r w:rsidRPr="002C04A0">
        <w:rPr>
          <w:rFonts w:asciiTheme="minorHAnsi" w:hAnsiTheme="minorHAnsi"/>
          <w:noProof/>
          <w:lang w:eastAsia="zh-CN"/>
        </w:rPr>
        <w:object w:dxaOrig="7191"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05pt;height:325.5pt" o:ole="">
            <v:imagedata r:id="rId37" o:title="" croptop="14449f"/>
          </v:shape>
          <o:OLEObject Type="Embed" ProgID="PowerPoint.Slide.12" ShapeID="_x0000_i1025" DrawAspect="Content" ObjectID="_1528286731" r:id="rId38"/>
        </w:object>
      </w:r>
    </w:p>
    <w:p w:rsidR="00081D6E" w:rsidRPr="002C04A0" w:rsidRDefault="00081D6E" w:rsidP="00BE6EEC">
      <w:pPr>
        <w:pStyle w:val="Figuretitle"/>
        <w:rPr>
          <w:rFonts w:asciiTheme="minorHAnsi" w:hAnsiTheme="minorHAnsi"/>
        </w:rPr>
      </w:pPr>
      <w:r w:rsidRPr="002C04A0">
        <w:rPr>
          <w:rFonts w:asciiTheme="minorHAnsi" w:hAnsiTheme="minorHAnsi"/>
        </w:rPr>
        <w:t>Figure 1 – Plan opérationnel de l'UIT</w:t>
      </w:r>
      <w:r w:rsidRPr="002C04A0">
        <w:rPr>
          <w:rFonts w:asciiTheme="minorHAnsi" w:hAnsiTheme="minorHAnsi"/>
        </w:rPr>
        <w:noBreakHyphen/>
        <w:t>R et cadre stratégique de l'UIT pour la période 2016-2019</w:t>
      </w:r>
    </w:p>
    <w:p w:rsidR="00081D6E" w:rsidRPr="002C04A0" w:rsidRDefault="00081D6E" w:rsidP="00BE6EEC">
      <w:pPr>
        <w:spacing w:line="240" w:lineRule="auto"/>
        <w:rPr>
          <w:rFonts w:asciiTheme="minorHAnsi" w:hAnsiTheme="minorHAnsi"/>
          <w:lang w:val="fr-CH"/>
        </w:rPr>
      </w:pPr>
      <w:r w:rsidRPr="002C04A0">
        <w:rPr>
          <w:rFonts w:asciiTheme="minorHAnsi" w:hAnsiTheme="minorHAnsi"/>
          <w:lang w:val="fr-CH"/>
        </w:rPr>
        <w:br w:type="page"/>
      </w:r>
    </w:p>
    <w:p w:rsidR="00081D6E" w:rsidRPr="002C04A0" w:rsidRDefault="00081D6E" w:rsidP="00BE6EEC">
      <w:pPr>
        <w:pStyle w:val="Heading1"/>
        <w:spacing w:line="240" w:lineRule="auto"/>
        <w:rPr>
          <w:rFonts w:asciiTheme="minorHAnsi" w:hAnsiTheme="minorHAnsi"/>
          <w:sz w:val="28"/>
          <w:szCs w:val="28"/>
          <w:lang w:val="fr-CH"/>
        </w:rPr>
      </w:pPr>
      <w:r w:rsidRPr="002C04A0">
        <w:rPr>
          <w:rFonts w:asciiTheme="minorHAnsi" w:hAnsiTheme="minorHAnsi"/>
          <w:sz w:val="28"/>
          <w:szCs w:val="28"/>
          <w:lang w:val="fr-CH"/>
        </w:rPr>
        <w:lastRenderedPageBreak/>
        <w:t>2</w:t>
      </w:r>
      <w:r w:rsidRPr="002C04A0">
        <w:rPr>
          <w:rFonts w:asciiTheme="minorHAnsi" w:hAnsiTheme="minorHAnsi"/>
          <w:sz w:val="28"/>
          <w:szCs w:val="28"/>
          <w:lang w:val="fr-CH"/>
        </w:rPr>
        <w:tab/>
        <w:t>Grands axes et priorités essentielles pour le Secteur de l'UIT-R</w:t>
      </w:r>
    </w:p>
    <w:p w:rsidR="00081D6E" w:rsidRPr="002C04A0" w:rsidRDefault="00081D6E" w:rsidP="00BE6EEC">
      <w:pPr>
        <w:spacing w:line="240" w:lineRule="auto"/>
        <w:rPr>
          <w:rFonts w:asciiTheme="minorHAnsi" w:hAnsiTheme="minorHAnsi"/>
          <w:lang w:val="fr-CH"/>
        </w:rPr>
      </w:pPr>
      <w:r w:rsidRPr="002C04A0">
        <w:rPr>
          <w:rFonts w:asciiTheme="minorHAnsi" w:hAnsiTheme="minorHAnsi"/>
          <w:lang w:val="fr-CH"/>
        </w:rPr>
        <w:t>La période 2017-2020 sera marquée par la mise en oeuvre des décisions de l'AR-15 et de la CMR</w:t>
      </w:r>
      <w:r w:rsidRPr="002C04A0">
        <w:rPr>
          <w:rFonts w:asciiTheme="minorHAnsi" w:hAnsiTheme="minorHAnsi"/>
          <w:lang w:val="fr-CH"/>
        </w:rPr>
        <w:noBreakHyphen/>
        <w:t>15, la préparation de l'AR-19 et de la CMR</w:t>
      </w:r>
      <w:r w:rsidRPr="002C04A0">
        <w:rPr>
          <w:rFonts w:asciiTheme="minorHAnsi" w:hAnsiTheme="minorHAnsi"/>
          <w:lang w:val="fr-CH"/>
        </w:rPr>
        <w:noBreakHyphen/>
        <w:t>19 et l'élaboration de normes et de bonnes pratiques essentielles dans le domaine des radiocommunications. Les questions essentielles sont énumérées ci</w:t>
      </w:r>
      <w:r w:rsidRPr="002C04A0">
        <w:rPr>
          <w:rFonts w:asciiTheme="minorHAnsi" w:hAnsiTheme="minorHAnsi"/>
          <w:lang w:val="fr-CH"/>
        </w:rPr>
        <w:noBreakHyphen/>
        <w:t>après et réparties entre les quatre activités opérationnelles du Secteur de l'UIT</w:t>
      </w:r>
      <w:r w:rsidRPr="002C04A0">
        <w:rPr>
          <w:rFonts w:asciiTheme="minorHAnsi" w:hAnsiTheme="minorHAnsi"/>
          <w:lang w:val="fr-CH"/>
        </w:rPr>
        <w:noBreakHyphen/>
        <w:t>R et les activités d'appui du Bureau des radiocommunications.</w:t>
      </w:r>
    </w:p>
    <w:p w:rsidR="00081D6E" w:rsidRPr="002C04A0" w:rsidRDefault="00081D6E" w:rsidP="00BE6EEC">
      <w:pPr>
        <w:pStyle w:val="Heading2"/>
        <w:spacing w:line="240" w:lineRule="auto"/>
        <w:rPr>
          <w:rFonts w:asciiTheme="minorHAnsi" w:hAnsiTheme="minorHAnsi"/>
          <w:lang w:val="fr-CH"/>
        </w:rPr>
      </w:pPr>
      <w:r w:rsidRPr="002C04A0">
        <w:rPr>
          <w:rFonts w:asciiTheme="minorHAnsi" w:hAnsiTheme="minorHAnsi"/>
          <w:lang w:val="fr-CH" w:eastAsia="zh-CN"/>
        </w:rPr>
        <w:t>2.1</w:t>
      </w:r>
      <w:r w:rsidRPr="002C04A0">
        <w:rPr>
          <w:rFonts w:asciiTheme="minorHAnsi" w:hAnsiTheme="minorHAnsi"/>
          <w:lang w:val="fr-CH" w:eastAsia="zh-CN"/>
        </w:rPr>
        <w:tab/>
        <w:t>Elaborer une réglementation internationale relative à l'utilisation du spectre des fréquences radioélectriques et des orbites de satellites et la mettre à jour</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Mise en oeuvre des décisions de la CMR</w:t>
      </w:r>
      <w:r w:rsidRPr="002C04A0">
        <w:rPr>
          <w:rFonts w:asciiTheme="minorHAnsi" w:hAnsiTheme="minorHAnsi"/>
          <w:lang w:val="fr-CH"/>
        </w:rPr>
        <w:noBreakHyphen/>
        <w:t xml:space="preserve">15.  </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Adoption par le RRB des Règles de procédure associées.</w:t>
      </w:r>
    </w:p>
    <w:p w:rsidR="00081D6E" w:rsidRPr="002C04A0" w:rsidRDefault="00081D6E" w:rsidP="00BE6EEC">
      <w:pPr>
        <w:pStyle w:val="Heading2"/>
        <w:spacing w:line="240" w:lineRule="auto"/>
        <w:rPr>
          <w:rFonts w:asciiTheme="minorHAnsi" w:hAnsiTheme="minorHAnsi"/>
          <w:lang w:val="fr-CH" w:eastAsia="zh-CN"/>
        </w:rPr>
      </w:pPr>
      <w:r w:rsidRPr="002C04A0">
        <w:rPr>
          <w:rFonts w:asciiTheme="minorHAnsi" w:hAnsiTheme="minorHAnsi"/>
          <w:lang w:val="fr-CH" w:eastAsia="zh-CN"/>
        </w:rPr>
        <w:t>2.2</w:t>
      </w:r>
      <w:r w:rsidRPr="002C04A0">
        <w:rPr>
          <w:rFonts w:asciiTheme="minorHAnsi" w:hAnsiTheme="minorHAnsi"/>
          <w:lang w:val="fr-CH" w:eastAsia="zh-CN"/>
        </w:rPr>
        <w:tab/>
        <w:t>Mettre en oeuvre et appliquer la réglementation internationale relative à l'utilisation du spectre des fréquences radioélectriques et des orbites de satellites</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Mise en oeuvre des décisions de la CMR-15 lorsqu'elles deviennent applicables, notamment en élaborant et en mettant à la disposition des membres les outils logiciels associés.</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Application correcte et dans les délais prévus des dispositions du Règlement des radiocommunications et des Accords régionaux applicables aux services de Terre et aux services spatiaux, et  mise à jour du Fichier de référence international des fréquences et des Plans et Listes d'assignations et/ou d'allotissements.</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Suivi des cas de brouillage préjudiciable et, plus généralement, des situations conflictuelles concernant le partage des ressources du spectre et des  orbites et règlement de ces cas.</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Publications associées (BR IFIC, publications relatives au service maritime, Nomenclature des stations de contrôle international des émissions).</w:t>
      </w:r>
    </w:p>
    <w:p w:rsidR="00081D6E" w:rsidRPr="002C04A0" w:rsidRDefault="00081D6E" w:rsidP="00BE6EEC">
      <w:pPr>
        <w:pStyle w:val="Heading2"/>
        <w:spacing w:line="240" w:lineRule="auto"/>
        <w:rPr>
          <w:rFonts w:asciiTheme="minorHAnsi" w:hAnsiTheme="minorHAnsi"/>
          <w:lang w:val="fr-CH" w:eastAsia="zh-CN"/>
        </w:rPr>
      </w:pPr>
      <w:r w:rsidRPr="002C04A0">
        <w:rPr>
          <w:rFonts w:asciiTheme="minorHAnsi" w:hAnsiTheme="minorHAnsi"/>
          <w:lang w:val="fr-CH" w:eastAsia="zh-CN"/>
        </w:rPr>
        <w:t>2.3</w:t>
      </w:r>
      <w:r w:rsidRPr="002C04A0">
        <w:rPr>
          <w:rFonts w:asciiTheme="minorHAnsi" w:hAnsiTheme="minorHAnsi"/>
          <w:lang w:val="fr-CH" w:eastAsia="zh-CN"/>
        </w:rPr>
        <w:tab/>
        <w:t>Etablir des Recommandations, des rapports et des manuels de portée mondiale afin d'optimiser l'utilisation du spectre des fréquences radioélectriques et des orbites de satellites et les mettre à jour</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Préparation de l'AR-19 et de la CMR-19 dans le cadre des commissions d'études de l'UIT-R et en étroite collaboration avec les groupes régionaux, y compris l'élaboration de projets de textes techniques, réglementaires et de procédure pour appuyer les activités de la RPC19</w:t>
      </w:r>
      <w:r w:rsidRPr="002C04A0">
        <w:rPr>
          <w:rFonts w:asciiTheme="minorHAnsi" w:hAnsiTheme="minorHAnsi"/>
          <w:lang w:val="fr-CH"/>
        </w:rPr>
        <w:noBreakHyphen/>
        <w:t>2.</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lastRenderedPageBreak/>
        <w:t>•</w:t>
      </w:r>
      <w:r w:rsidRPr="002C04A0">
        <w:rPr>
          <w:rFonts w:asciiTheme="minorHAnsi" w:hAnsiTheme="minorHAnsi"/>
          <w:lang w:val="fr-CH"/>
        </w:rPr>
        <w:tab/>
        <w:t>Elaboration de Recommandations, de rapports et de manuels essentiels, en particulier sur l'interface radioélectrique des IMT-2020, en étroite coopération avec l'UIT</w:t>
      </w:r>
      <w:r w:rsidRPr="002C04A0">
        <w:rPr>
          <w:rFonts w:asciiTheme="minorHAnsi" w:hAnsiTheme="minorHAnsi"/>
          <w:lang w:val="fr-CH"/>
        </w:rPr>
        <w:noBreakHyphen/>
        <w:t>T, les organisations régionales et d'autres organismes de normalisation.</w:t>
      </w:r>
    </w:p>
    <w:p w:rsidR="00081D6E" w:rsidRPr="002C04A0" w:rsidRDefault="00081D6E" w:rsidP="00BE6EEC">
      <w:pPr>
        <w:pStyle w:val="Heading2"/>
        <w:spacing w:line="240" w:lineRule="auto"/>
        <w:rPr>
          <w:rFonts w:asciiTheme="minorHAnsi" w:hAnsiTheme="minorHAnsi"/>
          <w:lang w:val="fr-CH"/>
        </w:rPr>
      </w:pPr>
      <w:r w:rsidRPr="002C04A0">
        <w:rPr>
          <w:rFonts w:asciiTheme="minorHAnsi" w:hAnsiTheme="minorHAnsi"/>
          <w:lang w:val="fr-CH"/>
        </w:rPr>
        <w:t>2.4</w:t>
      </w:r>
      <w:r w:rsidRPr="002C04A0">
        <w:rPr>
          <w:rFonts w:asciiTheme="minorHAnsi" w:hAnsiTheme="minorHAnsi"/>
          <w:lang w:val="fr-CH"/>
        </w:rPr>
        <w:tab/>
        <w:t>Informer les Membres de l'UIT</w:t>
      </w:r>
      <w:r w:rsidRPr="002C04A0">
        <w:rPr>
          <w:rFonts w:asciiTheme="minorHAnsi" w:hAnsiTheme="minorHAnsi"/>
          <w:lang w:val="fr-CH"/>
        </w:rPr>
        <w:noBreakHyphen/>
        <w:t>R sur les questions de radiocommunication et leur apporter une assistance à cet égard</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Publication et promotion des produits de l'UIT</w:t>
      </w:r>
      <w:r w:rsidRPr="002C04A0">
        <w:rPr>
          <w:rFonts w:asciiTheme="minorHAnsi" w:hAnsiTheme="minorHAnsi"/>
          <w:lang w:val="fr-CH"/>
        </w:rPr>
        <w:noBreakHyphen/>
        <w:t>R (par exemple: Règlement des radiocommunications, Recommandations, rapports et manuels).</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En étroite coopération avec les autres Secteurs, les bureaux régionaux de l'UIT, les organisations régionales concernées et les membres:</w:t>
      </w:r>
    </w:p>
    <w:p w:rsidR="00081D6E" w:rsidRPr="002C04A0" w:rsidRDefault="00081D6E" w:rsidP="00BE6EEC">
      <w:pPr>
        <w:pStyle w:val="enumlev2"/>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r>
      <w:r w:rsidRPr="002C04A0">
        <w:rPr>
          <w:rFonts w:asciiTheme="minorHAnsi" w:eastAsia="SimSun" w:hAnsiTheme="minorHAnsi"/>
          <w:lang w:val="fr-CH"/>
        </w:rPr>
        <w:t>Diffusion et partage d'informations, notamment dans le cadre de séminaires, de conférences, d'ateliers et d'autres manifestations de portée mondiale ou régionale dans le domaine des radiocommunications.</w:t>
      </w:r>
    </w:p>
    <w:p w:rsidR="00081D6E" w:rsidRPr="002C04A0" w:rsidRDefault="00081D6E" w:rsidP="00BE6EEC">
      <w:pPr>
        <w:pStyle w:val="enumlev2"/>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Assistance aux membres pour ce qui est de faire face aux difficultés liées au développement de leurs services de radiocommunication, notamment en ce qui concerne le passage à la radiodiffusion télévisuelle numérique et l'attribution des fréquences résultant du dividende numérique.</w:t>
      </w:r>
    </w:p>
    <w:p w:rsidR="00081D6E" w:rsidRPr="002C04A0" w:rsidRDefault="00081D6E" w:rsidP="00BE6EEC">
      <w:pPr>
        <w:pStyle w:val="Heading2"/>
        <w:spacing w:line="240" w:lineRule="auto"/>
        <w:rPr>
          <w:rFonts w:asciiTheme="minorHAnsi" w:hAnsiTheme="minorHAnsi"/>
          <w:lang w:val="fr-CH"/>
        </w:rPr>
      </w:pPr>
      <w:r w:rsidRPr="002C04A0">
        <w:rPr>
          <w:rFonts w:asciiTheme="minorHAnsi" w:hAnsiTheme="minorHAnsi"/>
          <w:lang w:val="fr-CH"/>
        </w:rPr>
        <w:t>2.5</w:t>
      </w:r>
      <w:r w:rsidRPr="002C04A0">
        <w:rPr>
          <w:rFonts w:asciiTheme="minorHAnsi" w:hAnsiTheme="minorHAnsi"/>
          <w:lang w:val="fr-CH"/>
        </w:rPr>
        <w:tab/>
        <w:t>Activités d'appui du Bureau des radiocommunications</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Développement, amélioration et tenue à jour en permanence des outils logiciels du BR, en vue de préserver un haut niveau d'efficacité, de fiabilité, de facilité d'utilisation et de satisfaction des membres.</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Appui logistique et administratif aux commissions d'études de l'UIT-R et participation aux activités connexes des groupes régionaux.</w:t>
      </w: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Assistance aux membres, en étroite collaboration avec les autres Bureaux, les bureaux régionaux de l'UIT et les organisations régionales.</w:t>
      </w:r>
    </w:p>
    <w:p w:rsidR="00081D6E" w:rsidRPr="002C04A0" w:rsidRDefault="00081D6E" w:rsidP="00BE6EEC">
      <w:pPr>
        <w:pStyle w:val="enumlev1"/>
        <w:spacing w:line="240" w:lineRule="auto"/>
        <w:rPr>
          <w:rFonts w:asciiTheme="minorHAnsi" w:hAnsiTheme="minorHAnsi"/>
          <w:lang w:val="fr-CH"/>
        </w:rPr>
      </w:pPr>
    </w:p>
    <w:p w:rsidR="00081D6E" w:rsidRPr="002C04A0" w:rsidRDefault="00081D6E" w:rsidP="00BE6EEC">
      <w:pPr>
        <w:pStyle w:val="enumlev1"/>
        <w:spacing w:line="240" w:lineRule="auto"/>
        <w:rPr>
          <w:rFonts w:asciiTheme="minorHAnsi" w:hAnsiTheme="minorHAnsi"/>
          <w:lang w:val="fr-CH"/>
        </w:rPr>
        <w:sectPr w:rsidR="00081D6E" w:rsidRPr="002C04A0" w:rsidSect="002C04A0">
          <w:headerReference w:type="first" r:id="rId39"/>
          <w:footerReference w:type="first" r:id="rId40"/>
          <w:pgSz w:w="16840" w:h="11907" w:orient="landscape" w:code="9"/>
          <w:pgMar w:top="1134" w:right="1418" w:bottom="1134" w:left="1418" w:header="720" w:footer="720" w:gutter="0"/>
          <w:paperSrc w:first="7" w:other="7"/>
          <w:cols w:space="720"/>
          <w:titlePg/>
          <w:docGrid w:linePitch="326"/>
        </w:sectPr>
      </w:pPr>
    </w:p>
    <w:p w:rsidR="00081D6E" w:rsidRPr="002C04A0" w:rsidRDefault="00081D6E" w:rsidP="00BE6EEC">
      <w:pPr>
        <w:pStyle w:val="Heading1"/>
        <w:spacing w:line="240" w:lineRule="auto"/>
        <w:rPr>
          <w:rFonts w:asciiTheme="minorHAnsi" w:hAnsiTheme="minorHAnsi"/>
          <w:sz w:val="28"/>
          <w:szCs w:val="28"/>
          <w:lang w:val="fr-CH"/>
        </w:rPr>
      </w:pPr>
      <w:r w:rsidRPr="002C04A0">
        <w:rPr>
          <w:rFonts w:asciiTheme="minorHAnsi" w:hAnsiTheme="minorHAnsi"/>
          <w:sz w:val="28"/>
          <w:szCs w:val="28"/>
          <w:lang w:val="fr-CH"/>
        </w:rPr>
        <w:lastRenderedPageBreak/>
        <w:t>3</w:t>
      </w:r>
      <w:r w:rsidRPr="002C04A0">
        <w:rPr>
          <w:rFonts w:asciiTheme="minorHAnsi" w:hAnsiTheme="minorHAnsi"/>
          <w:sz w:val="28"/>
          <w:szCs w:val="28"/>
          <w:lang w:val="fr-CH"/>
        </w:rPr>
        <w:tab/>
        <w:t>Cadre de présentation des résultats de l'UIT</w:t>
      </w:r>
      <w:r w:rsidRPr="002C04A0">
        <w:rPr>
          <w:rFonts w:asciiTheme="minorHAnsi" w:hAnsiTheme="minorHAnsi"/>
          <w:sz w:val="28"/>
          <w:szCs w:val="28"/>
          <w:lang w:val="fr-CH"/>
        </w:rPr>
        <w:noBreakHyphen/>
        <w:t>R pour la période 2017-2020</w:t>
      </w:r>
    </w:p>
    <w:p w:rsidR="00081D6E" w:rsidRPr="002C04A0" w:rsidRDefault="00081D6E" w:rsidP="00BE6EEC">
      <w:pPr>
        <w:pStyle w:val="Heading2"/>
        <w:spacing w:line="240" w:lineRule="auto"/>
        <w:rPr>
          <w:rFonts w:asciiTheme="minorHAnsi" w:hAnsiTheme="minorHAnsi"/>
          <w:lang w:val="fr-CH"/>
        </w:rPr>
      </w:pPr>
      <w:r w:rsidRPr="002C04A0">
        <w:rPr>
          <w:rFonts w:asciiTheme="minorHAnsi" w:hAnsiTheme="minorHAnsi"/>
          <w:lang w:val="fr-CH"/>
        </w:rPr>
        <w:t>3.1</w:t>
      </w:r>
      <w:r w:rsidRPr="002C04A0">
        <w:rPr>
          <w:rFonts w:asciiTheme="minorHAnsi" w:hAnsiTheme="minorHAnsi"/>
          <w:lang w:val="fr-CH"/>
        </w:rPr>
        <w:tab/>
        <w:t>Lien avec les buts stratégiques de l'UIT</w:t>
      </w:r>
      <w:r w:rsidRPr="002C04A0">
        <w:rPr>
          <w:rStyle w:val="FootnoteReference"/>
          <w:rFonts w:asciiTheme="minorHAnsi" w:hAnsiTheme="minorHAnsi"/>
          <w:b w:val="0"/>
          <w:bCs/>
        </w:rPr>
        <w:footnoteReference w:id="4"/>
      </w:r>
    </w:p>
    <w:p w:rsidR="00081D6E" w:rsidRPr="002C04A0" w:rsidRDefault="00081D6E" w:rsidP="00BE6EEC">
      <w:pPr>
        <w:spacing w:line="240" w:lineRule="auto"/>
        <w:rPr>
          <w:rFonts w:asciiTheme="minorHAnsi" w:hAnsiTheme="minorHAnsi"/>
          <w:lang w:val="fr-CH"/>
        </w:rPr>
      </w:pPr>
    </w:p>
    <w:tbl>
      <w:tblPr>
        <w:tblStyle w:val="GridTable4-Accent12"/>
        <w:tblW w:w="14737" w:type="dxa"/>
        <w:tblLayout w:type="fixed"/>
        <w:tblLook w:val="0620" w:firstRow="1" w:lastRow="0" w:firstColumn="0" w:lastColumn="0" w:noHBand="1" w:noVBand="1"/>
      </w:tblPr>
      <w:tblGrid>
        <w:gridCol w:w="7366"/>
        <w:gridCol w:w="1843"/>
        <w:gridCol w:w="1842"/>
        <w:gridCol w:w="1843"/>
        <w:gridCol w:w="1843"/>
      </w:tblGrid>
      <w:tr w:rsidR="00081D6E" w:rsidRPr="002C04A0" w:rsidTr="00081D6E">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081D6E" w:rsidRPr="002C04A0" w:rsidRDefault="00081D6E" w:rsidP="00BE6EEC">
            <w:pPr>
              <w:pStyle w:val="Tablehead"/>
              <w:rPr>
                <w:rFonts w:eastAsia="Calibri" w:cs="Arial"/>
                <w:bCs w:val="0"/>
                <w:szCs w:val="18"/>
              </w:rPr>
            </w:pPr>
            <w:r w:rsidRPr="002C04A0">
              <w:rPr>
                <w:b/>
              </w:rPr>
              <w:t>Objectifs de l'UIT-R</w:t>
            </w:r>
          </w:p>
        </w:tc>
        <w:tc>
          <w:tcPr>
            <w:tcW w:w="1843" w:type="dxa"/>
            <w:vAlign w:val="center"/>
          </w:tcPr>
          <w:p w:rsidR="00081D6E" w:rsidRPr="002C04A0" w:rsidRDefault="00081D6E" w:rsidP="00BE6EEC">
            <w:pPr>
              <w:pStyle w:val="Tablehead"/>
              <w:rPr>
                <w:rFonts w:eastAsia="Calibri" w:cs="Arial"/>
                <w:bCs w:val="0"/>
              </w:rPr>
            </w:pPr>
            <w:r w:rsidRPr="002C04A0">
              <w:rPr>
                <w:b/>
              </w:rPr>
              <w:t xml:space="preserve">But 1: </w:t>
            </w:r>
            <w:r w:rsidRPr="002C04A0">
              <w:rPr>
                <w:b/>
              </w:rPr>
              <w:br/>
              <w:t>Croissance</w:t>
            </w:r>
          </w:p>
        </w:tc>
        <w:tc>
          <w:tcPr>
            <w:tcW w:w="1842" w:type="dxa"/>
            <w:vAlign w:val="center"/>
          </w:tcPr>
          <w:p w:rsidR="00081D6E" w:rsidRPr="002C04A0" w:rsidRDefault="00081D6E" w:rsidP="00BE6EEC">
            <w:pPr>
              <w:pStyle w:val="Tablehead"/>
              <w:rPr>
                <w:rFonts w:eastAsia="Calibri" w:cs="Arial"/>
                <w:bCs w:val="0"/>
              </w:rPr>
            </w:pPr>
            <w:r w:rsidRPr="002C04A0">
              <w:rPr>
                <w:b/>
              </w:rPr>
              <w:t xml:space="preserve">But 2: </w:t>
            </w:r>
            <w:r w:rsidRPr="002C04A0">
              <w:rPr>
                <w:b/>
              </w:rPr>
              <w:br/>
              <w:t>Inclusion</w:t>
            </w:r>
          </w:p>
        </w:tc>
        <w:tc>
          <w:tcPr>
            <w:tcW w:w="1843" w:type="dxa"/>
            <w:vAlign w:val="center"/>
          </w:tcPr>
          <w:p w:rsidR="00081D6E" w:rsidRPr="002C04A0" w:rsidRDefault="00081D6E" w:rsidP="00BE6EEC">
            <w:pPr>
              <w:pStyle w:val="Tablehead"/>
              <w:rPr>
                <w:rFonts w:eastAsia="Calibri" w:cs="Arial"/>
              </w:rPr>
            </w:pPr>
            <w:r w:rsidRPr="002C04A0">
              <w:rPr>
                <w:b/>
              </w:rPr>
              <w:t xml:space="preserve">But 3: </w:t>
            </w:r>
            <w:r w:rsidRPr="002C04A0">
              <w:rPr>
                <w:b/>
              </w:rPr>
              <w:br/>
              <w:t>Durabilité</w:t>
            </w:r>
          </w:p>
        </w:tc>
        <w:tc>
          <w:tcPr>
            <w:tcW w:w="1843" w:type="dxa"/>
            <w:vAlign w:val="center"/>
          </w:tcPr>
          <w:p w:rsidR="00081D6E" w:rsidRPr="002C04A0" w:rsidRDefault="00081D6E" w:rsidP="00BE6EEC">
            <w:pPr>
              <w:pStyle w:val="Tablehead"/>
              <w:rPr>
                <w:rFonts w:eastAsia="Calibri" w:cs="Arial"/>
              </w:rPr>
            </w:pPr>
            <w:r w:rsidRPr="002C04A0">
              <w:rPr>
                <w:b/>
              </w:rPr>
              <w:t xml:space="preserve">But 4: </w:t>
            </w:r>
            <w:r w:rsidRPr="002C04A0">
              <w:rPr>
                <w:b/>
              </w:rPr>
              <w:br/>
              <w:t>Innovation et partenariats</w:t>
            </w:r>
          </w:p>
        </w:tc>
      </w:tr>
      <w:tr w:rsidR="00081D6E" w:rsidRPr="002C04A0" w:rsidTr="00081D6E">
        <w:trPr>
          <w:trHeight w:val="72"/>
        </w:trPr>
        <w:tc>
          <w:tcPr>
            <w:tcW w:w="7366" w:type="dxa"/>
            <w:hideMark/>
          </w:tcPr>
          <w:p w:rsidR="00081D6E" w:rsidRPr="002C04A0" w:rsidRDefault="00081D6E" w:rsidP="00BE6EEC">
            <w:pPr>
              <w:pStyle w:val="Tabletext"/>
              <w:rPr>
                <w:rFonts w:eastAsia="Calibri" w:cs="Arial"/>
                <w:szCs w:val="20"/>
                <w:lang w:val="fr-CH"/>
              </w:rPr>
            </w:pPr>
            <w:r w:rsidRPr="002C04A0">
              <w:rPr>
                <w:rFonts w:eastAsia="Calibri" w:cs="Arial"/>
                <w:b/>
                <w:bCs/>
                <w:color w:val="4F81BD" w:themeColor="accent1"/>
                <w:szCs w:val="20"/>
                <w:lang w:val="fr-CH"/>
              </w:rPr>
              <w:t>R.1</w:t>
            </w:r>
            <w:r w:rsidRPr="002C04A0">
              <w:rPr>
                <w:rFonts w:eastAsia="Calibri" w:cs="Arial"/>
                <w:b/>
                <w:bCs/>
                <w:color w:val="4F81BD" w:themeColor="accent1"/>
                <w:szCs w:val="20"/>
                <w:lang w:val="fr-CH"/>
              </w:rPr>
              <w:tab/>
            </w:r>
            <w:r w:rsidRPr="002C04A0">
              <w:rPr>
                <w:lang w:val="fr-CH"/>
              </w:rPr>
              <w:t>Répondre, de manière rationnelle, équitable, efficace, économique et rapide aux besoins des membres en ce qui concerne les ressources du spectre des fréquences radioélectriques et des orbites des satellites, tout en évitant les brouillages préjudiciables</w:t>
            </w:r>
          </w:p>
        </w:tc>
        <w:tc>
          <w:tcPr>
            <w:tcW w:w="1843" w:type="dxa"/>
            <w:vAlign w:val="center"/>
            <w:hideMark/>
          </w:tcPr>
          <w:p w:rsidR="00081D6E" w:rsidRPr="002C04A0" w:rsidRDefault="00081D6E" w:rsidP="00BE6EEC">
            <w:pPr>
              <w:pStyle w:val="Tabletext"/>
              <w:jc w:val="center"/>
              <w:rPr>
                <w:rFonts w:eastAsia="Calibri" w:cs="Arial"/>
                <w:b/>
                <w:szCs w:val="20"/>
              </w:rPr>
            </w:pPr>
            <w:r w:rsidRPr="002C04A0">
              <w:rPr>
                <w:rFonts w:eastAsia="Calibri" w:cs="Arial"/>
                <w:b/>
                <w:szCs w:val="20"/>
              </w:rPr>
              <w:sym w:font="Wingdings 2" w:char="F052"/>
            </w:r>
          </w:p>
        </w:tc>
        <w:tc>
          <w:tcPr>
            <w:tcW w:w="1842" w:type="dxa"/>
            <w:vAlign w:val="center"/>
            <w:hideMark/>
          </w:tcPr>
          <w:p w:rsidR="00081D6E" w:rsidRPr="002C04A0" w:rsidRDefault="00081D6E" w:rsidP="00BE6EEC">
            <w:pPr>
              <w:pStyle w:val="Tabletext"/>
              <w:jc w:val="center"/>
              <w:rPr>
                <w:rFonts w:eastAsia="Calibri" w:cs="Arial"/>
                <w:szCs w:val="20"/>
              </w:rPr>
            </w:pPr>
            <w:r w:rsidRPr="002C04A0">
              <w:rPr>
                <w:rFonts w:eastAsia="Calibri" w:cs="Arial"/>
                <w:szCs w:val="20"/>
              </w:rPr>
              <w:sym w:font="Wingdings 2" w:char="F050"/>
            </w:r>
          </w:p>
        </w:tc>
        <w:tc>
          <w:tcPr>
            <w:tcW w:w="1843" w:type="dxa"/>
            <w:vAlign w:val="center"/>
            <w:hideMark/>
          </w:tcPr>
          <w:p w:rsidR="00081D6E" w:rsidRPr="002C04A0" w:rsidRDefault="00081D6E" w:rsidP="00BE6EEC">
            <w:pPr>
              <w:pStyle w:val="Tabletext"/>
              <w:jc w:val="center"/>
              <w:rPr>
                <w:rFonts w:eastAsia="Calibri" w:cs="Arial"/>
                <w:szCs w:val="20"/>
              </w:rPr>
            </w:pPr>
            <w:r w:rsidRPr="002C04A0">
              <w:rPr>
                <w:rFonts w:eastAsia="Calibri" w:cs="Arial"/>
                <w:szCs w:val="20"/>
              </w:rPr>
              <w:sym w:font="Wingdings 2" w:char="F050"/>
            </w:r>
          </w:p>
        </w:tc>
        <w:tc>
          <w:tcPr>
            <w:tcW w:w="1843" w:type="dxa"/>
            <w:vAlign w:val="center"/>
            <w:hideMark/>
          </w:tcPr>
          <w:p w:rsidR="00081D6E" w:rsidRPr="002C04A0" w:rsidRDefault="00081D6E" w:rsidP="00BE6EEC">
            <w:pPr>
              <w:pStyle w:val="Tabletext"/>
              <w:jc w:val="center"/>
              <w:rPr>
                <w:rFonts w:eastAsia="Calibri" w:cs="Arial"/>
                <w:szCs w:val="20"/>
              </w:rPr>
            </w:pPr>
            <w:r w:rsidRPr="002C04A0">
              <w:rPr>
                <w:rFonts w:eastAsia="Calibri" w:cs="Arial"/>
                <w:szCs w:val="20"/>
              </w:rPr>
              <w:sym w:font="Wingdings 2" w:char="F050"/>
            </w:r>
          </w:p>
        </w:tc>
      </w:tr>
      <w:tr w:rsidR="00081D6E" w:rsidRPr="002C04A0" w:rsidTr="00081D6E">
        <w:trPr>
          <w:trHeight w:val="72"/>
        </w:trPr>
        <w:tc>
          <w:tcPr>
            <w:tcW w:w="7366" w:type="dxa"/>
            <w:hideMark/>
          </w:tcPr>
          <w:p w:rsidR="00081D6E" w:rsidRPr="002C04A0" w:rsidRDefault="00081D6E" w:rsidP="00BE6EEC">
            <w:pPr>
              <w:pStyle w:val="Tabletext"/>
              <w:rPr>
                <w:rFonts w:eastAsia="Calibri" w:cs="Arial"/>
                <w:szCs w:val="20"/>
                <w:lang w:val="fr-CH"/>
              </w:rPr>
            </w:pPr>
            <w:r w:rsidRPr="002C04A0">
              <w:rPr>
                <w:rFonts w:eastAsia="Calibri" w:cs="Arial"/>
                <w:b/>
                <w:bCs/>
                <w:color w:val="4F81BD" w:themeColor="accent1"/>
                <w:szCs w:val="20"/>
                <w:lang w:val="fr-CH"/>
              </w:rPr>
              <w:t>R.2</w:t>
            </w:r>
            <w:r w:rsidRPr="002C04A0">
              <w:rPr>
                <w:rFonts w:eastAsia="Calibri" w:cs="Arial"/>
                <w:b/>
                <w:bCs/>
                <w:color w:val="4F81BD" w:themeColor="accent1"/>
                <w:szCs w:val="20"/>
                <w:lang w:val="fr-CH"/>
              </w:rPr>
              <w:tab/>
            </w:r>
            <w:r w:rsidRPr="002C04A0">
              <w:rPr>
                <w:lang w:val="fr-CH"/>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1843" w:type="dxa"/>
            <w:vAlign w:val="center"/>
          </w:tcPr>
          <w:p w:rsidR="00081D6E" w:rsidRPr="002C04A0" w:rsidRDefault="00081D6E" w:rsidP="00BE6EEC">
            <w:pPr>
              <w:pStyle w:val="Tabletext"/>
              <w:jc w:val="center"/>
              <w:rPr>
                <w:rFonts w:eastAsia="Calibri" w:cs="Arial"/>
                <w:bCs/>
                <w:szCs w:val="20"/>
              </w:rPr>
            </w:pPr>
            <w:r w:rsidRPr="002C04A0">
              <w:rPr>
                <w:rFonts w:eastAsia="Calibri" w:cs="Arial"/>
                <w:b/>
                <w:szCs w:val="20"/>
              </w:rPr>
              <w:sym w:font="Wingdings 2" w:char="F052"/>
            </w:r>
          </w:p>
        </w:tc>
        <w:tc>
          <w:tcPr>
            <w:tcW w:w="1842" w:type="dxa"/>
            <w:vAlign w:val="center"/>
            <w:hideMark/>
          </w:tcPr>
          <w:p w:rsidR="00081D6E" w:rsidRPr="002C04A0" w:rsidRDefault="00081D6E" w:rsidP="00BE6EEC">
            <w:pPr>
              <w:pStyle w:val="Tabletext"/>
              <w:jc w:val="center"/>
              <w:rPr>
                <w:rFonts w:eastAsia="Calibri" w:cs="Arial"/>
                <w:b/>
                <w:szCs w:val="20"/>
              </w:rPr>
            </w:pPr>
            <w:r w:rsidRPr="002C04A0">
              <w:rPr>
                <w:rFonts w:eastAsia="Calibri" w:cs="Arial"/>
                <w:szCs w:val="20"/>
              </w:rPr>
              <w:sym w:font="Wingdings 2" w:char="F050"/>
            </w:r>
          </w:p>
        </w:tc>
        <w:tc>
          <w:tcPr>
            <w:tcW w:w="1843" w:type="dxa"/>
            <w:vAlign w:val="center"/>
          </w:tcPr>
          <w:p w:rsidR="00081D6E" w:rsidRPr="002C04A0" w:rsidRDefault="00081D6E" w:rsidP="00BE6EEC">
            <w:pPr>
              <w:pStyle w:val="Tabletext"/>
              <w:jc w:val="center"/>
              <w:rPr>
                <w:rFonts w:eastAsia="Calibri" w:cs="Arial"/>
                <w:szCs w:val="20"/>
              </w:rPr>
            </w:pPr>
            <w:r w:rsidRPr="002C04A0">
              <w:rPr>
                <w:rFonts w:eastAsia="Calibri" w:cs="Arial"/>
                <w:szCs w:val="20"/>
              </w:rPr>
              <w:sym w:font="Wingdings 2" w:char="F050"/>
            </w:r>
          </w:p>
        </w:tc>
        <w:tc>
          <w:tcPr>
            <w:tcW w:w="1843" w:type="dxa"/>
            <w:vAlign w:val="center"/>
          </w:tcPr>
          <w:p w:rsidR="00081D6E" w:rsidRPr="002C04A0" w:rsidRDefault="00081D6E" w:rsidP="00BE6EEC">
            <w:pPr>
              <w:pStyle w:val="Tabletext"/>
              <w:jc w:val="center"/>
              <w:rPr>
                <w:rFonts w:eastAsia="Calibri" w:cs="Arial"/>
                <w:szCs w:val="20"/>
              </w:rPr>
            </w:pPr>
            <w:r w:rsidRPr="002C04A0">
              <w:rPr>
                <w:rFonts w:eastAsia="Calibri" w:cs="Arial"/>
                <w:szCs w:val="20"/>
              </w:rPr>
              <w:sym w:font="Wingdings 2" w:char="F050"/>
            </w:r>
          </w:p>
        </w:tc>
      </w:tr>
      <w:tr w:rsidR="00081D6E" w:rsidRPr="002C04A0" w:rsidTr="00081D6E">
        <w:trPr>
          <w:trHeight w:val="231"/>
        </w:trPr>
        <w:tc>
          <w:tcPr>
            <w:tcW w:w="7366" w:type="dxa"/>
            <w:hideMark/>
          </w:tcPr>
          <w:p w:rsidR="00081D6E" w:rsidRPr="002C04A0" w:rsidRDefault="00081D6E" w:rsidP="00BE6EEC">
            <w:pPr>
              <w:pStyle w:val="Tabletext"/>
              <w:rPr>
                <w:rFonts w:eastAsia="Calibri" w:cs="Arial"/>
                <w:szCs w:val="20"/>
                <w:lang w:val="fr-CH"/>
              </w:rPr>
            </w:pPr>
            <w:r w:rsidRPr="002C04A0">
              <w:rPr>
                <w:rFonts w:eastAsia="Calibri" w:cs="Arial"/>
                <w:b/>
                <w:bCs/>
                <w:color w:val="4F81BD" w:themeColor="accent1"/>
                <w:szCs w:val="20"/>
                <w:lang w:val="fr-CH"/>
              </w:rPr>
              <w:t>R.3</w:t>
            </w:r>
            <w:r w:rsidRPr="002C04A0">
              <w:rPr>
                <w:rFonts w:eastAsia="Calibri" w:cs="Arial"/>
                <w:b/>
                <w:bCs/>
                <w:color w:val="4F81BD" w:themeColor="accent1"/>
                <w:szCs w:val="20"/>
                <w:lang w:val="fr-CH"/>
              </w:rPr>
              <w:tab/>
            </w:r>
            <w:r w:rsidRPr="002C04A0">
              <w:rPr>
                <w:lang w:val="fr-CH"/>
              </w:rPr>
              <w:t>Encourager l'acquisition et l'échange de connaissances et de savoir-faire dans le domaine des radiocommunications</w:t>
            </w:r>
          </w:p>
        </w:tc>
        <w:tc>
          <w:tcPr>
            <w:tcW w:w="1843" w:type="dxa"/>
            <w:vAlign w:val="center"/>
            <w:hideMark/>
          </w:tcPr>
          <w:p w:rsidR="00081D6E" w:rsidRPr="002C04A0" w:rsidRDefault="00081D6E" w:rsidP="00BE6EEC">
            <w:pPr>
              <w:pStyle w:val="Tabletext"/>
              <w:jc w:val="center"/>
              <w:rPr>
                <w:rFonts w:eastAsia="Calibri" w:cs="Arial"/>
                <w:b/>
                <w:szCs w:val="20"/>
                <w:lang w:val="fr-CH"/>
              </w:rPr>
            </w:pPr>
          </w:p>
        </w:tc>
        <w:tc>
          <w:tcPr>
            <w:tcW w:w="1842" w:type="dxa"/>
            <w:vAlign w:val="center"/>
            <w:hideMark/>
          </w:tcPr>
          <w:p w:rsidR="00081D6E" w:rsidRPr="002C04A0" w:rsidRDefault="00081D6E" w:rsidP="00BE6EEC">
            <w:pPr>
              <w:pStyle w:val="Tabletext"/>
              <w:jc w:val="center"/>
              <w:rPr>
                <w:rFonts w:eastAsia="Calibri" w:cs="Arial"/>
                <w:szCs w:val="20"/>
              </w:rPr>
            </w:pPr>
            <w:r w:rsidRPr="002C04A0">
              <w:rPr>
                <w:rFonts w:eastAsia="Calibri" w:cs="Arial"/>
                <w:b/>
                <w:szCs w:val="20"/>
              </w:rPr>
              <w:sym w:font="Wingdings 2" w:char="F052"/>
            </w:r>
          </w:p>
        </w:tc>
        <w:tc>
          <w:tcPr>
            <w:tcW w:w="1843" w:type="dxa"/>
            <w:vAlign w:val="center"/>
            <w:hideMark/>
          </w:tcPr>
          <w:p w:rsidR="00081D6E" w:rsidRPr="002C04A0" w:rsidRDefault="00081D6E" w:rsidP="00BE6EEC">
            <w:pPr>
              <w:pStyle w:val="Tabletext"/>
              <w:jc w:val="center"/>
              <w:rPr>
                <w:rFonts w:eastAsia="Calibri" w:cs="Arial"/>
                <w:szCs w:val="20"/>
              </w:rPr>
            </w:pPr>
          </w:p>
        </w:tc>
        <w:tc>
          <w:tcPr>
            <w:tcW w:w="1843" w:type="dxa"/>
            <w:vAlign w:val="center"/>
            <w:hideMark/>
          </w:tcPr>
          <w:p w:rsidR="00081D6E" w:rsidRPr="002C04A0" w:rsidRDefault="00081D6E" w:rsidP="00BE6EEC">
            <w:pPr>
              <w:pStyle w:val="Tabletext"/>
              <w:jc w:val="center"/>
              <w:rPr>
                <w:rFonts w:eastAsia="Calibri" w:cs="Arial"/>
                <w:szCs w:val="20"/>
              </w:rPr>
            </w:pPr>
          </w:p>
        </w:tc>
      </w:tr>
    </w:tbl>
    <w:p w:rsidR="00081D6E" w:rsidRPr="002C04A0" w:rsidRDefault="00081D6E" w:rsidP="00BE6EEC">
      <w:pPr>
        <w:pStyle w:val="enumlev1"/>
        <w:spacing w:line="240" w:lineRule="auto"/>
        <w:rPr>
          <w:rFonts w:asciiTheme="minorHAnsi" w:hAnsiTheme="minorHAnsi"/>
        </w:rPr>
      </w:pPr>
      <w:r w:rsidRPr="002C04A0">
        <w:rPr>
          <w:rFonts w:asciiTheme="minorHAnsi" w:hAnsiTheme="minorHAnsi"/>
        </w:rPr>
        <w:br w:type="page"/>
      </w:r>
    </w:p>
    <w:p w:rsidR="00081D6E" w:rsidRPr="002C04A0" w:rsidRDefault="00081D6E" w:rsidP="00BE6EEC">
      <w:pPr>
        <w:pStyle w:val="Heading2"/>
        <w:spacing w:line="240" w:lineRule="auto"/>
        <w:rPr>
          <w:rFonts w:asciiTheme="minorHAnsi" w:hAnsiTheme="minorHAnsi"/>
          <w:lang w:val="fr-CH"/>
        </w:rPr>
      </w:pPr>
      <w:r w:rsidRPr="002C04A0">
        <w:rPr>
          <w:rFonts w:asciiTheme="minorHAnsi" w:hAnsiTheme="minorHAnsi"/>
          <w:lang w:val="fr-CH"/>
        </w:rPr>
        <w:lastRenderedPageBreak/>
        <w:t>3.2</w:t>
      </w:r>
      <w:r w:rsidRPr="002C04A0">
        <w:rPr>
          <w:rFonts w:asciiTheme="minorHAnsi" w:hAnsiTheme="minorHAnsi"/>
          <w:lang w:val="fr-CH"/>
        </w:rPr>
        <w:tab/>
        <w:t>Objectifs, résultats et produits de l'UIT-R</w:t>
      </w:r>
    </w:p>
    <w:p w:rsidR="00081D6E" w:rsidRPr="002C04A0" w:rsidRDefault="00081D6E" w:rsidP="00BE6EEC">
      <w:pPr>
        <w:pStyle w:val="enumlev1"/>
        <w:spacing w:line="240" w:lineRule="auto"/>
        <w:rPr>
          <w:rFonts w:asciiTheme="minorHAnsi" w:hAnsiTheme="minorHAnsi"/>
          <w:lang w:val="fr-CH"/>
        </w:rPr>
      </w:pPr>
    </w:p>
    <w:tbl>
      <w:tblPr>
        <w:tblStyle w:val="GridTable4-Accent112"/>
        <w:tblW w:w="14737" w:type="dxa"/>
        <w:tblLayout w:type="fixed"/>
        <w:tblLook w:val="06A0" w:firstRow="1" w:lastRow="0" w:firstColumn="1" w:lastColumn="0" w:noHBand="1" w:noVBand="1"/>
      </w:tblPr>
      <w:tblGrid>
        <w:gridCol w:w="421"/>
        <w:gridCol w:w="5299"/>
        <w:gridCol w:w="5418"/>
        <w:gridCol w:w="3599"/>
      </w:tblGrid>
      <w:tr w:rsidR="00081D6E" w:rsidRPr="002C04A0" w:rsidTr="00081D6E">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81D6E" w:rsidRPr="002C04A0" w:rsidRDefault="00081D6E" w:rsidP="00BE6EEC">
            <w:pPr>
              <w:pStyle w:val="Tablehead"/>
              <w:rPr>
                <w:rFonts w:asciiTheme="minorHAnsi" w:hAnsiTheme="minorHAnsi"/>
                <w:color w:val="4F81BD" w:themeColor="accent1"/>
              </w:rPr>
            </w:pPr>
            <w:r w:rsidRPr="002C04A0">
              <w:rPr>
                <w:rFonts w:asciiTheme="minorHAnsi" w:hAnsiTheme="minorHAnsi"/>
              </w:rPr>
              <w:t>Objectifs</w:t>
            </w:r>
          </w:p>
        </w:tc>
        <w:tc>
          <w:tcPr>
            <w:tcW w:w="5299" w:type="dxa"/>
          </w:tcPr>
          <w:p w:rsidR="00081D6E" w:rsidRPr="002C04A0" w:rsidRDefault="00081D6E" w:rsidP="00BE6EEC">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lang w:val="fr-CH"/>
              </w:rPr>
            </w:pPr>
            <w:r w:rsidRPr="002C04A0">
              <w:rPr>
                <w:rFonts w:asciiTheme="minorHAnsi" w:hAnsiTheme="minorHAnsi"/>
                <w:lang w:val="fr-CH"/>
              </w:rPr>
              <w:t>R.1</w:t>
            </w:r>
            <w:r w:rsidRPr="002C04A0">
              <w:rPr>
                <w:rFonts w:asciiTheme="minorHAnsi" w:hAnsiTheme="minorHAnsi"/>
                <w:lang w:val="fr-CH"/>
              </w:rPr>
              <w:tab/>
            </w:r>
            <w:r w:rsidRPr="002C04A0">
              <w:rPr>
                <w:rFonts w:asciiTheme="minorHAnsi" w:hAnsiTheme="minorHAnsi"/>
                <w:b/>
                <w:lang w:val="fr-CH"/>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5418" w:type="dxa"/>
          </w:tcPr>
          <w:p w:rsidR="00081D6E" w:rsidRPr="002C04A0" w:rsidRDefault="00081D6E" w:rsidP="00BE6EEC">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fr-CH"/>
              </w:rPr>
            </w:pPr>
            <w:r w:rsidRPr="002C04A0">
              <w:rPr>
                <w:rFonts w:asciiTheme="minorHAnsi" w:hAnsiTheme="minorHAnsi"/>
                <w:lang w:val="fr-CH"/>
              </w:rPr>
              <w:t>R.2</w:t>
            </w:r>
            <w:r w:rsidRPr="002C04A0">
              <w:rPr>
                <w:rFonts w:asciiTheme="minorHAnsi" w:hAnsiTheme="minorHAnsi"/>
                <w:lang w:val="fr-CH"/>
              </w:rPr>
              <w:tab/>
            </w:r>
            <w:r w:rsidRPr="002C04A0">
              <w:rPr>
                <w:rFonts w:asciiTheme="minorHAnsi" w:hAnsiTheme="minorHAnsi"/>
                <w:b/>
                <w:lang w:val="fr-CH"/>
              </w:rPr>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3599" w:type="dxa"/>
          </w:tcPr>
          <w:p w:rsidR="00081D6E" w:rsidRPr="002C04A0" w:rsidRDefault="00081D6E" w:rsidP="00BE6EEC">
            <w:pPr>
              <w:pStyle w:val="Tablehead"/>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bCs w:val="0"/>
                <w:lang w:val="fr-CH"/>
              </w:rPr>
            </w:pPr>
            <w:r w:rsidRPr="002C04A0">
              <w:rPr>
                <w:rFonts w:asciiTheme="minorHAnsi" w:hAnsiTheme="minorHAnsi"/>
                <w:lang w:val="fr-CH"/>
              </w:rPr>
              <w:t>R.3</w:t>
            </w:r>
            <w:r w:rsidRPr="002C04A0">
              <w:rPr>
                <w:rFonts w:asciiTheme="minorHAnsi" w:hAnsiTheme="minorHAnsi"/>
                <w:lang w:val="fr-CH"/>
              </w:rPr>
              <w:tab/>
            </w:r>
            <w:r w:rsidRPr="002C04A0">
              <w:rPr>
                <w:rFonts w:asciiTheme="minorHAnsi" w:hAnsiTheme="minorHAnsi"/>
                <w:b/>
                <w:lang w:val="fr-CH"/>
              </w:rPr>
              <w:t>Encourager l'acquisition et l'échange de connaissances et de savoir</w:t>
            </w:r>
            <w:r w:rsidRPr="002C04A0">
              <w:rPr>
                <w:rFonts w:asciiTheme="minorHAnsi" w:hAnsiTheme="minorHAnsi"/>
                <w:b/>
                <w:lang w:val="fr-CH"/>
              </w:rPr>
              <w:noBreakHyphen/>
              <w:t>faire dans le domaine des radiocommunications</w:t>
            </w:r>
          </w:p>
        </w:tc>
      </w:tr>
      <w:tr w:rsidR="00081D6E" w:rsidRPr="002C04A0" w:rsidTr="00081D6E">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81D6E" w:rsidRPr="002C04A0" w:rsidRDefault="00081D6E" w:rsidP="00BE6EEC">
            <w:pPr>
              <w:pStyle w:val="Tabletext"/>
              <w:jc w:val="center"/>
              <w:rPr>
                <w:rFonts w:asciiTheme="minorHAnsi" w:hAnsiTheme="minorHAnsi"/>
              </w:rPr>
            </w:pPr>
            <w:r w:rsidRPr="002C04A0">
              <w:rPr>
                <w:rFonts w:asciiTheme="minorHAnsi" w:hAnsiTheme="minorHAnsi"/>
              </w:rPr>
              <w:t>Résultats</w:t>
            </w:r>
          </w:p>
        </w:tc>
        <w:tc>
          <w:tcPr>
            <w:tcW w:w="5299" w:type="dxa"/>
          </w:tcPr>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R.1-1: Nombre accru de pays ayant des réseaux à satellite et des stations terriennes inscrits dans le Fichier de référence international des fréquences (Fichier de référence)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R.1-2: Nombre accru de pays pour lesquels des assignations de fréquence à des services de Terre sont inscrites dans le Fichier de référence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R.1-3: Pourcentage accru d'assignations inscrites dans le Fichier de référence avec une conclusion favorable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R.1-4: Pourcentage accru de pays ayant mené à bien le passage à la télévision numérique de Terre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R.1-5: Pourcentage accru de fréquences assignées à des réseaux à satellite et exemptes de brouillage préjudiciable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R.1-6: Pourcentage accru d'assignations à des services de Terre inscrites dans le Fichier de référence et exemptes de brouillage préjudiciable</w:t>
            </w:r>
          </w:p>
        </w:tc>
        <w:tc>
          <w:tcPr>
            <w:tcW w:w="5418" w:type="dxa"/>
          </w:tcPr>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R.2-1: Accès accru au large bande mobile, y compris dans les bandes de fréquences identifiées pour les Télécommunications mobiles internationales (IMT)</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R.2-2: Diminution du panier des prix du large bande mobile</w:t>
            </w:r>
            <w:r w:rsidRPr="002C04A0">
              <w:rPr>
                <w:rFonts w:asciiTheme="minorHAnsi" w:hAnsiTheme="minorHAnsi"/>
                <w:sz w:val="16"/>
                <w:szCs w:val="16"/>
                <w:lang w:val="fr-CH"/>
              </w:rPr>
              <w:t xml:space="preserve"> </w:t>
            </w:r>
            <w:r w:rsidRPr="002C04A0">
              <w:rPr>
                <w:rFonts w:asciiTheme="minorHAnsi" w:hAnsiTheme="minorHAnsi"/>
                <w:lang w:val="fr-CH"/>
              </w:rPr>
              <w:t>en pourcentage du revenu national brut (RNB) par habitant</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R.2-3: Nombre accru de liaisons fixes et volume accru de trafic acheminé par le service fixe (Tbit/s)</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R.2-4: Nombre de ménages recevant la télévision numérique de Terre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R.2-5: Nombre de répéteurs de satellite (équivalent 36 MHz) en service et capacité correspondante (Tbit/s); nombre de microstations, nombre de ménages recevant la télévision par satellite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R.2-6: Nombre accru de dispositifs pouvant recevoir les signaux du service de radionavigation par satellite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R.2-7: Nombre de satellites d'exploration de la Terre par satellite en service, quantité et résolution correspondantes des images transmises et volume de données téléchargées (Toctets)</w:t>
            </w:r>
          </w:p>
        </w:tc>
        <w:tc>
          <w:tcPr>
            <w:tcW w:w="3599" w:type="dxa"/>
          </w:tcPr>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R.3-1: Renforcement des connaissances et du savoir-faire en ce qui concerne le Règlement des radiocommunications, les Règles de procédure, les accords régionaux, les recommandations et les bonnes pratiques en matière d'utilisation du spectre</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R.3-2: Renforcement de la participation, en particulier des pays en développement, aux activités de l'UIT-R (y compris par la participation à distance)</w:t>
            </w:r>
          </w:p>
        </w:tc>
      </w:tr>
      <w:tr w:rsidR="00081D6E" w:rsidRPr="002C04A0" w:rsidTr="00081D6E">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081D6E" w:rsidRPr="002C04A0" w:rsidRDefault="00081D6E" w:rsidP="00BE6EEC">
            <w:pPr>
              <w:pStyle w:val="Tabletext"/>
              <w:jc w:val="center"/>
              <w:rPr>
                <w:rFonts w:asciiTheme="minorHAnsi" w:hAnsiTheme="minorHAnsi"/>
              </w:rPr>
            </w:pPr>
            <w:r w:rsidRPr="002C04A0">
              <w:rPr>
                <w:rFonts w:asciiTheme="minorHAnsi" w:hAnsiTheme="minorHAnsi"/>
              </w:rPr>
              <w:lastRenderedPageBreak/>
              <w:t>Produits</w:t>
            </w:r>
          </w:p>
        </w:tc>
        <w:tc>
          <w:tcPr>
            <w:tcW w:w="5299" w:type="dxa"/>
          </w:tcPr>
          <w:p w:rsidR="00081D6E" w:rsidRPr="002C04A0" w:rsidRDefault="00081D6E" w:rsidP="00BE6EEC">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Actes finals des conférences mondiales des radiocommunications, mise à jour du Règlement des radiocommunications</w:t>
            </w:r>
          </w:p>
          <w:p w:rsidR="00081D6E" w:rsidRPr="002C04A0" w:rsidRDefault="00081D6E" w:rsidP="00BE6EEC">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Actes finals des conférences régionales des radiocommunications, accords régionaux</w:t>
            </w:r>
          </w:p>
          <w:p w:rsidR="00081D6E" w:rsidRPr="002C04A0" w:rsidRDefault="00081D6E" w:rsidP="00BE6EEC">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Règles de procédure adoptées par le Comité du Règlement des radiocommunications (RRB)</w:t>
            </w:r>
          </w:p>
          <w:p w:rsidR="00081D6E" w:rsidRPr="002C04A0" w:rsidRDefault="00081D6E" w:rsidP="00BE6EEC">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Résultats du traitement des fiches de notification (services spatiaux) et des autres activités connexes</w:t>
            </w:r>
          </w:p>
          <w:p w:rsidR="00081D6E" w:rsidRPr="002C04A0" w:rsidRDefault="00081D6E" w:rsidP="00BE6EEC">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Résultats du traitement des fiches de notification (services de Terre) et des autres activités connexes</w:t>
            </w:r>
          </w:p>
          <w:p w:rsidR="00081D6E" w:rsidRPr="002C04A0" w:rsidRDefault="00081D6E" w:rsidP="00BE6EEC">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Décisions du RRB autres que celles correspondant à l'adoption de Règles de procédure</w:t>
            </w:r>
          </w:p>
          <w:p w:rsidR="00081D6E" w:rsidRPr="002C04A0" w:rsidRDefault="00081D6E" w:rsidP="00BE6EEC">
            <w:pPr>
              <w:pStyle w:val="Tabletext"/>
              <w:tabs>
                <w:tab w:val="clear" w:pos="284"/>
                <w:tab w:val="clear" w:pos="567"/>
                <w:tab w:val="clear" w:pos="851"/>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Amélioration des logiciels de l'UIT-R</w:t>
            </w:r>
          </w:p>
        </w:tc>
        <w:tc>
          <w:tcPr>
            <w:tcW w:w="5418" w:type="dxa"/>
          </w:tcPr>
          <w:p w:rsidR="00081D6E" w:rsidRPr="002C04A0" w:rsidRDefault="00081D6E" w:rsidP="00BE6EEC">
            <w:pPr>
              <w:pStyle w:val="Tabletext"/>
              <w:tabs>
                <w:tab w:val="clear" w:pos="284"/>
                <w:tab w:val="clear" w:pos="567"/>
                <w:tab w:val="clear" w:pos="851"/>
              </w:tabs>
              <w:ind w:left="263" w:hanging="263"/>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Décisions de l'Assemblée des radiocommunications, résolutions de l'UIT-R</w:t>
            </w:r>
          </w:p>
          <w:p w:rsidR="00081D6E" w:rsidRPr="002C04A0" w:rsidRDefault="00081D6E" w:rsidP="00BE6EEC">
            <w:pPr>
              <w:pStyle w:val="Tabletext"/>
              <w:tabs>
                <w:tab w:val="clear" w:pos="284"/>
                <w:tab w:val="clear" w:pos="567"/>
                <w:tab w:val="clear" w:pos="851"/>
              </w:tabs>
              <w:ind w:left="263" w:hanging="263"/>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Recommandations, rapports (y compris le rapport de la RPC) et manuels de l'UIT-R</w:t>
            </w:r>
          </w:p>
          <w:p w:rsidR="00081D6E" w:rsidRPr="002C04A0" w:rsidRDefault="00081D6E" w:rsidP="00BE6EEC">
            <w:pPr>
              <w:pStyle w:val="Tabletext"/>
              <w:tabs>
                <w:tab w:val="clear" w:pos="284"/>
                <w:tab w:val="clear" w:pos="567"/>
                <w:tab w:val="clear" w:pos="851"/>
              </w:tabs>
              <w:ind w:left="263" w:hanging="263"/>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Avis formulés par le Groupe consultatif des radiocommunications</w:t>
            </w:r>
          </w:p>
        </w:tc>
        <w:tc>
          <w:tcPr>
            <w:tcW w:w="3599" w:type="dxa"/>
          </w:tcPr>
          <w:p w:rsidR="00081D6E" w:rsidRPr="002C04A0" w:rsidRDefault="00081D6E" w:rsidP="00BE6EEC">
            <w:pPr>
              <w:pStyle w:val="Tabletext"/>
              <w:tabs>
                <w:tab w:val="clear" w:pos="284"/>
                <w:tab w:val="clear" w:pos="567"/>
                <w:tab w:val="clear" w:pos="851"/>
              </w:tabs>
              <w:ind w:left="373" w:hanging="373"/>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Publications UIT-R</w:t>
            </w:r>
          </w:p>
          <w:p w:rsidR="00081D6E" w:rsidRPr="002C04A0" w:rsidRDefault="00081D6E" w:rsidP="00BE6EEC">
            <w:pPr>
              <w:pStyle w:val="Tabletext"/>
              <w:tabs>
                <w:tab w:val="clear" w:pos="284"/>
                <w:tab w:val="clear" w:pos="567"/>
                <w:tab w:val="clear" w:pos="851"/>
              </w:tabs>
              <w:ind w:left="373" w:hanging="373"/>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Assistance aux membres, en particulier ceux des pays en développement et des PMA</w:t>
            </w:r>
          </w:p>
          <w:p w:rsidR="00081D6E" w:rsidRPr="002C04A0" w:rsidRDefault="00081D6E" w:rsidP="00BE6EEC">
            <w:pPr>
              <w:pStyle w:val="Tabletext"/>
              <w:tabs>
                <w:tab w:val="clear" w:pos="284"/>
                <w:tab w:val="clear" w:pos="567"/>
                <w:tab w:val="clear" w:pos="851"/>
              </w:tabs>
              <w:ind w:left="373" w:hanging="373"/>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Liaison/appui concernant les activités de développement</w:t>
            </w:r>
          </w:p>
          <w:p w:rsidR="00081D6E" w:rsidRPr="002C04A0" w:rsidRDefault="00081D6E" w:rsidP="00BE6EEC">
            <w:pPr>
              <w:pStyle w:val="Tabletext"/>
              <w:tabs>
                <w:tab w:val="clear" w:pos="284"/>
                <w:tab w:val="clear" w:pos="567"/>
                <w:tab w:val="clear" w:pos="851"/>
              </w:tabs>
              <w:ind w:left="373" w:hanging="373"/>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2C04A0">
              <w:rPr>
                <w:rFonts w:asciiTheme="minorHAnsi" w:hAnsiTheme="minorHAnsi"/>
              </w:rPr>
              <w:t>–</w:t>
            </w:r>
            <w:r w:rsidRPr="002C04A0">
              <w:rPr>
                <w:rFonts w:asciiTheme="minorHAnsi" w:hAnsiTheme="minorHAnsi"/>
              </w:rPr>
              <w:tab/>
              <w:t>Séminaires, ateliers et autres</w:t>
            </w:r>
          </w:p>
        </w:tc>
      </w:tr>
      <w:tr w:rsidR="00081D6E" w:rsidRPr="002C04A0" w:rsidTr="00081D6E">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081D6E" w:rsidRPr="002C04A0" w:rsidRDefault="00081D6E" w:rsidP="00BE6EEC">
            <w:pPr>
              <w:pStyle w:val="Tabletext"/>
              <w:rPr>
                <w:rFonts w:asciiTheme="minorHAnsi" w:hAnsiTheme="minorHAnsi"/>
              </w:rPr>
            </w:pPr>
          </w:p>
        </w:tc>
        <w:tc>
          <w:tcPr>
            <w:tcW w:w="14316" w:type="dxa"/>
            <w:gridSpan w:val="3"/>
          </w:tcPr>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Les produits ci-après résultant des activités des organes directeurs de l'UIT contribuent à la réalisation de tous les objectifs de l'Union:</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Décisions, résolutions, recommandations et autres résultats des travaux de la Conférence de plénipotentiaires</w:t>
            </w:r>
          </w:p>
          <w:p w:rsidR="00081D6E" w:rsidRPr="002C04A0" w:rsidRDefault="00081D6E" w:rsidP="00BE6EE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lang w:val="fr-CH"/>
              </w:rPr>
            </w:pPr>
            <w:r w:rsidRPr="002C04A0">
              <w:rPr>
                <w:rFonts w:asciiTheme="minorHAnsi" w:hAnsiTheme="minorHAnsi"/>
                <w:lang w:val="fr-CH"/>
              </w:rPr>
              <w:t>–</w:t>
            </w:r>
            <w:r w:rsidRPr="002C04A0">
              <w:rPr>
                <w:rFonts w:asciiTheme="minorHAnsi" w:hAnsiTheme="minorHAnsi"/>
                <w:lang w:val="fr-CH"/>
              </w:rPr>
              <w:tab/>
              <w:t>Décisions et résolutions du Conseil et résultats des travaux des groupes de travail du Conseil</w:t>
            </w:r>
          </w:p>
        </w:tc>
      </w:tr>
    </w:tbl>
    <w:p w:rsidR="00081D6E" w:rsidRPr="002C04A0" w:rsidRDefault="00081D6E" w:rsidP="00BE6EEC">
      <w:pPr>
        <w:pStyle w:val="enumlev1"/>
        <w:spacing w:line="240" w:lineRule="auto"/>
        <w:rPr>
          <w:rFonts w:asciiTheme="minorHAnsi" w:hAnsiTheme="minorHAnsi"/>
          <w:lang w:val="fr-CH"/>
        </w:rPr>
      </w:pPr>
    </w:p>
    <w:p w:rsidR="00081D6E" w:rsidRPr="002C04A0" w:rsidRDefault="00081D6E" w:rsidP="00BE6EEC">
      <w:pPr>
        <w:pStyle w:val="enumlev1"/>
        <w:spacing w:line="240" w:lineRule="auto"/>
        <w:rPr>
          <w:rFonts w:asciiTheme="minorHAnsi" w:hAnsiTheme="minorHAnsi"/>
          <w:lang w:val="fr-CH"/>
        </w:rPr>
      </w:pPr>
      <w:r w:rsidRPr="002C04A0">
        <w:rPr>
          <w:rFonts w:asciiTheme="minorHAnsi" w:hAnsiTheme="minorHAnsi"/>
          <w:lang w:val="fr-CH"/>
        </w:rPr>
        <w:br w:type="page"/>
      </w:r>
    </w:p>
    <w:p w:rsidR="00081D6E" w:rsidRPr="002C04A0" w:rsidRDefault="00081D6E" w:rsidP="00BE6EEC">
      <w:pPr>
        <w:pStyle w:val="Heading2"/>
        <w:spacing w:line="240" w:lineRule="auto"/>
        <w:rPr>
          <w:rFonts w:asciiTheme="minorHAnsi" w:hAnsiTheme="minorHAnsi"/>
          <w:lang w:val="fr-CH"/>
        </w:rPr>
      </w:pPr>
      <w:r w:rsidRPr="002C04A0">
        <w:rPr>
          <w:rFonts w:asciiTheme="minorHAnsi" w:hAnsiTheme="minorHAnsi"/>
          <w:lang w:val="fr-CH"/>
        </w:rPr>
        <w:lastRenderedPageBreak/>
        <w:t>3.3</w:t>
      </w:r>
      <w:r w:rsidRPr="002C04A0">
        <w:rPr>
          <w:rFonts w:asciiTheme="minorHAnsi" w:hAnsiTheme="minorHAnsi"/>
          <w:lang w:val="fr-CH"/>
        </w:rPr>
        <w:tab/>
        <w:t>Ventilation des ressources entre les objectifs et les produits de l'UIT</w:t>
      </w:r>
      <w:r w:rsidRPr="002C04A0">
        <w:rPr>
          <w:rFonts w:asciiTheme="minorHAnsi" w:hAnsiTheme="minorHAnsi"/>
          <w:lang w:val="fr-CH"/>
        </w:rPr>
        <w:noBreakHyphen/>
        <w:t>R pour la période 2017-2020</w:t>
      </w:r>
    </w:p>
    <w:p w:rsidR="00081D6E" w:rsidRPr="002C04A0" w:rsidRDefault="00081D6E" w:rsidP="00BE6EEC">
      <w:pPr>
        <w:spacing w:line="240" w:lineRule="auto"/>
        <w:rPr>
          <w:rFonts w:asciiTheme="minorHAnsi" w:hAnsiTheme="minorHAnsi"/>
          <w:lang w:val="fr-CH"/>
        </w:rPr>
      </w:pPr>
    </w:p>
    <w:tbl>
      <w:tblPr>
        <w:tblW w:w="14502" w:type="dxa"/>
        <w:tblLayout w:type="fixed"/>
        <w:tblLook w:val="04A0" w:firstRow="1" w:lastRow="0" w:firstColumn="1" w:lastColumn="0" w:noHBand="0" w:noVBand="1"/>
      </w:tblPr>
      <w:tblGrid>
        <w:gridCol w:w="7230"/>
        <w:gridCol w:w="5386"/>
        <w:gridCol w:w="906"/>
        <w:gridCol w:w="980"/>
      </w:tblGrid>
      <w:tr w:rsidR="00081D6E" w:rsidRPr="002C04A0" w:rsidTr="00081D6E">
        <w:tc>
          <w:tcPr>
            <w:tcW w:w="7230" w:type="dxa"/>
            <w:vMerge w:val="restart"/>
          </w:tcPr>
          <w:p w:rsidR="00081D6E" w:rsidRPr="002C04A0" w:rsidRDefault="00081D6E" w:rsidP="00BE6EEC">
            <w:pPr>
              <w:pStyle w:val="Tabletext"/>
              <w:rPr>
                <w:rFonts w:asciiTheme="minorHAnsi" w:eastAsiaTheme="minorHAnsi" w:hAnsiTheme="minorHAnsi" w:cstheme="minorBidi"/>
                <w:color w:val="4F81BD" w:themeColor="accent1"/>
                <w:lang w:val="ru-RU" w:eastAsia="zh-CN"/>
              </w:rPr>
            </w:pPr>
            <w:r w:rsidRPr="002C04A0">
              <w:rPr>
                <w:rFonts w:asciiTheme="minorHAnsi" w:hAnsiTheme="minorHAnsi"/>
                <w:noProof/>
                <w:sz w:val="18"/>
                <w:szCs w:val="18"/>
                <w:lang w:eastAsia="zh-CN"/>
              </w:rPr>
              <w:drawing>
                <wp:inline distT="0" distB="0" distL="0" distR="0" wp14:anchorId="1A9FD20D" wp14:editId="0049FA8B">
                  <wp:extent cx="4572000" cy="267027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c>
          <w:tcPr>
            <w:tcW w:w="7272" w:type="dxa"/>
            <w:gridSpan w:val="3"/>
            <w:tcBorders>
              <w:bottom w:val="single" w:sz="4" w:space="0" w:color="auto"/>
            </w:tcBorders>
          </w:tcPr>
          <w:p w:rsidR="00081D6E" w:rsidRPr="002C04A0" w:rsidRDefault="00081D6E" w:rsidP="00BE6EEC">
            <w:pPr>
              <w:pStyle w:val="Tablehead"/>
              <w:jc w:val="left"/>
              <w:rPr>
                <w:rFonts w:asciiTheme="minorHAnsi" w:eastAsiaTheme="minorHAnsi" w:hAnsiTheme="minorHAnsi" w:cstheme="minorBidi"/>
                <w:color w:val="4F81BD" w:themeColor="accent1"/>
                <w:lang w:val="fr-CH" w:eastAsia="zh-CN"/>
              </w:rPr>
            </w:pPr>
            <w:r w:rsidRPr="002C04A0">
              <w:rPr>
                <w:rFonts w:asciiTheme="minorHAnsi" w:hAnsiTheme="minorHAnsi"/>
                <w:noProof/>
                <w:color w:val="0070C0"/>
                <w:lang w:val="fr-CH" w:eastAsia="zh-CN"/>
              </w:rPr>
              <w:t>Ventilation prévisionnelle des ressources par produit</w:t>
            </w:r>
          </w:p>
        </w:tc>
      </w:tr>
      <w:tr w:rsidR="00081D6E" w:rsidRPr="002C04A0" w:rsidTr="00081D6E">
        <w:tc>
          <w:tcPr>
            <w:tcW w:w="7230" w:type="dxa"/>
            <w:vMerge/>
          </w:tcPr>
          <w:p w:rsidR="00081D6E" w:rsidRPr="002C04A0" w:rsidRDefault="00081D6E" w:rsidP="00BE6EEC">
            <w:pPr>
              <w:pStyle w:val="Tabletext"/>
              <w:rPr>
                <w:rFonts w:asciiTheme="minorHAnsi" w:hAnsiTheme="minorHAnsi" w:cs="Times New Roman Bold"/>
                <w:b/>
                <w:bCs/>
                <w:color w:val="0070C0"/>
                <w:sz w:val="18"/>
                <w:szCs w:val="18"/>
                <w:lang w:val="fr-CH"/>
              </w:rPr>
            </w:pPr>
          </w:p>
        </w:tc>
        <w:tc>
          <w:tcPr>
            <w:tcW w:w="5386" w:type="dxa"/>
            <w:tcBorders>
              <w:top w:val="single" w:sz="4" w:space="0" w:color="auto"/>
              <w:bottom w:val="single" w:sz="4" w:space="0" w:color="auto"/>
            </w:tcBorders>
          </w:tcPr>
          <w:p w:rsidR="00081D6E" w:rsidRPr="002C04A0" w:rsidRDefault="00081D6E" w:rsidP="00BE6EEC">
            <w:pPr>
              <w:spacing w:before="20" w:after="20" w:line="240" w:lineRule="auto"/>
              <w:jc w:val="center"/>
              <w:rPr>
                <w:rFonts w:asciiTheme="minorHAnsi" w:hAnsiTheme="minorHAnsi" w:cs="Times New Roman Bold"/>
                <w:b/>
                <w:bCs/>
                <w:color w:val="0070C0"/>
                <w:sz w:val="18"/>
                <w:szCs w:val="18"/>
                <w:lang w:val="fr-CH"/>
              </w:rPr>
            </w:pPr>
          </w:p>
        </w:tc>
        <w:tc>
          <w:tcPr>
            <w:tcW w:w="906" w:type="dxa"/>
            <w:tcBorders>
              <w:top w:val="single" w:sz="4" w:space="0" w:color="auto"/>
              <w:bottom w:val="single" w:sz="4" w:space="0" w:color="auto"/>
            </w:tcBorders>
          </w:tcPr>
          <w:p w:rsidR="00081D6E" w:rsidRPr="002C04A0" w:rsidRDefault="00081D6E" w:rsidP="00BE6EEC">
            <w:pPr>
              <w:spacing w:before="20" w:after="20" w:line="240" w:lineRule="auto"/>
              <w:ind w:left="-57" w:right="-57"/>
              <w:jc w:val="center"/>
              <w:rPr>
                <w:rFonts w:asciiTheme="minorHAnsi" w:hAnsiTheme="minorHAnsi" w:cs="Times New Roman Bold"/>
                <w:b/>
                <w:bCs/>
                <w:color w:val="0070C0"/>
                <w:sz w:val="18"/>
                <w:szCs w:val="18"/>
                <w:lang w:val="ru-RU"/>
              </w:rPr>
            </w:pPr>
            <w:r w:rsidRPr="002C04A0">
              <w:rPr>
                <w:rFonts w:asciiTheme="minorHAnsi" w:hAnsiTheme="minorHAnsi" w:cs="Times New Roman Bold"/>
                <w:b/>
                <w:bCs/>
                <w:color w:val="0070C0"/>
                <w:sz w:val="18"/>
                <w:szCs w:val="18"/>
                <w:lang w:val="ru-RU"/>
              </w:rPr>
              <w:t>% du total</w:t>
            </w:r>
          </w:p>
        </w:tc>
        <w:tc>
          <w:tcPr>
            <w:tcW w:w="980" w:type="dxa"/>
            <w:tcBorders>
              <w:top w:val="single" w:sz="4" w:space="0" w:color="auto"/>
              <w:bottom w:val="single" w:sz="4" w:space="0" w:color="auto"/>
            </w:tcBorders>
          </w:tcPr>
          <w:p w:rsidR="00081D6E" w:rsidRPr="002C04A0" w:rsidRDefault="00081D6E" w:rsidP="00BE6EEC">
            <w:pPr>
              <w:spacing w:before="20" w:after="20" w:line="240" w:lineRule="auto"/>
              <w:ind w:left="-57" w:right="-57"/>
              <w:jc w:val="center"/>
              <w:rPr>
                <w:rFonts w:asciiTheme="minorHAnsi" w:hAnsiTheme="minorHAnsi" w:cs="Times New Roman Bold"/>
                <w:b/>
                <w:bCs/>
                <w:color w:val="0070C0"/>
                <w:sz w:val="18"/>
                <w:szCs w:val="18"/>
                <w:lang w:val="ru-RU"/>
              </w:rPr>
            </w:pPr>
            <w:r w:rsidRPr="002C04A0">
              <w:rPr>
                <w:rFonts w:asciiTheme="minorHAnsi" w:hAnsiTheme="minorHAnsi" w:cs="Times New Roman Bold"/>
                <w:b/>
                <w:bCs/>
                <w:color w:val="0070C0"/>
                <w:sz w:val="18"/>
                <w:szCs w:val="18"/>
                <w:lang w:val="ru-RU"/>
              </w:rPr>
              <w:t>% de l'objectif</w:t>
            </w:r>
          </w:p>
        </w:tc>
      </w:tr>
      <w:tr w:rsidR="00081D6E" w:rsidRPr="002C04A0" w:rsidTr="00081D6E">
        <w:tc>
          <w:tcPr>
            <w:tcW w:w="7230" w:type="dxa"/>
            <w:vMerge/>
          </w:tcPr>
          <w:p w:rsidR="00081D6E" w:rsidRPr="002C04A0" w:rsidRDefault="00081D6E" w:rsidP="00BE6EEC">
            <w:pPr>
              <w:pStyle w:val="Tabletext"/>
              <w:rPr>
                <w:rFonts w:asciiTheme="minorHAnsi" w:hAnsiTheme="minorHAnsi"/>
                <w:sz w:val="16"/>
                <w:szCs w:val="16"/>
                <w:lang w:val="ru-RU"/>
              </w:rPr>
            </w:pPr>
          </w:p>
        </w:tc>
        <w:tc>
          <w:tcPr>
            <w:tcW w:w="5386" w:type="dxa"/>
            <w:tcBorders>
              <w:top w:val="single" w:sz="4" w:space="0" w:color="auto"/>
            </w:tcBorders>
          </w:tcPr>
          <w:p w:rsidR="00081D6E" w:rsidRPr="002C04A0" w:rsidRDefault="00081D6E" w:rsidP="00BE6EEC">
            <w:pPr>
              <w:pStyle w:val="Tabletext"/>
              <w:tabs>
                <w:tab w:val="clear" w:pos="1985"/>
              </w:tabs>
              <w:spacing w:before="30" w:after="30"/>
              <w:ind w:left="567" w:hanging="567"/>
              <w:rPr>
                <w:rFonts w:asciiTheme="minorHAnsi" w:hAnsiTheme="minorHAnsi"/>
                <w:sz w:val="18"/>
                <w:szCs w:val="18"/>
                <w:lang w:val="fr-CH"/>
              </w:rPr>
            </w:pPr>
            <w:r w:rsidRPr="002C04A0">
              <w:rPr>
                <w:rFonts w:asciiTheme="minorHAnsi" w:hAnsiTheme="minorHAnsi"/>
                <w:b/>
                <w:bCs/>
                <w:color w:val="548DD4" w:themeColor="text2" w:themeTint="99"/>
                <w:sz w:val="18"/>
                <w:szCs w:val="18"/>
                <w:lang w:val="fr-CH"/>
              </w:rPr>
              <w:t>R.1-1</w:t>
            </w:r>
            <w:r w:rsidRPr="002C04A0">
              <w:rPr>
                <w:rFonts w:asciiTheme="minorHAnsi" w:hAnsiTheme="minorHAnsi"/>
                <w:sz w:val="18"/>
                <w:szCs w:val="18"/>
                <w:lang w:val="fr-CH"/>
              </w:rPr>
              <w:t>:</w:t>
            </w:r>
            <w:r w:rsidRPr="002C04A0">
              <w:rPr>
                <w:rFonts w:asciiTheme="minorHAnsi" w:hAnsiTheme="minorHAnsi"/>
                <w:sz w:val="18"/>
                <w:szCs w:val="18"/>
                <w:lang w:val="fr-CH"/>
              </w:rPr>
              <w:tab/>
              <w:t>Actes finals des conférences mondiales des radiocommunications, mise à jour du Règlement des radiocommunications</w:t>
            </w:r>
          </w:p>
        </w:tc>
        <w:tc>
          <w:tcPr>
            <w:tcW w:w="906" w:type="dxa"/>
            <w:tcBorders>
              <w:top w:val="single" w:sz="4" w:space="0" w:color="auto"/>
            </w:tcBorders>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4,83%</w:t>
            </w:r>
          </w:p>
        </w:tc>
        <w:tc>
          <w:tcPr>
            <w:tcW w:w="980" w:type="dxa"/>
            <w:tcBorders>
              <w:top w:val="single" w:sz="4" w:space="0" w:color="auto"/>
            </w:tcBorders>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sz w:val="18"/>
                <w:szCs w:val="18"/>
                <w:lang w:val="ru-RU"/>
              </w:rPr>
            </w:pPr>
            <w:r w:rsidRPr="002C04A0">
              <w:rPr>
                <w:rFonts w:asciiTheme="minorHAnsi" w:hAnsiTheme="minorHAnsi"/>
                <w:b/>
                <w:bCs/>
                <w:sz w:val="18"/>
                <w:szCs w:val="18"/>
                <w:lang w:val="ru-RU"/>
              </w:rPr>
              <w:t>8,07%</w:t>
            </w:r>
          </w:p>
        </w:tc>
      </w:tr>
      <w:tr w:rsidR="00081D6E" w:rsidRPr="002C04A0" w:rsidTr="00081D6E">
        <w:tc>
          <w:tcPr>
            <w:tcW w:w="7230" w:type="dxa"/>
            <w:vMerge/>
          </w:tcPr>
          <w:p w:rsidR="00081D6E" w:rsidRPr="002C04A0" w:rsidRDefault="00081D6E" w:rsidP="00BE6EEC">
            <w:pPr>
              <w:pStyle w:val="Tabletext"/>
              <w:rPr>
                <w:rFonts w:asciiTheme="minorHAnsi" w:hAnsiTheme="minorHAnsi"/>
                <w:sz w:val="16"/>
                <w:szCs w:val="16"/>
                <w:lang w:val="ru-RU"/>
              </w:rPr>
            </w:pPr>
          </w:p>
        </w:tc>
        <w:tc>
          <w:tcPr>
            <w:tcW w:w="5386" w:type="dxa"/>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R.1-2</w:t>
            </w:r>
            <w:r w:rsidRPr="002C04A0">
              <w:rPr>
                <w:rFonts w:asciiTheme="minorHAnsi" w:hAnsiTheme="minorHAnsi"/>
                <w:sz w:val="18"/>
                <w:szCs w:val="18"/>
                <w:lang w:val="fr-CH"/>
              </w:rPr>
              <w:t>:</w:t>
            </w:r>
            <w:r w:rsidRPr="002C04A0">
              <w:rPr>
                <w:rFonts w:asciiTheme="minorHAnsi" w:hAnsiTheme="minorHAnsi"/>
                <w:sz w:val="18"/>
                <w:szCs w:val="18"/>
                <w:lang w:val="fr-CH"/>
              </w:rPr>
              <w:tab/>
              <w:t>Actes finals des conférences régionales des radiocommunications, accords régionaux</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0,48%</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0,80%</w:t>
            </w:r>
          </w:p>
        </w:tc>
      </w:tr>
      <w:tr w:rsidR="00081D6E" w:rsidRPr="002C04A0" w:rsidTr="00081D6E">
        <w:tc>
          <w:tcPr>
            <w:tcW w:w="7230" w:type="dxa"/>
            <w:vMerge/>
          </w:tcPr>
          <w:p w:rsidR="00081D6E" w:rsidRPr="002C04A0" w:rsidRDefault="00081D6E" w:rsidP="00BE6EEC">
            <w:pPr>
              <w:pStyle w:val="Tabletext"/>
              <w:rPr>
                <w:rFonts w:asciiTheme="minorHAnsi" w:hAnsiTheme="minorHAnsi"/>
                <w:sz w:val="16"/>
                <w:szCs w:val="16"/>
                <w:lang w:val="ru-RU"/>
              </w:rPr>
            </w:pPr>
          </w:p>
        </w:tc>
        <w:tc>
          <w:tcPr>
            <w:tcW w:w="5386" w:type="dxa"/>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R.1-3</w:t>
            </w:r>
            <w:r w:rsidRPr="002C04A0">
              <w:rPr>
                <w:rFonts w:asciiTheme="minorHAnsi" w:hAnsiTheme="minorHAnsi"/>
                <w:sz w:val="18"/>
                <w:szCs w:val="18"/>
                <w:lang w:val="fr-CH"/>
              </w:rPr>
              <w:t>:</w:t>
            </w:r>
            <w:r w:rsidRPr="002C04A0">
              <w:rPr>
                <w:rFonts w:asciiTheme="minorHAnsi" w:hAnsiTheme="minorHAnsi"/>
                <w:sz w:val="18"/>
                <w:szCs w:val="18"/>
                <w:lang w:val="fr-CH"/>
              </w:rPr>
              <w:tab/>
              <w:t>Règles de procédure adoptées par le Comité du Règlement des radiocommunications (RRB)</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2,15%</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3,59%</w:t>
            </w:r>
          </w:p>
        </w:tc>
      </w:tr>
      <w:tr w:rsidR="00081D6E" w:rsidRPr="002C04A0" w:rsidTr="00081D6E">
        <w:tc>
          <w:tcPr>
            <w:tcW w:w="7230" w:type="dxa"/>
            <w:vMerge/>
          </w:tcPr>
          <w:p w:rsidR="00081D6E" w:rsidRPr="002C04A0" w:rsidRDefault="00081D6E" w:rsidP="00BE6EEC">
            <w:pPr>
              <w:pStyle w:val="Tabletext"/>
              <w:rPr>
                <w:rFonts w:asciiTheme="minorHAnsi" w:hAnsiTheme="minorHAnsi"/>
                <w:sz w:val="16"/>
                <w:szCs w:val="16"/>
                <w:lang w:val="ru-RU"/>
              </w:rPr>
            </w:pPr>
          </w:p>
        </w:tc>
        <w:tc>
          <w:tcPr>
            <w:tcW w:w="5386" w:type="dxa"/>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R.1-4</w:t>
            </w:r>
            <w:r w:rsidRPr="002C04A0">
              <w:rPr>
                <w:rFonts w:asciiTheme="minorHAnsi" w:hAnsiTheme="minorHAnsi"/>
                <w:sz w:val="18"/>
                <w:szCs w:val="18"/>
                <w:lang w:val="fr-CH"/>
              </w:rPr>
              <w:t>:</w:t>
            </w:r>
            <w:r w:rsidRPr="002C04A0">
              <w:rPr>
                <w:rFonts w:asciiTheme="minorHAnsi" w:hAnsiTheme="minorHAnsi"/>
                <w:sz w:val="18"/>
                <w:szCs w:val="18"/>
                <w:lang w:val="fr-CH"/>
              </w:rPr>
              <w:tab/>
              <w:t>Résultats du traitement des fiches de notification (services spatiaux) et des autres activités connexes</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24,13%</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40,32%</w:t>
            </w:r>
          </w:p>
        </w:tc>
      </w:tr>
      <w:tr w:rsidR="00081D6E" w:rsidRPr="002C04A0" w:rsidTr="00081D6E">
        <w:tc>
          <w:tcPr>
            <w:tcW w:w="7230" w:type="dxa"/>
            <w:vMerge/>
          </w:tcPr>
          <w:p w:rsidR="00081D6E" w:rsidRPr="002C04A0" w:rsidRDefault="00081D6E" w:rsidP="00BE6EEC">
            <w:pPr>
              <w:pStyle w:val="Tabletext"/>
              <w:rPr>
                <w:rFonts w:asciiTheme="minorHAnsi" w:hAnsiTheme="minorHAnsi"/>
                <w:sz w:val="16"/>
                <w:szCs w:val="16"/>
                <w:lang w:val="ru-RU"/>
              </w:rPr>
            </w:pPr>
          </w:p>
        </w:tc>
        <w:tc>
          <w:tcPr>
            <w:tcW w:w="5386" w:type="dxa"/>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R.1-5</w:t>
            </w:r>
            <w:r w:rsidRPr="002C04A0">
              <w:rPr>
                <w:rFonts w:asciiTheme="minorHAnsi" w:hAnsiTheme="minorHAnsi"/>
                <w:sz w:val="18"/>
                <w:szCs w:val="18"/>
                <w:lang w:val="fr-CH"/>
              </w:rPr>
              <w:t>:</w:t>
            </w:r>
            <w:r w:rsidRPr="002C04A0">
              <w:rPr>
                <w:rFonts w:asciiTheme="minorHAnsi" w:hAnsiTheme="minorHAnsi"/>
                <w:sz w:val="18"/>
                <w:szCs w:val="18"/>
                <w:lang w:val="fr-CH"/>
              </w:rPr>
              <w:tab/>
              <w:t>Résultats du traitement des fiches de notification (services de Terre) et des autres activités connexes</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12,01%</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20,06%</w:t>
            </w:r>
          </w:p>
        </w:tc>
      </w:tr>
      <w:tr w:rsidR="00081D6E" w:rsidRPr="002C04A0" w:rsidTr="00081D6E">
        <w:tc>
          <w:tcPr>
            <w:tcW w:w="7230" w:type="dxa"/>
            <w:vMerge/>
          </w:tcPr>
          <w:p w:rsidR="00081D6E" w:rsidRPr="002C04A0" w:rsidRDefault="00081D6E" w:rsidP="00BE6EEC">
            <w:pPr>
              <w:pStyle w:val="Tabletext"/>
              <w:rPr>
                <w:rFonts w:asciiTheme="minorHAnsi" w:hAnsiTheme="minorHAnsi"/>
                <w:sz w:val="16"/>
                <w:szCs w:val="16"/>
                <w:lang w:val="ru-RU"/>
              </w:rPr>
            </w:pPr>
          </w:p>
        </w:tc>
        <w:tc>
          <w:tcPr>
            <w:tcW w:w="5386" w:type="dxa"/>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R.1-6</w:t>
            </w:r>
            <w:r w:rsidRPr="002C04A0">
              <w:rPr>
                <w:rFonts w:asciiTheme="minorHAnsi" w:hAnsiTheme="minorHAnsi"/>
                <w:sz w:val="18"/>
                <w:szCs w:val="18"/>
                <w:lang w:val="fr-CH"/>
              </w:rPr>
              <w:t>:</w:t>
            </w:r>
            <w:r w:rsidRPr="002C04A0">
              <w:rPr>
                <w:rFonts w:asciiTheme="minorHAnsi" w:hAnsiTheme="minorHAnsi"/>
                <w:sz w:val="18"/>
                <w:szCs w:val="18"/>
                <w:lang w:val="fr-CH"/>
              </w:rPr>
              <w:tab/>
              <w:t>Décisions du RRB autres que celles correspondant à l'adoption de Règles de procédure</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2,48%</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4,14%</w:t>
            </w:r>
          </w:p>
        </w:tc>
      </w:tr>
      <w:tr w:rsidR="00081D6E" w:rsidRPr="002C04A0" w:rsidTr="00081D6E">
        <w:tc>
          <w:tcPr>
            <w:tcW w:w="7230" w:type="dxa"/>
            <w:vMerge/>
          </w:tcPr>
          <w:p w:rsidR="00081D6E" w:rsidRPr="002C04A0" w:rsidRDefault="00081D6E" w:rsidP="00BE6EEC">
            <w:pPr>
              <w:pStyle w:val="Tabletext"/>
              <w:rPr>
                <w:rFonts w:asciiTheme="minorHAnsi" w:hAnsiTheme="minorHAnsi"/>
                <w:sz w:val="16"/>
                <w:szCs w:val="16"/>
                <w:lang w:val="ru-RU"/>
              </w:rPr>
            </w:pPr>
          </w:p>
        </w:tc>
        <w:tc>
          <w:tcPr>
            <w:tcW w:w="5386" w:type="dxa"/>
            <w:tcBorders>
              <w:bottom w:val="single" w:sz="4" w:space="0" w:color="auto"/>
            </w:tcBorders>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R.1-7</w:t>
            </w:r>
            <w:r w:rsidRPr="002C04A0">
              <w:rPr>
                <w:rFonts w:asciiTheme="minorHAnsi" w:hAnsiTheme="minorHAnsi"/>
                <w:sz w:val="18"/>
                <w:szCs w:val="18"/>
                <w:lang w:val="fr-CH"/>
              </w:rPr>
              <w:t>:</w:t>
            </w:r>
            <w:r w:rsidRPr="002C04A0">
              <w:rPr>
                <w:rFonts w:asciiTheme="minorHAnsi" w:hAnsiTheme="minorHAnsi"/>
                <w:sz w:val="18"/>
                <w:szCs w:val="18"/>
                <w:lang w:val="fr-CH"/>
              </w:rPr>
              <w:tab/>
              <w:t>Amélioration des logiciels de l'UIT-R</w:t>
            </w:r>
          </w:p>
        </w:tc>
        <w:tc>
          <w:tcPr>
            <w:tcW w:w="906" w:type="dxa"/>
            <w:tcBorders>
              <w:bottom w:val="single" w:sz="4" w:space="0" w:color="auto"/>
            </w:tcBorders>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11,45%</w:t>
            </w:r>
          </w:p>
        </w:tc>
        <w:tc>
          <w:tcPr>
            <w:tcW w:w="980" w:type="dxa"/>
            <w:tcBorders>
              <w:bottom w:val="single" w:sz="4" w:space="0" w:color="auto"/>
            </w:tcBorders>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19,13%</w:t>
            </w:r>
          </w:p>
        </w:tc>
      </w:tr>
      <w:tr w:rsidR="00081D6E" w:rsidRPr="002C04A0" w:rsidTr="00081D6E">
        <w:tc>
          <w:tcPr>
            <w:tcW w:w="7230" w:type="dxa"/>
            <w:vMerge w:val="restart"/>
          </w:tcPr>
          <w:tbl>
            <w:tblPr>
              <w:tblW w:w="0" w:type="auto"/>
              <w:jc w:val="center"/>
              <w:tblLayout w:type="fixed"/>
              <w:tblCellMar>
                <w:left w:w="57" w:type="dxa"/>
                <w:right w:w="57" w:type="dxa"/>
              </w:tblCellMar>
              <w:tblLook w:val="04A0" w:firstRow="1" w:lastRow="0" w:firstColumn="1" w:lastColumn="0" w:noHBand="0" w:noVBand="1"/>
            </w:tblPr>
            <w:tblGrid>
              <w:gridCol w:w="6096"/>
              <w:gridCol w:w="992"/>
            </w:tblGrid>
            <w:tr w:rsidR="00081D6E" w:rsidRPr="002C04A0" w:rsidTr="00081D6E">
              <w:trPr>
                <w:jc w:val="center"/>
              </w:trPr>
              <w:tc>
                <w:tcPr>
                  <w:tcW w:w="6096" w:type="dxa"/>
                  <w:tcMar>
                    <w:left w:w="57" w:type="dxa"/>
                    <w:right w:w="57" w:type="dxa"/>
                  </w:tcMar>
                </w:tcPr>
                <w:p w:rsidR="00081D6E" w:rsidRPr="002C04A0" w:rsidRDefault="00081D6E" w:rsidP="00BE6EEC">
                  <w:pPr>
                    <w:pStyle w:val="Tabletext"/>
                    <w:tabs>
                      <w:tab w:val="clear" w:pos="284"/>
                      <w:tab w:val="left" w:pos="402"/>
                    </w:tabs>
                    <w:rPr>
                      <w:rFonts w:asciiTheme="minorHAnsi" w:hAnsiTheme="minorHAnsi"/>
                      <w:sz w:val="18"/>
                      <w:szCs w:val="18"/>
                      <w:lang w:val="fr-CH"/>
                    </w:rPr>
                  </w:pPr>
                  <w:r w:rsidRPr="002C04A0">
                    <w:rPr>
                      <w:rFonts w:asciiTheme="minorHAnsi" w:hAnsiTheme="minorHAnsi"/>
                      <w:b/>
                      <w:bCs/>
                      <w:noProof/>
                      <w:color w:val="4F81BD" w:themeColor="accent1"/>
                      <w:sz w:val="18"/>
                      <w:szCs w:val="18"/>
                      <w:lang w:val="fr-CH" w:eastAsia="zh-CN"/>
                    </w:rPr>
                    <w:t>R.1</w:t>
                  </w:r>
                  <w:r w:rsidRPr="002C04A0">
                    <w:rPr>
                      <w:rFonts w:asciiTheme="minorHAnsi" w:hAnsiTheme="minorHAnsi"/>
                      <w:noProof/>
                      <w:color w:val="4F81BD" w:themeColor="accent1"/>
                      <w:sz w:val="18"/>
                      <w:szCs w:val="18"/>
                      <w:lang w:val="fr-CH" w:eastAsia="zh-CN"/>
                    </w:rPr>
                    <w:tab/>
                  </w:r>
                  <w:r w:rsidRPr="002C04A0">
                    <w:rPr>
                      <w:rFonts w:asciiTheme="minorHAnsi" w:hAnsiTheme="minorHAnsi"/>
                      <w:sz w:val="18"/>
                      <w:szCs w:val="18"/>
                      <w:lang w:val="fr-CH"/>
                    </w:rPr>
                    <w:t>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c>
                <w:tcPr>
                  <w:tcW w:w="992" w:type="dxa"/>
                  <w:tcMar>
                    <w:left w:w="57" w:type="dxa"/>
                    <w:right w:w="57" w:type="dxa"/>
                  </w:tcMar>
                </w:tcPr>
                <w:p w:rsidR="00081D6E" w:rsidRPr="002C04A0" w:rsidRDefault="00081D6E" w:rsidP="00BE6EEC">
                  <w:pPr>
                    <w:pStyle w:val="Tabletext"/>
                    <w:tabs>
                      <w:tab w:val="clear" w:pos="1985"/>
                    </w:tabs>
                    <w:ind w:right="340"/>
                    <w:jc w:val="right"/>
                    <w:rPr>
                      <w:rFonts w:asciiTheme="minorHAnsi" w:hAnsiTheme="minorHAnsi"/>
                      <w:b/>
                      <w:bCs/>
                      <w:sz w:val="18"/>
                      <w:szCs w:val="18"/>
                      <w:lang w:val="ru-RU"/>
                    </w:rPr>
                  </w:pPr>
                  <w:r w:rsidRPr="002C04A0">
                    <w:rPr>
                      <w:rFonts w:asciiTheme="minorHAnsi" w:hAnsiTheme="minorHAnsi"/>
                      <w:b/>
                      <w:bCs/>
                      <w:sz w:val="18"/>
                      <w:szCs w:val="18"/>
                      <w:lang w:val="fr-CH"/>
                    </w:rPr>
                    <w:br/>
                  </w:r>
                  <w:r w:rsidRPr="002C04A0">
                    <w:rPr>
                      <w:rFonts w:asciiTheme="minorHAnsi" w:hAnsiTheme="minorHAnsi"/>
                      <w:b/>
                      <w:bCs/>
                      <w:sz w:val="18"/>
                      <w:szCs w:val="18"/>
                      <w:lang w:val="fr-CH"/>
                    </w:rPr>
                    <w:br/>
                  </w:r>
                  <w:r w:rsidRPr="002C04A0">
                    <w:rPr>
                      <w:rFonts w:asciiTheme="minorHAnsi" w:hAnsiTheme="minorHAnsi"/>
                      <w:b/>
                      <w:bCs/>
                      <w:sz w:val="18"/>
                      <w:szCs w:val="18"/>
                      <w:lang w:val="ru-RU"/>
                    </w:rPr>
                    <w:t>60%</w:t>
                  </w:r>
                </w:p>
              </w:tc>
            </w:tr>
            <w:tr w:rsidR="00081D6E" w:rsidRPr="002C04A0" w:rsidTr="00081D6E">
              <w:trPr>
                <w:jc w:val="center"/>
              </w:trPr>
              <w:tc>
                <w:tcPr>
                  <w:tcW w:w="6096" w:type="dxa"/>
                  <w:tcMar>
                    <w:left w:w="57" w:type="dxa"/>
                    <w:right w:w="57" w:type="dxa"/>
                  </w:tcMar>
                </w:tcPr>
                <w:p w:rsidR="00081D6E" w:rsidRPr="002C04A0" w:rsidRDefault="00081D6E" w:rsidP="00BE6EEC">
                  <w:pPr>
                    <w:pStyle w:val="Tabletext"/>
                    <w:tabs>
                      <w:tab w:val="clear" w:pos="284"/>
                      <w:tab w:val="clear" w:pos="567"/>
                      <w:tab w:val="clear" w:pos="851"/>
                      <w:tab w:val="clear" w:pos="1134"/>
                      <w:tab w:val="left" w:pos="402"/>
                    </w:tabs>
                    <w:ind w:left="-23" w:firstLine="23"/>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R.2</w:t>
                  </w:r>
                  <w:r w:rsidRPr="002C04A0">
                    <w:rPr>
                      <w:rFonts w:asciiTheme="minorHAnsi" w:hAnsiTheme="minorHAnsi"/>
                      <w:sz w:val="18"/>
                      <w:szCs w:val="18"/>
                      <w:lang w:val="fr-CH"/>
                    </w:rPr>
                    <w:t>:</w:t>
                  </w:r>
                  <w:r w:rsidRPr="002C04A0">
                    <w:rPr>
                      <w:rFonts w:asciiTheme="minorHAnsi" w:hAnsiTheme="minorHAnsi"/>
                      <w:sz w:val="18"/>
                      <w:szCs w:val="18"/>
                      <w:lang w:val="fr-CH"/>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c>
                <w:tcPr>
                  <w:tcW w:w="992" w:type="dxa"/>
                  <w:tcMar>
                    <w:left w:w="57" w:type="dxa"/>
                    <w:right w:w="57" w:type="dxa"/>
                  </w:tcMar>
                </w:tcPr>
                <w:p w:rsidR="00081D6E" w:rsidRPr="002C04A0" w:rsidRDefault="00081D6E" w:rsidP="00BE6EEC">
                  <w:pPr>
                    <w:pStyle w:val="Tabletext"/>
                    <w:tabs>
                      <w:tab w:val="clear" w:pos="1985"/>
                    </w:tabs>
                    <w:ind w:right="340"/>
                    <w:jc w:val="right"/>
                    <w:rPr>
                      <w:rFonts w:asciiTheme="minorHAnsi" w:hAnsiTheme="minorHAnsi"/>
                      <w:b/>
                      <w:bCs/>
                      <w:sz w:val="18"/>
                      <w:szCs w:val="18"/>
                      <w:lang w:val="ru-RU"/>
                    </w:rPr>
                  </w:pPr>
                  <w:r w:rsidRPr="002C04A0">
                    <w:rPr>
                      <w:rFonts w:asciiTheme="minorHAnsi" w:hAnsiTheme="minorHAnsi"/>
                      <w:b/>
                      <w:bCs/>
                      <w:sz w:val="18"/>
                      <w:szCs w:val="18"/>
                      <w:lang w:val="fr-CH"/>
                    </w:rPr>
                    <w:br/>
                  </w:r>
                  <w:r w:rsidRPr="002C04A0">
                    <w:rPr>
                      <w:rFonts w:asciiTheme="minorHAnsi" w:hAnsiTheme="minorHAnsi"/>
                      <w:b/>
                      <w:bCs/>
                      <w:sz w:val="18"/>
                      <w:szCs w:val="18"/>
                      <w:lang w:val="fr-CH"/>
                    </w:rPr>
                    <w:br/>
                  </w:r>
                  <w:r w:rsidRPr="002C04A0">
                    <w:rPr>
                      <w:rFonts w:asciiTheme="minorHAnsi" w:hAnsiTheme="minorHAnsi"/>
                      <w:b/>
                      <w:bCs/>
                      <w:sz w:val="18"/>
                      <w:szCs w:val="18"/>
                      <w:lang w:val="fr-CH"/>
                    </w:rPr>
                    <w:br/>
                  </w:r>
                  <w:r w:rsidRPr="002C04A0">
                    <w:rPr>
                      <w:rFonts w:asciiTheme="minorHAnsi" w:hAnsiTheme="minorHAnsi"/>
                      <w:b/>
                      <w:bCs/>
                      <w:sz w:val="18"/>
                      <w:szCs w:val="18"/>
                      <w:lang w:val="fr-CH"/>
                    </w:rPr>
                    <w:br/>
                  </w:r>
                  <w:r w:rsidRPr="002C04A0">
                    <w:rPr>
                      <w:rFonts w:asciiTheme="minorHAnsi" w:hAnsiTheme="minorHAnsi"/>
                      <w:b/>
                      <w:bCs/>
                      <w:sz w:val="18"/>
                      <w:szCs w:val="18"/>
                      <w:lang w:val="fr-CH"/>
                    </w:rPr>
                    <w:br/>
                  </w:r>
                  <w:r w:rsidRPr="002C04A0">
                    <w:rPr>
                      <w:rFonts w:asciiTheme="minorHAnsi" w:hAnsiTheme="minorHAnsi"/>
                      <w:b/>
                      <w:bCs/>
                      <w:sz w:val="18"/>
                      <w:szCs w:val="18"/>
                      <w:lang w:val="ru-RU"/>
                    </w:rPr>
                    <w:t>14%</w:t>
                  </w:r>
                </w:p>
              </w:tc>
            </w:tr>
            <w:tr w:rsidR="00081D6E" w:rsidRPr="002C04A0" w:rsidTr="00081D6E">
              <w:trPr>
                <w:jc w:val="center"/>
              </w:trPr>
              <w:tc>
                <w:tcPr>
                  <w:tcW w:w="6096" w:type="dxa"/>
                  <w:tcMar>
                    <w:left w:w="57" w:type="dxa"/>
                    <w:right w:w="57" w:type="dxa"/>
                  </w:tcMar>
                </w:tcPr>
                <w:p w:rsidR="00081D6E" w:rsidRPr="002C04A0" w:rsidRDefault="00081D6E" w:rsidP="00BE6EEC">
                  <w:pPr>
                    <w:pStyle w:val="Tabletext"/>
                    <w:tabs>
                      <w:tab w:val="clear" w:pos="567"/>
                      <w:tab w:val="left" w:pos="402"/>
                    </w:tabs>
                    <w:spacing w:before="60" w:after="60"/>
                    <w:ind w:left="-23" w:firstLine="23"/>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R.3</w:t>
                  </w:r>
                  <w:r w:rsidRPr="002C04A0">
                    <w:rPr>
                      <w:rFonts w:asciiTheme="minorHAnsi" w:hAnsiTheme="minorHAnsi"/>
                      <w:sz w:val="18"/>
                      <w:szCs w:val="18"/>
                      <w:lang w:val="fr-CH"/>
                    </w:rPr>
                    <w:t>:</w:t>
                  </w:r>
                  <w:r w:rsidRPr="002C04A0">
                    <w:rPr>
                      <w:rFonts w:asciiTheme="minorHAnsi" w:hAnsiTheme="minorHAnsi"/>
                      <w:sz w:val="18"/>
                      <w:szCs w:val="18"/>
                      <w:lang w:val="fr-CH"/>
                    </w:rPr>
                    <w:tab/>
                    <w:t>Encourager l'acquisition et l'échange de connaissances et de savoir</w:t>
                  </w:r>
                  <w:r w:rsidRPr="002C04A0">
                    <w:rPr>
                      <w:rFonts w:asciiTheme="minorHAnsi" w:hAnsiTheme="minorHAnsi"/>
                      <w:sz w:val="18"/>
                      <w:szCs w:val="18"/>
                      <w:lang w:val="fr-CH"/>
                    </w:rPr>
                    <w:noBreakHyphen/>
                    <w:t>faire dans le domaine des radiocommunications</w:t>
                  </w:r>
                </w:p>
              </w:tc>
              <w:tc>
                <w:tcPr>
                  <w:tcW w:w="992" w:type="dxa"/>
                  <w:tcMar>
                    <w:left w:w="57" w:type="dxa"/>
                    <w:right w:w="57" w:type="dxa"/>
                  </w:tcMar>
                </w:tcPr>
                <w:p w:rsidR="00081D6E" w:rsidRPr="002C04A0" w:rsidRDefault="00081D6E" w:rsidP="00BE6EEC">
                  <w:pPr>
                    <w:pStyle w:val="Tabletext"/>
                    <w:spacing w:before="60" w:after="60"/>
                    <w:ind w:right="340"/>
                    <w:jc w:val="right"/>
                    <w:rPr>
                      <w:rFonts w:asciiTheme="minorHAnsi" w:hAnsiTheme="minorHAnsi"/>
                      <w:b/>
                      <w:bCs/>
                      <w:sz w:val="18"/>
                      <w:szCs w:val="18"/>
                      <w:lang w:val="ru-RU"/>
                    </w:rPr>
                  </w:pPr>
                  <w:r w:rsidRPr="002C04A0">
                    <w:rPr>
                      <w:rFonts w:asciiTheme="minorHAnsi" w:hAnsiTheme="minorHAnsi"/>
                      <w:b/>
                      <w:bCs/>
                      <w:sz w:val="18"/>
                      <w:szCs w:val="18"/>
                      <w:lang w:val="fr-CH"/>
                    </w:rPr>
                    <w:br/>
                  </w:r>
                  <w:r w:rsidRPr="002C04A0">
                    <w:rPr>
                      <w:rFonts w:asciiTheme="minorHAnsi" w:hAnsiTheme="minorHAnsi"/>
                      <w:b/>
                      <w:bCs/>
                      <w:sz w:val="18"/>
                      <w:szCs w:val="18"/>
                      <w:lang w:val="ru-RU"/>
                    </w:rPr>
                    <w:t>26%</w:t>
                  </w:r>
                </w:p>
              </w:tc>
            </w:tr>
          </w:tbl>
          <w:p w:rsidR="00081D6E" w:rsidRPr="002C04A0" w:rsidRDefault="00081D6E" w:rsidP="00BE6EEC">
            <w:pPr>
              <w:pStyle w:val="Tabletext"/>
              <w:tabs>
                <w:tab w:val="clear" w:pos="1985"/>
              </w:tabs>
              <w:spacing w:before="60" w:after="60"/>
              <w:ind w:right="340"/>
              <w:rPr>
                <w:rFonts w:asciiTheme="minorHAnsi" w:hAnsiTheme="minorHAnsi"/>
                <w:b/>
                <w:bCs/>
                <w:sz w:val="18"/>
                <w:szCs w:val="18"/>
                <w:lang w:val="ru-RU"/>
              </w:rPr>
            </w:pPr>
          </w:p>
        </w:tc>
        <w:tc>
          <w:tcPr>
            <w:tcW w:w="5386" w:type="dxa"/>
            <w:tcBorders>
              <w:top w:val="single" w:sz="4" w:space="0" w:color="auto"/>
            </w:tcBorders>
          </w:tcPr>
          <w:p w:rsidR="00081D6E" w:rsidRPr="002C04A0" w:rsidRDefault="00081D6E" w:rsidP="00BE6EEC">
            <w:pPr>
              <w:pStyle w:val="Tabletext"/>
              <w:tabs>
                <w:tab w:val="clear" w:pos="1985"/>
              </w:tabs>
              <w:spacing w:before="30" w:after="30"/>
              <w:ind w:left="567" w:hanging="567"/>
              <w:rPr>
                <w:rFonts w:asciiTheme="minorHAnsi" w:hAnsiTheme="minorHAnsi"/>
                <w:sz w:val="18"/>
                <w:szCs w:val="18"/>
                <w:lang w:val="fr-CH"/>
              </w:rPr>
            </w:pPr>
            <w:r w:rsidRPr="002C04A0">
              <w:rPr>
                <w:rFonts w:asciiTheme="minorHAnsi" w:hAnsiTheme="minorHAnsi"/>
                <w:b/>
                <w:bCs/>
                <w:color w:val="548DD4" w:themeColor="text2" w:themeTint="99"/>
                <w:sz w:val="18"/>
                <w:szCs w:val="18"/>
                <w:lang w:val="fr-CH"/>
              </w:rPr>
              <w:t>R.2-1</w:t>
            </w:r>
            <w:r w:rsidRPr="002C04A0">
              <w:rPr>
                <w:rFonts w:asciiTheme="minorHAnsi" w:hAnsiTheme="minorHAnsi"/>
                <w:sz w:val="18"/>
                <w:szCs w:val="18"/>
                <w:lang w:val="fr-CH"/>
              </w:rPr>
              <w:t>:</w:t>
            </w:r>
            <w:r w:rsidRPr="002C04A0">
              <w:rPr>
                <w:rFonts w:asciiTheme="minorHAnsi" w:hAnsiTheme="minorHAnsi"/>
                <w:sz w:val="18"/>
                <w:szCs w:val="18"/>
                <w:lang w:val="fr-CH"/>
              </w:rPr>
              <w:tab/>
              <w:t>Décisions de l'Assemblée des radiocommunications, résolutions de l'UIT-R</w:t>
            </w:r>
          </w:p>
        </w:tc>
        <w:tc>
          <w:tcPr>
            <w:tcW w:w="906" w:type="dxa"/>
            <w:tcBorders>
              <w:top w:val="single" w:sz="4" w:space="0" w:color="auto"/>
            </w:tcBorders>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2,45%</w:t>
            </w:r>
          </w:p>
        </w:tc>
        <w:tc>
          <w:tcPr>
            <w:tcW w:w="980" w:type="dxa"/>
            <w:tcBorders>
              <w:top w:val="single" w:sz="4" w:space="0" w:color="auto"/>
            </w:tcBorders>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17,05%</w:t>
            </w:r>
          </w:p>
        </w:tc>
      </w:tr>
      <w:tr w:rsidR="00081D6E" w:rsidRPr="002C04A0" w:rsidTr="00081D6E">
        <w:tc>
          <w:tcPr>
            <w:tcW w:w="7230" w:type="dxa"/>
            <w:vMerge/>
          </w:tcPr>
          <w:p w:rsidR="00081D6E" w:rsidRPr="002C04A0" w:rsidRDefault="00081D6E" w:rsidP="00BE6EEC">
            <w:pPr>
              <w:pStyle w:val="Tabletext"/>
              <w:tabs>
                <w:tab w:val="clear" w:pos="1985"/>
              </w:tabs>
              <w:spacing w:before="60" w:after="60"/>
              <w:ind w:right="340"/>
              <w:jc w:val="right"/>
              <w:rPr>
                <w:rFonts w:asciiTheme="minorHAnsi" w:hAnsiTheme="minorHAnsi"/>
                <w:b/>
                <w:bCs/>
                <w:sz w:val="18"/>
                <w:szCs w:val="18"/>
                <w:lang w:val="ru-RU"/>
              </w:rPr>
            </w:pPr>
          </w:p>
        </w:tc>
        <w:tc>
          <w:tcPr>
            <w:tcW w:w="5386" w:type="dxa"/>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R.2-2</w:t>
            </w:r>
            <w:r w:rsidRPr="002C04A0">
              <w:rPr>
                <w:rFonts w:asciiTheme="minorHAnsi" w:hAnsiTheme="minorHAnsi"/>
                <w:sz w:val="18"/>
                <w:szCs w:val="18"/>
                <w:lang w:val="fr-CH"/>
              </w:rPr>
              <w:t>:</w:t>
            </w:r>
            <w:r w:rsidRPr="002C04A0">
              <w:rPr>
                <w:rFonts w:asciiTheme="minorHAnsi" w:hAnsiTheme="minorHAnsi"/>
                <w:sz w:val="18"/>
                <w:szCs w:val="18"/>
                <w:lang w:val="fr-CH"/>
              </w:rPr>
              <w:tab/>
              <w:t xml:space="preserve">Recommandations, rapports (y compris le rapport de la RPC) </w:t>
            </w:r>
            <w:r w:rsidRPr="002C04A0">
              <w:rPr>
                <w:rFonts w:asciiTheme="minorHAnsi" w:hAnsiTheme="minorHAnsi"/>
                <w:sz w:val="18"/>
                <w:szCs w:val="18"/>
                <w:lang w:val="fr-CH"/>
              </w:rPr>
              <w:br/>
              <w:t>et manuels de l'UIT-R</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9,73%</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67,80%</w:t>
            </w:r>
          </w:p>
        </w:tc>
      </w:tr>
      <w:tr w:rsidR="00081D6E" w:rsidRPr="002C04A0" w:rsidTr="00081D6E">
        <w:tc>
          <w:tcPr>
            <w:tcW w:w="7230" w:type="dxa"/>
            <w:vMerge/>
          </w:tcPr>
          <w:p w:rsidR="00081D6E" w:rsidRPr="002C04A0" w:rsidRDefault="00081D6E" w:rsidP="00BE6EEC">
            <w:pPr>
              <w:pStyle w:val="Tabletext"/>
              <w:tabs>
                <w:tab w:val="clear" w:pos="1985"/>
              </w:tabs>
              <w:ind w:right="340"/>
              <w:jc w:val="right"/>
              <w:rPr>
                <w:rFonts w:asciiTheme="minorHAnsi" w:hAnsiTheme="minorHAnsi"/>
                <w:b/>
                <w:bCs/>
                <w:sz w:val="18"/>
                <w:szCs w:val="18"/>
                <w:lang w:val="ru-RU"/>
              </w:rPr>
            </w:pPr>
          </w:p>
        </w:tc>
        <w:tc>
          <w:tcPr>
            <w:tcW w:w="5386" w:type="dxa"/>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R.2-3</w:t>
            </w:r>
            <w:r w:rsidRPr="002C04A0">
              <w:rPr>
                <w:rFonts w:asciiTheme="minorHAnsi" w:hAnsiTheme="minorHAnsi"/>
                <w:sz w:val="18"/>
                <w:szCs w:val="18"/>
                <w:lang w:val="fr-CH"/>
              </w:rPr>
              <w:t>:</w:t>
            </w:r>
            <w:r w:rsidRPr="002C04A0">
              <w:rPr>
                <w:rFonts w:asciiTheme="minorHAnsi" w:hAnsiTheme="minorHAnsi"/>
                <w:sz w:val="18"/>
                <w:szCs w:val="18"/>
                <w:lang w:val="fr-CH"/>
              </w:rPr>
              <w:tab/>
              <w:t>Avis formulés par le Groupe consultatif des radiocommunications</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1,62%</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11,29%</w:t>
            </w:r>
          </w:p>
        </w:tc>
      </w:tr>
      <w:tr w:rsidR="00081D6E" w:rsidRPr="002C04A0" w:rsidTr="00081D6E">
        <w:tc>
          <w:tcPr>
            <w:tcW w:w="7230" w:type="dxa"/>
            <w:vMerge/>
          </w:tcPr>
          <w:p w:rsidR="00081D6E" w:rsidRPr="002C04A0" w:rsidRDefault="00081D6E" w:rsidP="00BE6EEC">
            <w:pPr>
              <w:pStyle w:val="Tabletext"/>
              <w:tabs>
                <w:tab w:val="clear" w:pos="1985"/>
              </w:tabs>
              <w:spacing w:before="60" w:after="60"/>
              <w:ind w:right="340"/>
              <w:jc w:val="right"/>
              <w:rPr>
                <w:rFonts w:asciiTheme="minorHAnsi" w:hAnsiTheme="minorHAnsi"/>
                <w:b/>
                <w:bCs/>
                <w:sz w:val="18"/>
                <w:szCs w:val="18"/>
                <w:lang w:val="ru-RU"/>
              </w:rPr>
            </w:pPr>
          </w:p>
        </w:tc>
        <w:tc>
          <w:tcPr>
            <w:tcW w:w="5386" w:type="dxa"/>
            <w:tcBorders>
              <w:top w:val="single" w:sz="4" w:space="0" w:color="auto"/>
            </w:tcBorders>
          </w:tcPr>
          <w:p w:rsidR="00081D6E" w:rsidRPr="002C04A0" w:rsidRDefault="00081D6E" w:rsidP="00BE6EEC">
            <w:pPr>
              <w:pStyle w:val="Tabletext"/>
              <w:tabs>
                <w:tab w:val="clear" w:pos="1985"/>
              </w:tabs>
              <w:spacing w:before="30" w:after="30"/>
              <w:ind w:left="567" w:hanging="567"/>
              <w:rPr>
                <w:rFonts w:asciiTheme="minorHAnsi" w:hAnsiTheme="minorHAnsi"/>
                <w:sz w:val="18"/>
                <w:szCs w:val="18"/>
                <w:lang w:val="ru-RU"/>
              </w:rPr>
            </w:pPr>
            <w:r w:rsidRPr="002C04A0">
              <w:rPr>
                <w:rFonts w:asciiTheme="minorHAnsi" w:hAnsiTheme="minorHAnsi"/>
                <w:b/>
                <w:bCs/>
                <w:color w:val="548DD4" w:themeColor="text2" w:themeTint="99"/>
                <w:sz w:val="18"/>
                <w:szCs w:val="18"/>
                <w:lang w:val="ru-RU"/>
              </w:rPr>
              <w:t>R.3-1</w:t>
            </w:r>
            <w:r w:rsidRPr="002C04A0">
              <w:rPr>
                <w:rFonts w:asciiTheme="minorHAnsi" w:hAnsiTheme="minorHAnsi"/>
                <w:sz w:val="18"/>
                <w:szCs w:val="18"/>
                <w:lang w:val="ru-RU"/>
              </w:rPr>
              <w:t>:</w:t>
            </w:r>
            <w:r w:rsidRPr="002C04A0">
              <w:rPr>
                <w:rFonts w:asciiTheme="minorHAnsi" w:hAnsiTheme="minorHAnsi"/>
                <w:sz w:val="18"/>
                <w:szCs w:val="18"/>
                <w:lang w:val="ru-RU"/>
              </w:rPr>
              <w:tab/>
            </w:r>
            <w:r w:rsidRPr="002C04A0">
              <w:rPr>
                <w:rFonts w:asciiTheme="minorHAnsi" w:hAnsiTheme="minorHAnsi"/>
                <w:sz w:val="18"/>
                <w:szCs w:val="18"/>
              </w:rPr>
              <w:t>Publications UIT-R</w:t>
            </w:r>
          </w:p>
        </w:tc>
        <w:tc>
          <w:tcPr>
            <w:tcW w:w="906" w:type="dxa"/>
            <w:tcBorders>
              <w:top w:val="single" w:sz="4" w:space="0" w:color="auto"/>
            </w:tcBorders>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13,69%</w:t>
            </w:r>
          </w:p>
        </w:tc>
        <w:tc>
          <w:tcPr>
            <w:tcW w:w="980" w:type="dxa"/>
            <w:tcBorders>
              <w:top w:val="single" w:sz="4" w:space="0" w:color="auto"/>
            </w:tcBorders>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53,05%</w:t>
            </w:r>
          </w:p>
        </w:tc>
      </w:tr>
      <w:tr w:rsidR="00081D6E" w:rsidRPr="002C04A0" w:rsidTr="00081D6E">
        <w:tc>
          <w:tcPr>
            <w:tcW w:w="7230" w:type="dxa"/>
            <w:vMerge/>
          </w:tcPr>
          <w:p w:rsidR="00081D6E" w:rsidRPr="002C04A0" w:rsidRDefault="00081D6E" w:rsidP="00BE6EEC">
            <w:pPr>
              <w:pStyle w:val="Tabletext"/>
              <w:tabs>
                <w:tab w:val="clear" w:pos="1985"/>
              </w:tabs>
              <w:spacing w:before="60" w:after="60"/>
              <w:ind w:right="340"/>
              <w:jc w:val="right"/>
              <w:rPr>
                <w:rFonts w:asciiTheme="minorHAnsi" w:hAnsiTheme="minorHAnsi"/>
                <w:b/>
                <w:bCs/>
                <w:sz w:val="18"/>
                <w:szCs w:val="18"/>
                <w:lang w:val="ru-RU"/>
              </w:rPr>
            </w:pPr>
          </w:p>
        </w:tc>
        <w:tc>
          <w:tcPr>
            <w:tcW w:w="5386" w:type="dxa"/>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R.3-2</w:t>
            </w:r>
            <w:r w:rsidRPr="002C04A0">
              <w:rPr>
                <w:rFonts w:asciiTheme="minorHAnsi" w:hAnsiTheme="minorHAnsi"/>
                <w:sz w:val="18"/>
                <w:szCs w:val="18"/>
                <w:lang w:val="fr-CH"/>
              </w:rPr>
              <w:t>:</w:t>
            </w:r>
            <w:r w:rsidRPr="002C04A0">
              <w:rPr>
                <w:rFonts w:asciiTheme="minorHAnsi" w:hAnsiTheme="minorHAnsi"/>
                <w:sz w:val="18"/>
                <w:szCs w:val="18"/>
                <w:lang w:val="fr-CH"/>
              </w:rPr>
              <w:tab/>
              <w:t>Assistance aux membres, en particulier ceux des pays en développement et des PMA</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3,72%</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14,41%</w:t>
            </w:r>
          </w:p>
        </w:tc>
      </w:tr>
      <w:tr w:rsidR="00081D6E" w:rsidRPr="002C04A0" w:rsidTr="00081D6E">
        <w:tc>
          <w:tcPr>
            <w:tcW w:w="7230" w:type="dxa"/>
            <w:vMerge/>
          </w:tcPr>
          <w:p w:rsidR="00081D6E" w:rsidRPr="002C04A0" w:rsidRDefault="00081D6E" w:rsidP="00BE6EEC">
            <w:pPr>
              <w:pStyle w:val="Tabletext"/>
              <w:spacing w:before="60" w:after="60"/>
              <w:ind w:right="340"/>
              <w:jc w:val="right"/>
              <w:rPr>
                <w:rFonts w:asciiTheme="minorHAnsi" w:hAnsiTheme="minorHAnsi"/>
                <w:b/>
                <w:bCs/>
                <w:sz w:val="18"/>
                <w:szCs w:val="18"/>
                <w:lang w:val="ru-RU"/>
              </w:rPr>
            </w:pPr>
          </w:p>
        </w:tc>
        <w:tc>
          <w:tcPr>
            <w:tcW w:w="5386" w:type="dxa"/>
            <w:tcBorders>
              <w:bottom w:val="nil"/>
            </w:tcBorders>
          </w:tcPr>
          <w:p w:rsidR="00081D6E" w:rsidRPr="002C04A0" w:rsidRDefault="00081D6E" w:rsidP="00BE6EEC">
            <w:pPr>
              <w:pStyle w:val="Tabletext"/>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R.3-3</w:t>
            </w:r>
            <w:r w:rsidRPr="002C04A0">
              <w:rPr>
                <w:rFonts w:asciiTheme="minorHAnsi" w:hAnsiTheme="minorHAnsi"/>
                <w:sz w:val="18"/>
                <w:szCs w:val="18"/>
                <w:lang w:val="fr-CH"/>
              </w:rPr>
              <w:t>:</w:t>
            </w:r>
            <w:r w:rsidRPr="002C04A0">
              <w:rPr>
                <w:rFonts w:asciiTheme="minorHAnsi" w:hAnsiTheme="minorHAnsi"/>
                <w:sz w:val="18"/>
                <w:szCs w:val="18"/>
                <w:lang w:val="fr-CH"/>
              </w:rPr>
              <w:tab/>
              <w:t>Liaison/appui concernant les activités de développement</w:t>
            </w:r>
          </w:p>
        </w:tc>
        <w:tc>
          <w:tcPr>
            <w:tcW w:w="906" w:type="dxa"/>
            <w:tcBorders>
              <w:bottom w:val="nil"/>
            </w:tcBorders>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2,08%</w:t>
            </w:r>
          </w:p>
        </w:tc>
        <w:tc>
          <w:tcPr>
            <w:tcW w:w="980" w:type="dxa"/>
            <w:tcBorders>
              <w:bottom w:val="nil"/>
            </w:tcBorders>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8,08%</w:t>
            </w:r>
          </w:p>
        </w:tc>
      </w:tr>
      <w:tr w:rsidR="00081D6E" w:rsidRPr="002C04A0" w:rsidTr="00081D6E">
        <w:tc>
          <w:tcPr>
            <w:tcW w:w="7230" w:type="dxa"/>
            <w:vMerge/>
          </w:tcPr>
          <w:p w:rsidR="00081D6E" w:rsidRPr="002C04A0" w:rsidRDefault="00081D6E" w:rsidP="00BE6EEC">
            <w:pPr>
              <w:pStyle w:val="Tabletext"/>
              <w:spacing w:before="0" w:after="0"/>
              <w:ind w:right="340"/>
              <w:jc w:val="right"/>
              <w:rPr>
                <w:rFonts w:asciiTheme="minorHAnsi" w:hAnsiTheme="minorHAnsi"/>
                <w:b/>
                <w:bCs/>
                <w:sz w:val="18"/>
                <w:szCs w:val="18"/>
                <w:lang w:val="ru-RU"/>
              </w:rPr>
            </w:pPr>
          </w:p>
        </w:tc>
        <w:tc>
          <w:tcPr>
            <w:tcW w:w="5386" w:type="dxa"/>
          </w:tcPr>
          <w:p w:rsidR="00081D6E" w:rsidRPr="002C04A0" w:rsidRDefault="00081D6E" w:rsidP="00BE6EEC">
            <w:pPr>
              <w:pStyle w:val="Tabletext"/>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R.3-4</w:t>
            </w:r>
            <w:r w:rsidRPr="002C04A0">
              <w:rPr>
                <w:rFonts w:asciiTheme="minorHAnsi" w:hAnsiTheme="minorHAnsi"/>
                <w:sz w:val="18"/>
                <w:szCs w:val="18"/>
                <w:lang w:val="fr-CH"/>
              </w:rPr>
              <w:t>:</w:t>
            </w:r>
            <w:r w:rsidRPr="002C04A0">
              <w:rPr>
                <w:rFonts w:asciiTheme="minorHAnsi" w:hAnsiTheme="minorHAnsi"/>
                <w:sz w:val="18"/>
                <w:szCs w:val="18"/>
                <w:lang w:val="fr-CH"/>
              </w:rPr>
              <w:tab/>
              <w:t>Séminaires, ateliers et autres</w:t>
            </w:r>
          </w:p>
        </w:tc>
        <w:tc>
          <w:tcPr>
            <w:tcW w:w="906" w:type="dxa"/>
            <w:vAlign w:val="bottom"/>
          </w:tcPr>
          <w:p w:rsidR="00081D6E" w:rsidRPr="002C04A0" w:rsidRDefault="00081D6E" w:rsidP="00BE6EEC">
            <w:pPr>
              <w:pStyle w:val="Tabletext"/>
              <w:spacing w:before="30" w:after="30"/>
              <w:ind w:right="113"/>
              <w:jc w:val="right"/>
              <w:rPr>
                <w:rFonts w:asciiTheme="minorHAnsi" w:hAnsiTheme="minorHAnsi"/>
                <w:sz w:val="18"/>
                <w:szCs w:val="18"/>
                <w:lang w:val="fr-CH"/>
              </w:rPr>
            </w:pPr>
            <w:r w:rsidRPr="002C04A0">
              <w:rPr>
                <w:rFonts w:asciiTheme="minorHAnsi" w:hAnsiTheme="minorHAnsi"/>
                <w:sz w:val="18"/>
                <w:szCs w:val="18"/>
                <w:lang w:val="fr-CH"/>
              </w:rPr>
              <w:t>5,31%</w:t>
            </w:r>
          </w:p>
        </w:tc>
        <w:tc>
          <w:tcPr>
            <w:tcW w:w="980" w:type="dxa"/>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fr-CH"/>
              </w:rPr>
            </w:pPr>
            <w:r w:rsidRPr="002C04A0">
              <w:rPr>
                <w:rFonts w:asciiTheme="minorHAnsi" w:hAnsiTheme="minorHAnsi"/>
                <w:b/>
                <w:bCs/>
                <w:sz w:val="18"/>
                <w:szCs w:val="18"/>
                <w:lang w:val="fr-CH"/>
              </w:rPr>
              <w:t>20,60%</w:t>
            </w:r>
          </w:p>
        </w:tc>
      </w:tr>
      <w:tr w:rsidR="00081D6E" w:rsidRPr="002C04A0" w:rsidTr="00081D6E">
        <w:tc>
          <w:tcPr>
            <w:tcW w:w="7230" w:type="dxa"/>
            <w:vMerge/>
          </w:tcPr>
          <w:p w:rsidR="00081D6E" w:rsidRPr="002C04A0" w:rsidRDefault="00081D6E" w:rsidP="00BE6EEC">
            <w:pPr>
              <w:pStyle w:val="Tabletext"/>
              <w:ind w:right="340"/>
              <w:jc w:val="right"/>
              <w:rPr>
                <w:rFonts w:asciiTheme="minorHAnsi" w:hAnsiTheme="minorHAnsi"/>
                <w:b/>
                <w:bCs/>
                <w:sz w:val="18"/>
                <w:szCs w:val="18"/>
                <w:lang w:val="fr-CH"/>
              </w:rPr>
            </w:pPr>
          </w:p>
        </w:tc>
        <w:tc>
          <w:tcPr>
            <w:tcW w:w="5386" w:type="dxa"/>
            <w:tcBorders>
              <w:top w:val="single" w:sz="4" w:space="0" w:color="auto"/>
            </w:tcBorders>
          </w:tcPr>
          <w:p w:rsidR="00081D6E" w:rsidRPr="002C04A0" w:rsidRDefault="00081D6E" w:rsidP="00BE6EEC">
            <w:pPr>
              <w:pStyle w:val="Tabletext"/>
              <w:tabs>
                <w:tab w:val="clear" w:pos="1985"/>
              </w:tabs>
              <w:spacing w:before="30" w:after="30"/>
              <w:ind w:left="567" w:hanging="567"/>
              <w:rPr>
                <w:rFonts w:asciiTheme="minorHAnsi" w:hAnsiTheme="minorHAnsi"/>
                <w:sz w:val="18"/>
                <w:szCs w:val="18"/>
                <w:lang w:val="fr-CH"/>
              </w:rPr>
            </w:pPr>
            <w:r w:rsidRPr="002C04A0">
              <w:rPr>
                <w:rFonts w:asciiTheme="minorHAnsi" w:hAnsiTheme="minorHAnsi"/>
                <w:b/>
                <w:bCs/>
                <w:color w:val="548DD4" w:themeColor="text2" w:themeTint="99"/>
                <w:sz w:val="18"/>
                <w:szCs w:val="18"/>
                <w:lang w:val="fr-CH"/>
              </w:rPr>
              <w:t>PP:</w:t>
            </w:r>
            <w:r w:rsidRPr="002C04A0">
              <w:rPr>
                <w:rFonts w:asciiTheme="minorHAnsi" w:hAnsiTheme="minorHAnsi"/>
                <w:sz w:val="18"/>
                <w:szCs w:val="18"/>
                <w:lang w:val="fr-CH"/>
              </w:rPr>
              <w:t xml:space="preserve"> </w:t>
            </w:r>
            <w:r w:rsidRPr="002C04A0">
              <w:rPr>
                <w:rFonts w:asciiTheme="minorHAnsi" w:hAnsiTheme="minorHAnsi"/>
                <w:sz w:val="18"/>
                <w:szCs w:val="18"/>
                <w:lang w:val="fr-CH"/>
              </w:rPr>
              <w:tab/>
              <w:t>Décisions, résolutions, recommandations et autres résultats des travaux de la Conférence de plénipotentiaires</w:t>
            </w:r>
            <w:r w:rsidRPr="002C04A0">
              <w:rPr>
                <w:rFonts w:asciiTheme="minorHAnsi" w:eastAsia="Calibri" w:hAnsiTheme="minorHAnsi" w:cs="Arial"/>
                <w:sz w:val="18"/>
                <w:szCs w:val="18"/>
                <w:lang w:val="fr-CH"/>
              </w:rPr>
              <w:t>*</w:t>
            </w:r>
          </w:p>
        </w:tc>
        <w:tc>
          <w:tcPr>
            <w:tcW w:w="906" w:type="dxa"/>
            <w:tcBorders>
              <w:top w:val="single" w:sz="4" w:space="0" w:color="auto"/>
            </w:tcBorders>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1,52%</w:t>
            </w:r>
          </w:p>
        </w:tc>
        <w:tc>
          <w:tcPr>
            <w:tcW w:w="980" w:type="dxa"/>
            <w:tcBorders>
              <w:top w:val="single" w:sz="4" w:space="0" w:color="auto"/>
            </w:tcBorders>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1,52%</w:t>
            </w:r>
          </w:p>
        </w:tc>
      </w:tr>
      <w:tr w:rsidR="00081D6E" w:rsidRPr="002C04A0" w:rsidTr="00081D6E">
        <w:tc>
          <w:tcPr>
            <w:tcW w:w="7230" w:type="dxa"/>
            <w:vMerge/>
          </w:tcPr>
          <w:p w:rsidR="00081D6E" w:rsidRPr="002C04A0" w:rsidRDefault="00081D6E" w:rsidP="00BE6EEC">
            <w:pPr>
              <w:pStyle w:val="Tabletext"/>
              <w:tabs>
                <w:tab w:val="clear" w:pos="1985"/>
              </w:tabs>
              <w:spacing w:before="0"/>
              <w:ind w:right="340"/>
              <w:jc w:val="right"/>
              <w:rPr>
                <w:rFonts w:asciiTheme="minorHAnsi" w:hAnsiTheme="minorHAnsi"/>
                <w:b/>
                <w:bCs/>
                <w:sz w:val="18"/>
                <w:szCs w:val="18"/>
                <w:lang w:val="ru-RU"/>
              </w:rPr>
            </w:pPr>
          </w:p>
        </w:tc>
        <w:tc>
          <w:tcPr>
            <w:tcW w:w="5386" w:type="dxa"/>
            <w:tcBorders>
              <w:bottom w:val="single" w:sz="4" w:space="0" w:color="auto"/>
            </w:tcBorders>
          </w:tcPr>
          <w:p w:rsidR="00081D6E" w:rsidRPr="002C04A0" w:rsidRDefault="00081D6E" w:rsidP="00BE6EEC">
            <w:pPr>
              <w:pStyle w:val="Tabletext"/>
              <w:tabs>
                <w:tab w:val="clear" w:pos="1985"/>
              </w:tabs>
              <w:spacing w:before="30" w:after="30"/>
              <w:ind w:left="567" w:hanging="567"/>
              <w:rPr>
                <w:rFonts w:asciiTheme="minorHAnsi" w:hAnsiTheme="minorHAnsi"/>
                <w:b/>
                <w:bCs/>
                <w:color w:val="548DD4" w:themeColor="text2" w:themeTint="99"/>
                <w:sz w:val="18"/>
                <w:szCs w:val="18"/>
                <w:lang w:val="fr-CH"/>
              </w:rPr>
            </w:pPr>
            <w:r w:rsidRPr="002C04A0">
              <w:rPr>
                <w:rFonts w:asciiTheme="minorHAnsi" w:hAnsiTheme="minorHAnsi"/>
                <w:b/>
                <w:bCs/>
                <w:color w:val="548DD4" w:themeColor="text2" w:themeTint="99"/>
                <w:sz w:val="18"/>
                <w:szCs w:val="18"/>
                <w:lang w:val="fr-CH"/>
              </w:rPr>
              <w:t>Conseil/GTC:</w:t>
            </w:r>
            <w:r w:rsidRPr="002C04A0">
              <w:rPr>
                <w:rFonts w:asciiTheme="minorHAnsi" w:hAnsiTheme="minorHAnsi"/>
                <w:sz w:val="18"/>
                <w:szCs w:val="18"/>
                <w:lang w:val="fr-CH"/>
              </w:rPr>
              <w:t xml:space="preserve"> </w:t>
            </w:r>
            <w:r w:rsidRPr="002C04A0">
              <w:rPr>
                <w:rFonts w:asciiTheme="minorHAnsi" w:hAnsiTheme="minorHAnsi"/>
                <w:sz w:val="18"/>
                <w:szCs w:val="18"/>
                <w:lang w:val="fr-CH"/>
              </w:rPr>
              <w:tab/>
              <w:t>Décisions et résolutions du Conseil et résultats des travaux des groupes de travail du Conseil</w:t>
            </w:r>
            <w:r w:rsidRPr="002C04A0">
              <w:rPr>
                <w:rFonts w:asciiTheme="minorHAnsi" w:eastAsia="Calibri" w:hAnsiTheme="minorHAnsi" w:cs="Arial"/>
                <w:sz w:val="18"/>
                <w:szCs w:val="18"/>
                <w:lang w:val="fr-CH"/>
              </w:rPr>
              <w:t>*</w:t>
            </w:r>
          </w:p>
        </w:tc>
        <w:tc>
          <w:tcPr>
            <w:tcW w:w="906" w:type="dxa"/>
            <w:tcBorders>
              <w:bottom w:val="single" w:sz="4" w:space="0" w:color="auto"/>
            </w:tcBorders>
            <w:vAlign w:val="bottom"/>
          </w:tcPr>
          <w:p w:rsidR="00081D6E" w:rsidRPr="002C04A0" w:rsidRDefault="00081D6E" w:rsidP="00BE6EEC">
            <w:pPr>
              <w:pStyle w:val="Tabletext"/>
              <w:spacing w:before="30" w:after="30"/>
              <w:ind w:right="113"/>
              <w:jc w:val="right"/>
              <w:rPr>
                <w:rFonts w:asciiTheme="minorHAnsi" w:hAnsiTheme="minorHAnsi"/>
                <w:sz w:val="18"/>
                <w:szCs w:val="18"/>
                <w:lang w:val="ru-RU"/>
              </w:rPr>
            </w:pPr>
            <w:r w:rsidRPr="002C04A0">
              <w:rPr>
                <w:rFonts w:asciiTheme="minorHAnsi" w:hAnsiTheme="minorHAnsi"/>
                <w:sz w:val="18"/>
                <w:szCs w:val="18"/>
                <w:lang w:val="ru-RU"/>
              </w:rPr>
              <w:t>2,34%</w:t>
            </w:r>
          </w:p>
        </w:tc>
        <w:tc>
          <w:tcPr>
            <w:tcW w:w="980" w:type="dxa"/>
            <w:tcBorders>
              <w:bottom w:val="single" w:sz="4" w:space="0" w:color="auto"/>
            </w:tcBorders>
            <w:vAlign w:val="bottom"/>
          </w:tcPr>
          <w:p w:rsidR="00081D6E" w:rsidRPr="002C04A0" w:rsidRDefault="00081D6E" w:rsidP="00BE6EEC">
            <w:pPr>
              <w:pStyle w:val="Tabletext"/>
              <w:tabs>
                <w:tab w:val="clear" w:pos="567"/>
                <w:tab w:val="left" w:pos="577"/>
              </w:tabs>
              <w:spacing w:before="30" w:after="30"/>
              <w:ind w:right="113"/>
              <w:jc w:val="right"/>
              <w:rPr>
                <w:rFonts w:asciiTheme="minorHAnsi" w:hAnsiTheme="minorHAnsi"/>
                <w:b/>
                <w:bCs/>
                <w:sz w:val="18"/>
                <w:szCs w:val="18"/>
                <w:lang w:val="ru-RU"/>
              </w:rPr>
            </w:pPr>
            <w:r w:rsidRPr="002C04A0">
              <w:rPr>
                <w:rFonts w:asciiTheme="minorHAnsi" w:hAnsiTheme="minorHAnsi"/>
                <w:b/>
                <w:bCs/>
                <w:sz w:val="18"/>
                <w:szCs w:val="18"/>
                <w:lang w:val="ru-RU"/>
              </w:rPr>
              <w:t>2,34%</w:t>
            </w:r>
          </w:p>
        </w:tc>
      </w:tr>
      <w:tr w:rsidR="00081D6E" w:rsidRPr="002C04A0" w:rsidTr="00081D6E">
        <w:tc>
          <w:tcPr>
            <w:tcW w:w="7230" w:type="dxa"/>
            <w:vMerge/>
          </w:tcPr>
          <w:p w:rsidR="00081D6E" w:rsidRPr="002C04A0" w:rsidRDefault="00081D6E" w:rsidP="00BE6EEC">
            <w:pPr>
              <w:pStyle w:val="Tabletext"/>
              <w:tabs>
                <w:tab w:val="clear" w:pos="1985"/>
              </w:tabs>
              <w:ind w:right="340"/>
              <w:jc w:val="right"/>
              <w:rPr>
                <w:rFonts w:asciiTheme="minorHAnsi" w:hAnsiTheme="minorHAnsi"/>
                <w:b/>
                <w:bCs/>
                <w:sz w:val="18"/>
                <w:szCs w:val="18"/>
                <w:lang w:val="ru-RU"/>
              </w:rPr>
            </w:pPr>
          </w:p>
        </w:tc>
        <w:tc>
          <w:tcPr>
            <w:tcW w:w="7272" w:type="dxa"/>
            <w:gridSpan w:val="3"/>
            <w:tcBorders>
              <w:top w:val="single" w:sz="4" w:space="0" w:color="auto"/>
            </w:tcBorders>
          </w:tcPr>
          <w:p w:rsidR="00081D6E" w:rsidRPr="002C04A0" w:rsidRDefault="00081D6E" w:rsidP="00BE6EEC">
            <w:pPr>
              <w:pStyle w:val="Tabletext"/>
              <w:tabs>
                <w:tab w:val="clear" w:pos="1985"/>
              </w:tabs>
              <w:spacing w:before="30" w:after="30"/>
              <w:ind w:left="284" w:hanging="284"/>
              <w:rPr>
                <w:rFonts w:asciiTheme="minorHAnsi" w:hAnsiTheme="minorHAnsi"/>
                <w:b/>
                <w:bCs/>
                <w:sz w:val="18"/>
                <w:szCs w:val="18"/>
                <w:lang w:val="fr-CH"/>
              </w:rPr>
            </w:pPr>
            <w:r w:rsidRPr="002C04A0">
              <w:rPr>
                <w:rFonts w:asciiTheme="minorHAnsi" w:hAnsiTheme="minorHAnsi"/>
                <w:sz w:val="18"/>
                <w:szCs w:val="18"/>
                <w:lang w:val="fr-CH"/>
              </w:rPr>
              <w:t>*</w:t>
            </w:r>
            <w:r w:rsidRPr="002C04A0">
              <w:rPr>
                <w:rFonts w:asciiTheme="minorHAnsi" w:hAnsiTheme="minorHAnsi"/>
                <w:sz w:val="18"/>
                <w:szCs w:val="18"/>
                <w:lang w:val="fr-CH"/>
              </w:rPr>
              <w:tab/>
              <w:t>Le coût de ces produits est imputé à tous les objectifs de l'Union.</w:t>
            </w:r>
          </w:p>
        </w:tc>
      </w:tr>
    </w:tbl>
    <w:p w:rsidR="00081D6E" w:rsidRPr="002C04A0" w:rsidRDefault="00081D6E" w:rsidP="00AD1506">
      <w:pPr>
        <w:pStyle w:val="Heading1"/>
        <w:spacing w:before="240" w:line="240" w:lineRule="auto"/>
        <w:rPr>
          <w:rFonts w:asciiTheme="minorHAnsi" w:hAnsiTheme="minorHAnsi"/>
          <w:sz w:val="28"/>
          <w:szCs w:val="28"/>
          <w:lang w:val="fr-CH"/>
        </w:rPr>
      </w:pPr>
      <w:r w:rsidRPr="002C04A0">
        <w:rPr>
          <w:rFonts w:asciiTheme="minorHAnsi" w:hAnsiTheme="minorHAnsi"/>
          <w:sz w:val="28"/>
          <w:szCs w:val="28"/>
          <w:lang w:val="fr-CH"/>
        </w:rPr>
        <w:lastRenderedPageBreak/>
        <w:t>4</w:t>
      </w:r>
      <w:r w:rsidRPr="002C04A0">
        <w:rPr>
          <w:rFonts w:asciiTheme="minorHAnsi" w:hAnsiTheme="minorHAnsi"/>
          <w:sz w:val="28"/>
          <w:szCs w:val="28"/>
          <w:lang w:val="fr-CH"/>
        </w:rPr>
        <w:tab/>
        <w:t>Analyse des risques</w:t>
      </w:r>
    </w:p>
    <w:p w:rsidR="00081D6E" w:rsidRPr="002C04A0" w:rsidRDefault="00081D6E" w:rsidP="00BA16FB">
      <w:pPr>
        <w:spacing w:before="100" w:after="120" w:line="240" w:lineRule="auto"/>
        <w:rPr>
          <w:rFonts w:asciiTheme="minorHAnsi" w:hAnsiTheme="minorHAnsi"/>
          <w:lang w:val="fr-CH"/>
        </w:rPr>
      </w:pPr>
      <w:r w:rsidRPr="002C04A0">
        <w:rPr>
          <w:rFonts w:asciiTheme="minorHAnsi" w:hAnsiTheme="minorHAnsi"/>
          <w:lang w:val="fr-CH"/>
        </w:rPr>
        <w:t>Dans l'optique du passage de la stratégie à la mise en oeuvre, les risques opérationnels de premier niveau présentés dans le tableau suivant ont été identifiés, analysés et évalués. Les Bureaux et chaque Département géreront l'ensemble des risques associés aux résultats correspondants.</w:t>
      </w:r>
    </w:p>
    <w:tbl>
      <w:tblPr>
        <w:tblStyle w:val="GridTable4-Accent12"/>
        <w:tblW w:w="14738" w:type="dxa"/>
        <w:tblInd w:w="5" w:type="dxa"/>
        <w:tblLook w:val="04A0" w:firstRow="1" w:lastRow="0" w:firstColumn="1" w:lastColumn="0" w:noHBand="0" w:noVBand="1"/>
      </w:tblPr>
      <w:tblGrid>
        <w:gridCol w:w="2090"/>
        <w:gridCol w:w="3514"/>
        <w:gridCol w:w="1427"/>
        <w:gridCol w:w="1397"/>
        <w:gridCol w:w="6310"/>
      </w:tblGrid>
      <w:tr w:rsidR="00081D6E" w:rsidRPr="002C04A0" w:rsidTr="00BA1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0" w:type="dxa"/>
            <w:hideMark/>
          </w:tcPr>
          <w:p w:rsidR="00081D6E" w:rsidRPr="002C04A0" w:rsidRDefault="00081D6E" w:rsidP="00BE6EEC">
            <w:pPr>
              <w:pStyle w:val="Tablehead"/>
              <w:spacing w:before="60" w:after="60"/>
              <w:rPr>
                <w:b/>
                <w:bCs w:val="0"/>
              </w:rPr>
            </w:pPr>
            <w:r w:rsidRPr="002C04A0">
              <w:rPr>
                <w:b/>
                <w:bCs w:val="0"/>
              </w:rPr>
              <w:t>TYPE DE RISQUES</w:t>
            </w:r>
          </w:p>
        </w:tc>
        <w:tc>
          <w:tcPr>
            <w:tcW w:w="3514" w:type="dxa"/>
            <w:hideMark/>
          </w:tcPr>
          <w:p w:rsidR="00081D6E" w:rsidRPr="002C04A0" w:rsidRDefault="00081D6E" w:rsidP="00BE6EEC">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rPr>
            </w:pPr>
            <w:r w:rsidRPr="002C04A0">
              <w:rPr>
                <w:b/>
                <w:bCs w:val="0"/>
              </w:rPr>
              <w:t>DESCRIPTION DES RISQUES</w:t>
            </w:r>
          </w:p>
        </w:tc>
        <w:tc>
          <w:tcPr>
            <w:tcW w:w="1427" w:type="dxa"/>
            <w:hideMark/>
          </w:tcPr>
          <w:p w:rsidR="00081D6E" w:rsidRPr="002C04A0" w:rsidRDefault="00081D6E" w:rsidP="00BE6EEC">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rPr>
            </w:pPr>
            <w:r w:rsidRPr="002C04A0">
              <w:rPr>
                <w:b/>
                <w:bCs w:val="0"/>
              </w:rPr>
              <w:t>PROBABILITE</w:t>
            </w:r>
          </w:p>
        </w:tc>
        <w:tc>
          <w:tcPr>
            <w:tcW w:w="1397" w:type="dxa"/>
            <w:hideMark/>
          </w:tcPr>
          <w:p w:rsidR="00081D6E" w:rsidRPr="002C04A0" w:rsidRDefault="00081D6E" w:rsidP="00BE6EEC">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rPr>
            </w:pPr>
            <w:r w:rsidRPr="002C04A0">
              <w:rPr>
                <w:b/>
                <w:bCs w:val="0"/>
              </w:rPr>
              <w:t>NIVEAU D'INCIDENCE</w:t>
            </w:r>
          </w:p>
        </w:tc>
        <w:tc>
          <w:tcPr>
            <w:tcW w:w="6310" w:type="dxa"/>
            <w:hideMark/>
          </w:tcPr>
          <w:p w:rsidR="00081D6E" w:rsidRPr="002C04A0" w:rsidRDefault="00081D6E" w:rsidP="00BE6EEC">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rPr>
            </w:pPr>
            <w:r w:rsidRPr="002C04A0">
              <w:rPr>
                <w:b/>
                <w:bCs w:val="0"/>
              </w:rPr>
              <w:t>MESURES D'ATTENUATION</w:t>
            </w:r>
            <w:r w:rsidRPr="002C04A0">
              <w:rPr>
                <w:rStyle w:val="FootnoteReference"/>
                <w:rFonts w:cstheme="minorHAnsi"/>
                <w:b/>
                <w:bCs w:val="0"/>
              </w:rPr>
              <w:footnoteReference w:id="5"/>
            </w:r>
          </w:p>
        </w:tc>
      </w:tr>
      <w:tr w:rsidR="00081D6E" w:rsidRPr="002C04A0" w:rsidTr="00BA16FB">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90"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A16FB">
            <w:pPr>
              <w:pStyle w:val="Tabletext"/>
            </w:pPr>
            <w:r w:rsidRPr="002C04A0">
              <w:t>RISQUES OPÉRATIONNELS</w:t>
            </w:r>
          </w:p>
        </w:tc>
        <w:tc>
          <w:tcPr>
            <w:tcW w:w="351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tabs>
                <w:tab w:val="left" w:pos="445"/>
              </w:tabs>
              <w:spacing w:after="20"/>
              <w:ind w:left="320" w:hanging="320"/>
              <w:cnfStyle w:val="000000100000" w:firstRow="0" w:lastRow="0" w:firstColumn="0" w:lastColumn="0" w:oddVBand="0" w:evenVBand="0" w:oddHBand="1" w:evenHBand="0" w:firstRowFirstColumn="0" w:firstRowLastColumn="0" w:lastRowFirstColumn="0" w:lastRowLastColumn="0"/>
              <w:rPr>
                <w:rFonts w:eastAsia="Times New Roman"/>
                <w:szCs w:val="20"/>
                <w:lang w:val="fr-CH"/>
              </w:rPr>
            </w:pPr>
            <w:r w:rsidRPr="002C04A0">
              <w:rPr>
                <w:rFonts w:eastAsia="Times New Roman"/>
                <w:szCs w:val="20"/>
                <w:lang w:val="fr-CH"/>
              </w:rPr>
              <w:t>a)</w:t>
            </w:r>
            <w:r w:rsidRPr="002C04A0">
              <w:rPr>
                <w:rFonts w:eastAsia="Times New Roman"/>
                <w:szCs w:val="20"/>
                <w:lang w:val="fr-CH"/>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081D6E" w:rsidRPr="002C04A0" w:rsidRDefault="00081D6E" w:rsidP="00BE6EEC">
            <w:pPr>
              <w:pStyle w:val="Tabletext"/>
              <w:tabs>
                <w:tab w:val="left" w:pos="445"/>
              </w:tabs>
              <w:spacing w:after="20"/>
              <w:ind w:left="320" w:hanging="320"/>
              <w:cnfStyle w:val="000000100000" w:firstRow="0" w:lastRow="0" w:firstColumn="0" w:lastColumn="0" w:oddVBand="0" w:evenVBand="0" w:oddHBand="1" w:evenHBand="0" w:firstRowFirstColumn="0" w:firstRowLastColumn="0" w:lastRowFirstColumn="0" w:lastRowLastColumn="0"/>
              <w:rPr>
                <w:rFonts w:eastAsia="Times New Roman"/>
                <w:szCs w:val="20"/>
                <w:lang w:val="fr-CH"/>
              </w:rPr>
            </w:pPr>
            <w:r w:rsidRPr="002C04A0">
              <w:rPr>
                <w:rFonts w:eastAsia="Times New Roman"/>
                <w:szCs w:val="20"/>
                <w:lang w:val="fr-CH"/>
              </w:rPr>
              <w:t>b)</w:t>
            </w:r>
            <w:r w:rsidRPr="002C04A0">
              <w:rPr>
                <w:rFonts w:eastAsia="Times New Roman"/>
                <w:szCs w:val="20"/>
                <w:lang w:val="fr-CH"/>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42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spacing w:after="20"/>
              <w:cnfStyle w:val="000000100000" w:firstRow="0" w:lastRow="0" w:firstColumn="0" w:lastColumn="0" w:oddVBand="0" w:evenVBand="0" w:oddHBand="1" w:evenHBand="0" w:firstRowFirstColumn="0" w:firstRowLastColumn="0" w:lastRowFirstColumn="0" w:lastRowLastColumn="0"/>
              <w:rPr>
                <w:rFonts w:eastAsia="Times New Roman"/>
                <w:szCs w:val="20"/>
              </w:rPr>
            </w:pPr>
            <w:r w:rsidRPr="002C04A0">
              <w:rPr>
                <w:rFonts w:eastAsia="Times New Roman"/>
                <w:szCs w:val="20"/>
              </w:rPr>
              <w:t>Faible</w:t>
            </w:r>
          </w:p>
        </w:tc>
        <w:tc>
          <w:tcPr>
            <w:tcW w:w="1397"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spacing w:after="20"/>
              <w:cnfStyle w:val="000000100000" w:firstRow="0" w:lastRow="0" w:firstColumn="0" w:lastColumn="0" w:oddVBand="0" w:evenVBand="0" w:oddHBand="1" w:evenHBand="0" w:firstRowFirstColumn="0" w:firstRowLastColumn="0" w:lastRowFirstColumn="0" w:lastRowLastColumn="0"/>
              <w:rPr>
                <w:rFonts w:eastAsia="Times New Roman"/>
                <w:szCs w:val="20"/>
              </w:rPr>
            </w:pPr>
            <w:r w:rsidRPr="002C04A0">
              <w:rPr>
                <w:rFonts w:eastAsia="Times New Roman"/>
                <w:szCs w:val="20"/>
              </w:rPr>
              <w:t>Très élevé</w:t>
            </w:r>
          </w:p>
        </w:tc>
        <w:tc>
          <w:tcPr>
            <w:tcW w:w="631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tabs>
                <w:tab w:val="left" w:pos="328"/>
              </w:tabs>
              <w:spacing w:after="20"/>
              <w:ind w:left="300" w:hanging="300"/>
              <w:cnfStyle w:val="000000100000" w:firstRow="0" w:lastRow="0" w:firstColumn="0" w:lastColumn="0" w:oddVBand="0" w:evenVBand="0" w:oddHBand="1" w:evenHBand="0" w:firstRowFirstColumn="0" w:firstRowLastColumn="0" w:lastRowFirstColumn="0" w:lastRowLastColumn="0"/>
              <w:rPr>
                <w:szCs w:val="20"/>
                <w:lang w:val="fr-CH"/>
              </w:rPr>
            </w:pPr>
            <w:r w:rsidRPr="002C04A0">
              <w:rPr>
                <w:lang w:val="fr-CH"/>
              </w:rPr>
              <w:t>–</w:t>
            </w:r>
            <w:r w:rsidRPr="002C04A0">
              <w:rPr>
                <w:szCs w:val="20"/>
                <w:lang w:val="fr-CH"/>
              </w:rPr>
              <w:tab/>
              <w:t>Copie de secours quotidienne des données</w:t>
            </w:r>
          </w:p>
          <w:p w:rsidR="00081D6E" w:rsidRPr="002C04A0" w:rsidRDefault="00081D6E" w:rsidP="00BE6EEC">
            <w:pPr>
              <w:pStyle w:val="Tabletext"/>
              <w:tabs>
                <w:tab w:val="left" w:pos="328"/>
              </w:tabs>
              <w:spacing w:after="20"/>
              <w:ind w:left="300" w:hanging="300"/>
              <w:cnfStyle w:val="000000100000" w:firstRow="0" w:lastRow="0" w:firstColumn="0" w:lastColumn="0" w:oddVBand="0" w:evenVBand="0" w:oddHBand="1" w:evenHBand="0" w:firstRowFirstColumn="0" w:firstRowLastColumn="0" w:lastRowFirstColumn="0" w:lastRowLastColumn="0"/>
              <w:rPr>
                <w:szCs w:val="20"/>
                <w:lang w:val="fr-CH"/>
              </w:rPr>
            </w:pPr>
            <w:r w:rsidRPr="002C04A0">
              <w:rPr>
                <w:lang w:val="fr-CH"/>
              </w:rPr>
              <w:t>–</w:t>
            </w:r>
            <w:r w:rsidRPr="002C04A0">
              <w:rPr>
                <w:szCs w:val="20"/>
                <w:lang w:val="fr-CH"/>
              </w:rPr>
              <w:tab/>
              <w:t>Elaboration d'un programme garantissant un haut niveau de sécurité des données</w:t>
            </w:r>
          </w:p>
          <w:p w:rsidR="00081D6E" w:rsidRPr="002C04A0" w:rsidRDefault="00081D6E" w:rsidP="00BE6EEC">
            <w:pPr>
              <w:pStyle w:val="Tabletext"/>
              <w:tabs>
                <w:tab w:val="left" w:pos="328"/>
              </w:tabs>
              <w:spacing w:after="20"/>
              <w:ind w:left="300" w:hanging="300"/>
              <w:cnfStyle w:val="000000100000" w:firstRow="0" w:lastRow="0" w:firstColumn="0" w:lastColumn="0" w:oddVBand="0" w:evenVBand="0" w:oddHBand="1" w:evenHBand="0" w:firstRowFirstColumn="0" w:firstRowLastColumn="0" w:lastRowFirstColumn="0" w:lastRowLastColumn="0"/>
              <w:rPr>
                <w:szCs w:val="20"/>
                <w:lang w:val="fr-CH"/>
              </w:rPr>
            </w:pPr>
            <w:r w:rsidRPr="002C04A0">
              <w:rPr>
                <w:lang w:val="fr-CH"/>
              </w:rPr>
              <w:t>–</w:t>
            </w:r>
            <w:r w:rsidRPr="002C04A0">
              <w:rPr>
                <w:szCs w:val="20"/>
                <w:lang w:val="fr-CH"/>
              </w:rPr>
              <w:tab/>
              <w:t>Capacité de restaurer les données ou de rétablir le fonctionnement dans un délai limité</w:t>
            </w:r>
          </w:p>
        </w:tc>
      </w:tr>
      <w:tr w:rsidR="00081D6E" w:rsidRPr="002C04A0" w:rsidTr="00BA16FB">
        <w:tc>
          <w:tcPr>
            <w:cnfStyle w:val="001000000000" w:firstRow="0" w:lastRow="0" w:firstColumn="1" w:lastColumn="0" w:oddVBand="0" w:evenVBand="0" w:oddHBand="0" w:evenHBand="0" w:firstRowFirstColumn="0" w:firstRowLastColumn="0" w:lastRowFirstColumn="0" w:lastRowLastColumn="0"/>
            <w:tcW w:w="2090"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081D6E" w:rsidRPr="002C04A0" w:rsidRDefault="00081D6E" w:rsidP="00BE6EEC">
            <w:pPr>
              <w:pStyle w:val="Tabletext"/>
              <w:rPr>
                <w:lang w:val="fr-CH"/>
              </w:rPr>
            </w:pPr>
          </w:p>
        </w:tc>
        <w:tc>
          <w:tcPr>
            <w:tcW w:w="351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081D6E" w:rsidRPr="002C04A0" w:rsidRDefault="00081D6E" w:rsidP="00BE6EEC">
            <w:pPr>
              <w:pStyle w:val="Tabletext"/>
              <w:tabs>
                <w:tab w:val="left" w:pos="320"/>
              </w:tabs>
              <w:spacing w:after="20"/>
              <w:ind w:left="320" w:hanging="320"/>
              <w:cnfStyle w:val="000000000000" w:firstRow="0" w:lastRow="0" w:firstColumn="0" w:lastColumn="0" w:oddVBand="0" w:evenVBand="0" w:oddHBand="0" w:evenHBand="0" w:firstRowFirstColumn="0" w:firstRowLastColumn="0" w:lastRowFirstColumn="0" w:lastRowLastColumn="0"/>
              <w:rPr>
                <w:rFonts w:eastAsia="Times New Roman"/>
                <w:szCs w:val="20"/>
                <w:lang w:val="fr-CH"/>
              </w:rPr>
            </w:pPr>
            <w:r w:rsidRPr="002C04A0">
              <w:rPr>
                <w:rFonts w:eastAsia="Times New Roman"/>
                <w:szCs w:val="20"/>
                <w:lang w:val="fr-CH"/>
              </w:rPr>
              <w:t>c)</w:t>
            </w:r>
            <w:r w:rsidRPr="002C04A0">
              <w:rPr>
                <w:rFonts w:eastAsia="Times New Roman"/>
                <w:szCs w:val="20"/>
                <w:lang w:val="fr-CH"/>
              </w:rPr>
              <w:tab/>
              <w:t>Cas de brouillage préjudiciable (en raison, par exemple, du non-respect des dispositions réglementaires) entraînant des interruptions des services de radiocommunication fournis par les membres.</w:t>
            </w:r>
          </w:p>
        </w:tc>
        <w:tc>
          <w:tcPr>
            <w:tcW w:w="142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81D6E" w:rsidRPr="002C04A0" w:rsidRDefault="00081D6E" w:rsidP="00BE6EEC">
            <w:pPr>
              <w:pStyle w:val="Tabletext"/>
              <w:spacing w:after="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2C04A0">
              <w:rPr>
                <w:rFonts w:eastAsia="Times New Roman"/>
                <w:szCs w:val="20"/>
              </w:rPr>
              <w:t>Faible</w:t>
            </w:r>
          </w:p>
        </w:tc>
        <w:tc>
          <w:tcPr>
            <w:tcW w:w="139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81D6E" w:rsidRPr="002C04A0" w:rsidRDefault="00081D6E" w:rsidP="00BE6EEC">
            <w:pPr>
              <w:pStyle w:val="Tabletext"/>
              <w:spacing w:after="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2C04A0">
              <w:rPr>
                <w:rFonts w:eastAsia="Times New Roman"/>
                <w:szCs w:val="20"/>
              </w:rPr>
              <w:t>Elevé</w:t>
            </w:r>
          </w:p>
        </w:tc>
        <w:tc>
          <w:tcPr>
            <w:tcW w:w="63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081D6E" w:rsidRPr="002C04A0" w:rsidRDefault="00081D6E" w:rsidP="00BE6EEC">
            <w:pPr>
              <w:pStyle w:val="Tabletext"/>
              <w:tabs>
                <w:tab w:val="left" w:pos="333"/>
                <w:tab w:val="left" w:pos="441"/>
              </w:tabs>
              <w:spacing w:after="20"/>
              <w:ind w:left="284" w:hanging="284"/>
              <w:cnfStyle w:val="000000000000" w:firstRow="0" w:lastRow="0" w:firstColumn="0" w:lastColumn="0" w:oddVBand="0" w:evenVBand="0" w:oddHBand="0" w:evenHBand="0" w:firstRowFirstColumn="0" w:firstRowLastColumn="0" w:lastRowFirstColumn="0" w:lastRowLastColumn="0"/>
              <w:rPr>
                <w:szCs w:val="20"/>
                <w:lang w:val="fr-CH"/>
              </w:rPr>
            </w:pPr>
            <w:r w:rsidRPr="002C04A0">
              <w:rPr>
                <w:lang w:val="fr-CH"/>
              </w:rPr>
              <w:t>–</w:t>
            </w:r>
            <w:r w:rsidRPr="002C04A0">
              <w:rPr>
                <w:szCs w:val="20"/>
                <w:lang w:val="fr-CH"/>
              </w:rPr>
              <w:tab/>
              <w:t>Promouvoir le renforcement des capacités en matière de réglementation internationale, dans le cadre de séminaires internationaux et régionaux et de toute autre manifestation appropriée</w:t>
            </w:r>
          </w:p>
          <w:p w:rsidR="00081D6E" w:rsidRPr="002C04A0" w:rsidRDefault="00081D6E" w:rsidP="00BE6EEC">
            <w:pPr>
              <w:pStyle w:val="Tabletext"/>
              <w:tabs>
                <w:tab w:val="left" w:pos="333"/>
                <w:tab w:val="left" w:pos="441"/>
              </w:tabs>
              <w:spacing w:after="20"/>
              <w:ind w:left="284" w:hanging="284"/>
              <w:cnfStyle w:val="000000000000" w:firstRow="0" w:lastRow="0" w:firstColumn="0" w:lastColumn="0" w:oddVBand="0" w:evenVBand="0" w:oddHBand="0" w:evenHBand="0" w:firstRowFirstColumn="0" w:firstRowLastColumn="0" w:lastRowFirstColumn="0" w:lastRowLastColumn="0"/>
              <w:rPr>
                <w:szCs w:val="20"/>
                <w:lang w:val="fr-CH"/>
              </w:rPr>
            </w:pPr>
            <w:r w:rsidRPr="002C04A0">
              <w:rPr>
                <w:lang w:val="fr-CH"/>
              </w:rPr>
              <w:t>–</w:t>
            </w:r>
            <w:r w:rsidRPr="002C04A0">
              <w:rPr>
                <w:szCs w:val="20"/>
                <w:lang w:val="fr-CH"/>
              </w:rPr>
              <w:tab/>
              <w:t>Assistance du BR pour l'application de la réglementation internationale</w:t>
            </w:r>
          </w:p>
          <w:p w:rsidR="00081D6E" w:rsidRPr="002C04A0" w:rsidRDefault="00081D6E" w:rsidP="00BE6EEC">
            <w:pPr>
              <w:pStyle w:val="Tabletext"/>
              <w:tabs>
                <w:tab w:val="left" w:pos="333"/>
                <w:tab w:val="left" w:pos="441"/>
              </w:tabs>
              <w:spacing w:after="20"/>
              <w:ind w:left="284" w:hanging="284"/>
              <w:cnfStyle w:val="000000000000" w:firstRow="0" w:lastRow="0" w:firstColumn="0" w:lastColumn="0" w:oddVBand="0" w:evenVBand="0" w:oddHBand="0" w:evenHBand="0" w:firstRowFirstColumn="0" w:firstRowLastColumn="0" w:lastRowFirstColumn="0" w:lastRowLastColumn="0"/>
              <w:rPr>
                <w:szCs w:val="20"/>
                <w:lang w:val="fr-CH"/>
              </w:rPr>
            </w:pPr>
            <w:r w:rsidRPr="002C04A0">
              <w:rPr>
                <w:lang w:val="fr-CH"/>
              </w:rPr>
              <w:t>–</w:t>
            </w:r>
            <w:r w:rsidRPr="002C04A0">
              <w:rPr>
                <w:szCs w:val="20"/>
                <w:lang w:val="fr-CH"/>
              </w:rPr>
              <w:tab/>
              <w:t>Encourager la coordination aux niveaux régional et sous</w:t>
            </w:r>
            <w:r w:rsidRPr="002C04A0">
              <w:rPr>
                <w:szCs w:val="20"/>
                <w:lang w:val="fr-CH"/>
              </w:rPr>
              <w:noBreakHyphen/>
              <w:t>régional pour résoudre les problèmes de brouillage, avec l'appui du BR</w:t>
            </w:r>
          </w:p>
          <w:p w:rsidR="00081D6E" w:rsidRPr="002C04A0" w:rsidRDefault="00081D6E" w:rsidP="00BE6EEC">
            <w:pPr>
              <w:pStyle w:val="Tabletext"/>
              <w:tabs>
                <w:tab w:val="left" w:pos="333"/>
                <w:tab w:val="left" w:pos="441"/>
              </w:tabs>
              <w:spacing w:after="20"/>
              <w:ind w:left="284" w:hanging="284"/>
              <w:cnfStyle w:val="000000000000" w:firstRow="0" w:lastRow="0" w:firstColumn="0" w:lastColumn="0" w:oddVBand="0" w:evenVBand="0" w:oddHBand="0" w:evenHBand="0" w:firstRowFirstColumn="0" w:firstRowLastColumn="0" w:lastRowFirstColumn="0" w:lastRowLastColumn="0"/>
              <w:rPr>
                <w:szCs w:val="20"/>
                <w:lang w:val="fr-CH"/>
              </w:rPr>
            </w:pPr>
            <w:r w:rsidRPr="002C04A0">
              <w:rPr>
                <w:lang w:val="fr-CH"/>
              </w:rPr>
              <w:t>–</w:t>
            </w:r>
            <w:r w:rsidRPr="002C04A0">
              <w:rPr>
                <w:szCs w:val="20"/>
                <w:lang w:val="fr-CH"/>
              </w:rPr>
              <w:tab/>
              <w:t>Etablir des rapports et diffuser des informations sur les cas de brouillage préjudiciable et aider à résoudre ces cas, conformément aux instructions données au Directeur du Bureau dans la Résolution 186 (Busan, 2014)</w:t>
            </w:r>
          </w:p>
        </w:tc>
      </w:tr>
    </w:tbl>
    <w:p w:rsidR="00081D6E" w:rsidRPr="002C04A0" w:rsidRDefault="00081D6E" w:rsidP="00BE6EEC">
      <w:pPr>
        <w:spacing w:line="240" w:lineRule="auto"/>
        <w:rPr>
          <w:rFonts w:asciiTheme="minorHAnsi" w:hAnsiTheme="minorHAnsi"/>
          <w:lang w:val="fr-CH"/>
        </w:rPr>
      </w:pPr>
    </w:p>
    <w:tbl>
      <w:tblPr>
        <w:tblStyle w:val="GridTable4-Accent12"/>
        <w:tblW w:w="14737" w:type="dxa"/>
        <w:tblInd w:w="5" w:type="dxa"/>
        <w:tblLook w:val="04A0" w:firstRow="1" w:lastRow="0" w:firstColumn="1" w:lastColumn="0" w:noHBand="0" w:noVBand="1"/>
      </w:tblPr>
      <w:tblGrid>
        <w:gridCol w:w="2104"/>
        <w:gridCol w:w="3500"/>
        <w:gridCol w:w="1427"/>
        <w:gridCol w:w="1400"/>
        <w:gridCol w:w="6306"/>
      </w:tblGrid>
      <w:tr w:rsidR="00081D6E" w:rsidRPr="002C04A0" w:rsidTr="00BA16FB">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104" w:type="dxa"/>
            <w:hideMark/>
          </w:tcPr>
          <w:p w:rsidR="00081D6E" w:rsidRPr="002C04A0" w:rsidRDefault="00081D6E" w:rsidP="00BE6EEC">
            <w:pPr>
              <w:pStyle w:val="Tablehead"/>
              <w:rPr>
                <w:b/>
                <w:bCs w:val="0"/>
              </w:rPr>
            </w:pPr>
            <w:r w:rsidRPr="002C04A0">
              <w:rPr>
                <w:b/>
                <w:bCs w:val="0"/>
              </w:rPr>
              <w:t>TYPE DE RISQUES</w:t>
            </w:r>
          </w:p>
        </w:tc>
        <w:tc>
          <w:tcPr>
            <w:tcW w:w="3500" w:type="dxa"/>
            <w:hideMark/>
          </w:tcPr>
          <w:p w:rsidR="00081D6E" w:rsidRPr="002C04A0" w:rsidRDefault="00081D6E" w:rsidP="00BE6EEC">
            <w:pPr>
              <w:pStyle w:val="Tablehead"/>
              <w:cnfStyle w:val="100000000000" w:firstRow="1" w:lastRow="0" w:firstColumn="0" w:lastColumn="0" w:oddVBand="0" w:evenVBand="0" w:oddHBand="0" w:evenHBand="0" w:firstRowFirstColumn="0" w:firstRowLastColumn="0" w:lastRowFirstColumn="0" w:lastRowLastColumn="0"/>
              <w:rPr>
                <w:b/>
                <w:bCs w:val="0"/>
              </w:rPr>
            </w:pPr>
            <w:r w:rsidRPr="002C04A0">
              <w:rPr>
                <w:b/>
                <w:bCs w:val="0"/>
              </w:rPr>
              <w:t>DESCRIPTION DES RISQUES</w:t>
            </w:r>
          </w:p>
        </w:tc>
        <w:tc>
          <w:tcPr>
            <w:tcW w:w="1427" w:type="dxa"/>
            <w:hideMark/>
          </w:tcPr>
          <w:p w:rsidR="00081D6E" w:rsidRPr="002C04A0" w:rsidRDefault="00081D6E" w:rsidP="00BE6EEC">
            <w:pPr>
              <w:pStyle w:val="Tablehead"/>
              <w:cnfStyle w:val="100000000000" w:firstRow="1" w:lastRow="0" w:firstColumn="0" w:lastColumn="0" w:oddVBand="0" w:evenVBand="0" w:oddHBand="0" w:evenHBand="0" w:firstRowFirstColumn="0" w:firstRowLastColumn="0" w:lastRowFirstColumn="0" w:lastRowLastColumn="0"/>
              <w:rPr>
                <w:b/>
                <w:bCs w:val="0"/>
              </w:rPr>
            </w:pPr>
            <w:r w:rsidRPr="002C04A0">
              <w:rPr>
                <w:b/>
                <w:bCs w:val="0"/>
              </w:rPr>
              <w:t>PROBABILITE</w:t>
            </w:r>
          </w:p>
        </w:tc>
        <w:tc>
          <w:tcPr>
            <w:tcW w:w="1400" w:type="dxa"/>
            <w:hideMark/>
          </w:tcPr>
          <w:p w:rsidR="00081D6E" w:rsidRPr="002C04A0" w:rsidRDefault="00081D6E" w:rsidP="00BE6EEC">
            <w:pPr>
              <w:pStyle w:val="Tablehead"/>
              <w:cnfStyle w:val="100000000000" w:firstRow="1" w:lastRow="0" w:firstColumn="0" w:lastColumn="0" w:oddVBand="0" w:evenVBand="0" w:oddHBand="0" w:evenHBand="0" w:firstRowFirstColumn="0" w:firstRowLastColumn="0" w:lastRowFirstColumn="0" w:lastRowLastColumn="0"/>
              <w:rPr>
                <w:b/>
                <w:bCs w:val="0"/>
              </w:rPr>
            </w:pPr>
            <w:r w:rsidRPr="002C04A0">
              <w:rPr>
                <w:b/>
                <w:bCs w:val="0"/>
              </w:rPr>
              <w:t>NIVEAU D'INCIDENCE</w:t>
            </w:r>
          </w:p>
        </w:tc>
        <w:tc>
          <w:tcPr>
            <w:tcW w:w="6306" w:type="dxa"/>
            <w:hideMark/>
          </w:tcPr>
          <w:p w:rsidR="00081D6E" w:rsidRPr="002C04A0" w:rsidRDefault="00081D6E" w:rsidP="00BE6EEC">
            <w:pPr>
              <w:pStyle w:val="Tablehead"/>
              <w:cnfStyle w:val="100000000000" w:firstRow="1" w:lastRow="0" w:firstColumn="0" w:lastColumn="0" w:oddVBand="0" w:evenVBand="0" w:oddHBand="0" w:evenHBand="0" w:firstRowFirstColumn="0" w:firstRowLastColumn="0" w:lastRowFirstColumn="0" w:lastRowLastColumn="0"/>
              <w:rPr>
                <w:b/>
                <w:bCs w:val="0"/>
              </w:rPr>
            </w:pPr>
            <w:r w:rsidRPr="002C04A0">
              <w:rPr>
                <w:b/>
                <w:bCs w:val="0"/>
              </w:rPr>
              <w:t>MESURES D'ATTENUATION</w:t>
            </w:r>
            <w:r w:rsidRPr="002C04A0">
              <w:rPr>
                <w:b/>
                <w:bCs w:val="0"/>
                <w:vertAlign w:val="superscript"/>
              </w:rPr>
              <w:t>2</w:t>
            </w:r>
          </w:p>
        </w:tc>
      </w:tr>
      <w:tr w:rsidR="00081D6E" w:rsidRPr="002C04A0" w:rsidTr="00BA16FB">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0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jc w:val="center"/>
            </w:pPr>
            <w:r w:rsidRPr="002C04A0">
              <w:t>RISQUES ORGANISATIONNELS</w:t>
            </w:r>
          </w:p>
        </w:tc>
        <w:tc>
          <w:tcPr>
            <w:tcW w:w="35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val="fr-CH"/>
              </w:rPr>
            </w:pPr>
            <w:r w:rsidRPr="002C04A0">
              <w:rPr>
                <w:rFonts w:eastAsia="Times New Roman"/>
                <w:szCs w:val="20"/>
                <w:lang w:val="fr-CH"/>
              </w:rPr>
              <w:t>Insuffisance des équipements disponibles pour tenir des réunions à l'UIT (en raison, par exemple, d'un manque de salles de réunion et d'un programme de réunions surchargé), d'où une insatisfaction chez les membres et des retards dans les programmes de travail.</w:t>
            </w:r>
          </w:p>
        </w:tc>
        <w:tc>
          <w:tcPr>
            <w:tcW w:w="142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rPr>
            </w:pPr>
            <w:r w:rsidRPr="002C04A0">
              <w:rPr>
                <w:rFonts w:eastAsia="Times New Roman"/>
                <w:szCs w:val="20"/>
              </w:rPr>
              <w:t>Moyen</w:t>
            </w:r>
          </w:p>
        </w:tc>
        <w:tc>
          <w:tcPr>
            <w:tcW w:w="140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rPr>
            </w:pPr>
            <w:r w:rsidRPr="002C04A0">
              <w:rPr>
                <w:rFonts w:eastAsia="Times New Roman"/>
                <w:szCs w:val="20"/>
              </w:rPr>
              <w:t>Elevé</w:t>
            </w:r>
          </w:p>
        </w:tc>
        <w:tc>
          <w:tcPr>
            <w:tcW w:w="630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auto"/>
            <w:hideMark/>
          </w:tcPr>
          <w:p w:rsidR="00081D6E" w:rsidRPr="002C04A0" w:rsidRDefault="00081D6E" w:rsidP="00BE6EEC">
            <w:pPr>
              <w:pStyle w:val="Tabletext"/>
              <w:tabs>
                <w:tab w:val="clear" w:pos="284"/>
                <w:tab w:val="left" w:pos="300"/>
              </w:tabs>
              <w:cnfStyle w:val="000000100000" w:firstRow="0" w:lastRow="0" w:firstColumn="0" w:lastColumn="0" w:oddVBand="0" w:evenVBand="0" w:oddHBand="1" w:evenHBand="0" w:firstRowFirstColumn="0" w:firstRowLastColumn="0" w:lastRowFirstColumn="0" w:lastRowLastColumn="0"/>
              <w:rPr>
                <w:szCs w:val="20"/>
                <w:lang w:val="fr-CH"/>
              </w:rPr>
            </w:pPr>
            <w:r w:rsidRPr="002C04A0">
              <w:rPr>
                <w:lang w:val="fr-CH"/>
              </w:rPr>
              <w:t>–</w:t>
            </w:r>
            <w:r w:rsidRPr="002C04A0">
              <w:rPr>
                <w:szCs w:val="20"/>
                <w:lang w:val="fr-CH"/>
              </w:rPr>
              <w:tab/>
              <w:t>Organiser davantage de réunions à l'extérieur</w:t>
            </w:r>
          </w:p>
          <w:p w:rsidR="00081D6E" w:rsidRPr="002C04A0" w:rsidRDefault="00081D6E" w:rsidP="00BA16FB">
            <w:pPr>
              <w:pStyle w:val="Tabletext"/>
              <w:tabs>
                <w:tab w:val="clear" w:pos="284"/>
                <w:tab w:val="left" w:pos="324"/>
                <w:tab w:val="left" w:pos="441"/>
              </w:tabs>
              <w:ind w:left="324" w:hanging="324"/>
              <w:cnfStyle w:val="000000100000" w:firstRow="0" w:lastRow="0" w:firstColumn="0" w:lastColumn="0" w:oddVBand="0" w:evenVBand="0" w:oddHBand="1" w:evenHBand="0" w:firstRowFirstColumn="0" w:firstRowLastColumn="0" w:lastRowFirstColumn="0" w:lastRowLastColumn="0"/>
              <w:rPr>
                <w:szCs w:val="20"/>
                <w:lang w:val="fr-CH"/>
              </w:rPr>
            </w:pPr>
            <w:r w:rsidRPr="002C04A0">
              <w:rPr>
                <w:lang w:val="fr-CH"/>
              </w:rPr>
              <w:t>–</w:t>
            </w:r>
            <w:r w:rsidRPr="002C04A0">
              <w:rPr>
                <w:szCs w:val="20"/>
                <w:lang w:val="fr-CH"/>
              </w:rPr>
              <w:tab/>
              <w:t>Etendre l'utilisation des salles de réunion virtuelles pour les petites réunions</w:t>
            </w:r>
          </w:p>
        </w:tc>
      </w:tr>
    </w:tbl>
    <w:p w:rsidR="00081D6E" w:rsidRPr="002C04A0" w:rsidRDefault="00081D6E" w:rsidP="00BE6EEC">
      <w:pPr>
        <w:pStyle w:val="Heading1"/>
        <w:spacing w:line="240" w:lineRule="auto"/>
        <w:rPr>
          <w:rFonts w:asciiTheme="minorHAnsi" w:hAnsiTheme="minorHAnsi"/>
          <w:lang w:val="fr-CH"/>
        </w:rPr>
      </w:pPr>
    </w:p>
    <w:p w:rsidR="00081D6E" w:rsidRPr="002C04A0" w:rsidRDefault="00081D6E" w:rsidP="00BE6EEC">
      <w:pPr>
        <w:overflowPunct/>
        <w:autoSpaceDE/>
        <w:autoSpaceDN/>
        <w:adjustRightInd/>
        <w:spacing w:before="0" w:line="240" w:lineRule="auto"/>
        <w:textAlignment w:val="auto"/>
        <w:rPr>
          <w:rFonts w:asciiTheme="minorHAnsi" w:hAnsiTheme="minorHAnsi"/>
          <w:sz w:val="28"/>
          <w:lang w:val="fr-CH"/>
        </w:rPr>
      </w:pPr>
      <w:r w:rsidRPr="002C04A0">
        <w:rPr>
          <w:rFonts w:asciiTheme="minorHAnsi" w:hAnsiTheme="minorHAnsi"/>
          <w:sz w:val="28"/>
          <w:lang w:val="fr-CH"/>
        </w:rPr>
        <w:br w:type="page"/>
      </w:r>
    </w:p>
    <w:p w:rsidR="00081D6E" w:rsidRPr="002C04A0" w:rsidRDefault="00081D6E" w:rsidP="00BE6EEC">
      <w:pPr>
        <w:pStyle w:val="Heading1"/>
        <w:spacing w:line="240" w:lineRule="auto"/>
        <w:rPr>
          <w:rFonts w:asciiTheme="minorHAnsi" w:hAnsiTheme="minorHAnsi"/>
          <w:sz w:val="28"/>
          <w:szCs w:val="28"/>
          <w:lang w:val="fr-CH"/>
        </w:rPr>
      </w:pPr>
      <w:r w:rsidRPr="002C04A0">
        <w:rPr>
          <w:rFonts w:asciiTheme="minorHAnsi" w:hAnsiTheme="minorHAnsi"/>
          <w:sz w:val="28"/>
          <w:szCs w:val="28"/>
          <w:lang w:val="fr-CH"/>
        </w:rPr>
        <w:lastRenderedPageBreak/>
        <w:t>5</w:t>
      </w:r>
      <w:r w:rsidRPr="002C04A0">
        <w:rPr>
          <w:rFonts w:asciiTheme="minorHAnsi" w:hAnsiTheme="minorHAnsi"/>
          <w:sz w:val="28"/>
          <w:szCs w:val="28"/>
          <w:lang w:val="fr-CH"/>
        </w:rPr>
        <w:tab/>
        <w:t>Objectifs, résultats et produits de l'UIT-R pour la période 2017-2020</w:t>
      </w:r>
    </w:p>
    <w:p w:rsidR="00081D6E" w:rsidRPr="002C04A0" w:rsidRDefault="00081D6E" w:rsidP="00BE6EEC">
      <w:pPr>
        <w:spacing w:line="240" w:lineRule="auto"/>
        <w:rPr>
          <w:rFonts w:asciiTheme="minorHAnsi" w:hAnsiTheme="minorHAnsi"/>
          <w:lang w:val="fr-CH"/>
        </w:rPr>
      </w:pPr>
      <w:r w:rsidRPr="002C04A0">
        <w:rPr>
          <w:rFonts w:asciiTheme="minorHAnsi" w:hAnsiTheme="minorHAnsi"/>
          <w:lang w:val="fr-CH"/>
        </w:rPr>
        <w:t>Les objectifs du Secteur de l'UIT</w:t>
      </w:r>
      <w:r w:rsidRPr="002C04A0">
        <w:rPr>
          <w:rFonts w:asciiTheme="minorHAnsi" w:hAnsiTheme="minorHAnsi"/>
          <w:lang w:val="fr-CH"/>
        </w:rPr>
        <w:noBreakHyphen/>
        <w:t>R seront atteints en obtenant les résultats correspondants, dans le cadre de la mise en oeuvre des produits. Les objectifs de l'UIT</w:t>
      </w:r>
      <w:r w:rsidRPr="002C04A0">
        <w:rPr>
          <w:rFonts w:asciiTheme="minorHAnsi" w:hAnsiTheme="minorHAnsi"/>
          <w:lang w:val="fr-CH"/>
        </w:rPr>
        <w:noBreakHyphen/>
        <w:t>R, correspondant aux attributions de ce Secteur, contribueront à atteindre les buts fondamentaux de l'Union. Le Bureau des radiocommunications contribue également à la mise en oeuvre des objectifs, résultats et produits intersectoriels (présentés dans le Plan opérationnel du Secrétariat général).</w:t>
      </w:r>
    </w:p>
    <w:p w:rsidR="00081D6E" w:rsidRPr="002C04A0" w:rsidRDefault="00081D6E" w:rsidP="00BE6EEC">
      <w:pPr>
        <w:pStyle w:val="Heading2"/>
        <w:spacing w:line="240" w:lineRule="auto"/>
        <w:rPr>
          <w:rFonts w:asciiTheme="minorHAnsi" w:hAnsiTheme="minorHAnsi"/>
          <w:lang w:val="fr-CH"/>
        </w:rPr>
      </w:pPr>
      <w:r w:rsidRPr="002C04A0">
        <w:rPr>
          <w:rFonts w:asciiTheme="minorHAnsi" w:hAnsiTheme="minorHAnsi"/>
          <w:lang w:val="fr-CH"/>
        </w:rPr>
        <w:t>5.1</w:t>
      </w:r>
      <w:r w:rsidRPr="002C04A0">
        <w:rPr>
          <w:rFonts w:asciiTheme="minorHAnsi" w:hAnsiTheme="minorHAnsi"/>
          <w:lang w:val="fr-CH"/>
        </w:rPr>
        <w:tab/>
        <w:t>R.1:</w:t>
      </w:r>
      <w:r w:rsidRPr="002C04A0">
        <w:rPr>
          <w:rFonts w:asciiTheme="minorHAnsi" w:hAnsiTheme="minorHAnsi"/>
          <w:lang w:val="fr-CH"/>
        </w:rPr>
        <w:tab/>
        <w:t>Répondre, de manière rationnelle, équitable, efficace, économique et rapide aux besoins des membres de l'UIT en ce qui concerne les ressources du spectre des fréquences radioélectriques et des orbites des satellites, tout en évitant les brouillages préjudiciables</w:t>
      </w:r>
    </w:p>
    <w:p w:rsidR="00081D6E" w:rsidRPr="002C04A0" w:rsidRDefault="00081D6E" w:rsidP="00BE6EEC">
      <w:pPr>
        <w:spacing w:line="240" w:lineRule="auto"/>
        <w:rPr>
          <w:rFonts w:asciiTheme="minorHAnsi" w:hAnsiTheme="minorHAnsi"/>
          <w:lang w:val="fr-CH"/>
        </w:rPr>
      </w:pP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08"/>
        <w:gridCol w:w="4213"/>
        <w:gridCol w:w="470"/>
        <w:gridCol w:w="893"/>
        <w:gridCol w:w="205"/>
        <w:gridCol w:w="750"/>
        <w:gridCol w:w="817"/>
        <w:gridCol w:w="274"/>
        <w:gridCol w:w="1293"/>
        <w:gridCol w:w="988"/>
        <w:gridCol w:w="580"/>
      </w:tblGrid>
      <w:tr w:rsidR="00081D6E" w:rsidRPr="002C04A0" w:rsidTr="00081D6E">
        <w:trPr>
          <w:gridAfter w:val="1"/>
          <w:wAfter w:w="600" w:type="dxa"/>
          <w:trHeight w:val="320"/>
        </w:trPr>
        <w:tc>
          <w:tcPr>
            <w:tcW w:w="3668" w:type="dxa"/>
            <w:shd w:val="clear" w:color="000000" w:fill="2F75B5"/>
            <w:noWrap/>
            <w:hideMark/>
          </w:tcPr>
          <w:p w:rsidR="00081D6E" w:rsidRPr="002C04A0" w:rsidRDefault="00081D6E" w:rsidP="00AD1506">
            <w:pPr>
              <w:spacing w:line="240" w:lineRule="auto"/>
              <w:jc w:val="center"/>
              <w:rPr>
                <w:rFonts w:asciiTheme="minorHAnsi" w:hAnsiTheme="minorHAnsi"/>
                <w:b/>
                <w:bCs/>
                <w:color w:val="FFFFFF"/>
                <w:sz w:val="20"/>
                <w:lang w:eastAsia="fr-FR"/>
              </w:rPr>
            </w:pPr>
            <w:r w:rsidRPr="002C04A0">
              <w:rPr>
                <w:rFonts w:asciiTheme="minorHAnsi" w:eastAsiaTheme="minorHAnsi" w:hAnsiTheme="minorHAnsi" w:cstheme="minorBidi"/>
                <w:bCs/>
                <w:color w:val="FFFFFF" w:themeColor="background1"/>
                <w:sz w:val="20"/>
              </w:rPr>
              <w:t>Résultat</w:t>
            </w:r>
          </w:p>
        </w:tc>
        <w:tc>
          <w:tcPr>
            <w:tcW w:w="4898" w:type="dxa"/>
            <w:gridSpan w:val="2"/>
            <w:shd w:val="clear" w:color="000000" w:fill="2F75B5"/>
            <w:noWrap/>
            <w:hideMark/>
          </w:tcPr>
          <w:p w:rsidR="00081D6E" w:rsidRPr="002C04A0" w:rsidRDefault="00081D6E" w:rsidP="00AD1506">
            <w:pPr>
              <w:spacing w:line="240" w:lineRule="auto"/>
              <w:jc w:val="center"/>
              <w:rPr>
                <w:rFonts w:asciiTheme="minorHAnsi" w:eastAsiaTheme="minorHAnsi" w:hAnsiTheme="minorHAnsi" w:cstheme="minorBidi"/>
                <w:bCs/>
                <w:color w:val="FFFFFF" w:themeColor="background1"/>
                <w:sz w:val="20"/>
              </w:rPr>
            </w:pPr>
            <w:r w:rsidRPr="002C04A0">
              <w:rPr>
                <w:rFonts w:asciiTheme="minorHAnsi" w:eastAsiaTheme="minorHAnsi" w:hAnsiTheme="minorHAnsi" w:cstheme="minorBidi"/>
                <w:bCs/>
                <w:color w:val="FFFFFF" w:themeColor="background1"/>
                <w:sz w:val="20"/>
              </w:rPr>
              <w:t>Indicateur de résultats</w:t>
            </w:r>
          </w:p>
        </w:tc>
        <w:tc>
          <w:tcPr>
            <w:tcW w:w="927" w:type="dxa"/>
            <w:shd w:val="clear" w:color="000000" w:fill="2F75B5"/>
            <w:noWrap/>
            <w:hideMark/>
          </w:tcPr>
          <w:p w:rsidR="00081D6E" w:rsidRPr="002C04A0" w:rsidRDefault="00081D6E" w:rsidP="00BE6EEC">
            <w:pPr>
              <w:spacing w:line="240" w:lineRule="auto"/>
              <w:jc w:val="center"/>
              <w:rPr>
                <w:rFonts w:asciiTheme="minorHAnsi" w:eastAsiaTheme="minorHAnsi" w:hAnsiTheme="minorHAnsi" w:cstheme="minorBidi"/>
                <w:bCs/>
                <w:color w:val="FFFFFF" w:themeColor="background1"/>
                <w:sz w:val="20"/>
              </w:rPr>
            </w:pPr>
            <w:r w:rsidRPr="002C04A0">
              <w:rPr>
                <w:rFonts w:asciiTheme="minorHAnsi" w:eastAsiaTheme="minorHAnsi" w:hAnsiTheme="minorHAnsi" w:cstheme="minorBidi"/>
                <w:bCs/>
                <w:color w:val="FFFFFF" w:themeColor="background1"/>
                <w:sz w:val="20"/>
              </w:rPr>
              <w:t>2014</w:t>
            </w:r>
          </w:p>
        </w:tc>
        <w:tc>
          <w:tcPr>
            <w:tcW w:w="992" w:type="dxa"/>
            <w:gridSpan w:val="2"/>
            <w:shd w:val="clear" w:color="000000" w:fill="2F75B5"/>
            <w:noWrap/>
            <w:hideMark/>
          </w:tcPr>
          <w:p w:rsidR="00081D6E" w:rsidRPr="002C04A0" w:rsidRDefault="00081D6E" w:rsidP="00BE6EEC">
            <w:pPr>
              <w:spacing w:line="240" w:lineRule="auto"/>
              <w:jc w:val="center"/>
              <w:rPr>
                <w:rFonts w:asciiTheme="minorHAnsi" w:eastAsiaTheme="minorHAnsi" w:hAnsiTheme="minorHAnsi" w:cstheme="minorBidi"/>
                <w:bCs/>
                <w:color w:val="FFFFFF" w:themeColor="background1"/>
                <w:sz w:val="20"/>
              </w:rPr>
            </w:pPr>
            <w:r w:rsidRPr="002C04A0">
              <w:rPr>
                <w:rFonts w:asciiTheme="minorHAnsi" w:eastAsiaTheme="minorHAnsi" w:hAnsiTheme="minorHAnsi" w:cstheme="minorBidi"/>
                <w:bCs/>
                <w:color w:val="FFFFFF" w:themeColor="background1"/>
                <w:sz w:val="20"/>
              </w:rPr>
              <w:t>2015</w:t>
            </w:r>
          </w:p>
        </w:tc>
        <w:tc>
          <w:tcPr>
            <w:tcW w:w="1134" w:type="dxa"/>
            <w:gridSpan w:val="2"/>
            <w:shd w:val="clear" w:color="000000" w:fill="2F75B5"/>
            <w:noWrap/>
            <w:hideMark/>
          </w:tcPr>
          <w:p w:rsidR="00081D6E" w:rsidRPr="002C04A0" w:rsidRDefault="00081D6E" w:rsidP="00BE6EEC">
            <w:pPr>
              <w:spacing w:line="240" w:lineRule="auto"/>
              <w:jc w:val="center"/>
              <w:rPr>
                <w:rFonts w:asciiTheme="minorHAnsi" w:hAnsiTheme="minorHAnsi"/>
                <w:b/>
                <w:bCs/>
                <w:color w:val="FFFFFF"/>
                <w:sz w:val="20"/>
                <w:lang w:eastAsia="fr-FR"/>
              </w:rPr>
            </w:pPr>
            <w:r w:rsidRPr="002C04A0">
              <w:rPr>
                <w:rFonts w:asciiTheme="minorHAnsi" w:eastAsiaTheme="minorHAnsi" w:hAnsiTheme="minorHAnsi" w:cstheme="minorBidi"/>
                <w:bCs/>
                <w:color w:val="FFFFFF" w:themeColor="background1"/>
                <w:sz w:val="20"/>
              </w:rPr>
              <w:t>Cible pour 2020</w:t>
            </w:r>
          </w:p>
        </w:tc>
        <w:tc>
          <w:tcPr>
            <w:tcW w:w="2372" w:type="dxa"/>
            <w:gridSpan w:val="2"/>
            <w:shd w:val="clear" w:color="000000" w:fill="2F75B5"/>
            <w:noWrap/>
            <w:hideMark/>
          </w:tcPr>
          <w:p w:rsidR="00081D6E" w:rsidRPr="002C04A0" w:rsidRDefault="00081D6E" w:rsidP="00BE6EEC">
            <w:pPr>
              <w:spacing w:line="240" w:lineRule="auto"/>
              <w:jc w:val="center"/>
              <w:rPr>
                <w:rFonts w:asciiTheme="minorHAnsi" w:hAnsiTheme="minorHAnsi"/>
                <w:b/>
                <w:bCs/>
                <w:color w:val="FFFFFF"/>
                <w:sz w:val="20"/>
                <w:lang w:eastAsia="fr-FR"/>
              </w:rPr>
            </w:pPr>
            <w:r w:rsidRPr="002C04A0">
              <w:rPr>
                <w:rFonts w:asciiTheme="minorHAnsi" w:eastAsiaTheme="minorHAnsi" w:hAnsiTheme="minorHAnsi" w:cstheme="minorBidi"/>
                <w:bCs/>
                <w:color w:val="FFFFFF" w:themeColor="background1"/>
                <w:sz w:val="20"/>
              </w:rPr>
              <w:t>Source</w:t>
            </w:r>
          </w:p>
        </w:tc>
      </w:tr>
      <w:tr w:rsidR="00081D6E" w:rsidRPr="002C04A0" w:rsidTr="00081D6E">
        <w:trPr>
          <w:gridAfter w:val="1"/>
          <w:wAfter w:w="600" w:type="dxa"/>
          <w:trHeight w:val="320"/>
        </w:trPr>
        <w:tc>
          <w:tcPr>
            <w:tcW w:w="3668" w:type="dxa"/>
            <w:vMerge w:val="restart"/>
            <w:shd w:val="clear" w:color="auto" w:fill="auto"/>
            <w:hideMark/>
          </w:tcPr>
          <w:p w:rsidR="00081D6E" w:rsidRPr="002C04A0" w:rsidRDefault="00081D6E" w:rsidP="00AD1506">
            <w:pPr>
              <w:tabs>
                <w:tab w:val="clear" w:pos="794"/>
                <w:tab w:val="clear" w:pos="1191"/>
                <w:tab w:val="clear" w:pos="1588"/>
                <w:tab w:val="clear" w:pos="1985"/>
              </w:tabs>
              <w:overflowPunct/>
              <w:autoSpaceDE/>
              <w:autoSpaceDN/>
              <w:adjustRightInd/>
              <w:spacing w:before="0" w:after="60" w:line="240" w:lineRule="auto"/>
              <w:jc w:val="left"/>
              <w:textAlignment w:val="auto"/>
              <w:rPr>
                <w:rFonts w:asciiTheme="minorHAnsi" w:hAnsiTheme="minorHAnsi"/>
                <w:sz w:val="20"/>
                <w:lang w:val="fr-CH"/>
              </w:rPr>
            </w:pPr>
            <w:r w:rsidRPr="002C04A0">
              <w:rPr>
                <w:rFonts w:asciiTheme="minorHAnsi" w:eastAsia="Calibri" w:hAnsiTheme="minorHAnsi" w:cs="Arial"/>
                <w:color w:val="4F81BD" w:themeColor="accent1"/>
                <w:sz w:val="20"/>
                <w:lang w:val="fr-CH"/>
              </w:rPr>
              <w:t>R.1-1</w:t>
            </w:r>
            <w:r w:rsidRPr="002C04A0">
              <w:rPr>
                <w:rFonts w:asciiTheme="minorHAnsi" w:eastAsia="Calibri" w:hAnsiTheme="minorHAnsi" w:cs="Arial"/>
                <w:sz w:val="20"/>
                <w:lang w:val="fr-CH"/>
              </w:rPr>
              <w:t xml:space="preserve">: </w:t>
            </w:r>
            <w:r w:rsidRPr="002C04A0">
              <w:rPr>
                <w:rFonts w:asciiTheme="minorHAnsi" w:hAnsiTheme="minorHAnsi"/>
                <w:sz w:val="20"/>
                <w:lang w:val="fr-CH"/>
              </w:rPr>
              <w:t>Nombre accru de pays ayant des réseaux à satellite et des stations terriennes inscrits dans le Fichier de référence international des fréquences (Fichier de référence)</w:t>
            </w:r>
          </w:p>
        </w:tc>
        <w:tc>
          <w:tcPr>
            <w:tcW w:w="4898" w:type="dxa"/>
            <w:gridSpan w:val="2"/>
            <w:shd w:val="clear" w:color="auto" w:fill="auto"/>
            <w:hideMark/>
          </w:tcPr>
          <w:p w:rsidR="00081D6E" w:rsidRPr="002C04A0" w:rsidRDefault="00081D6E" w:rsidP="00AD1506">
            <w:pPr>
              <w:spacing w:before="0" w:after="6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pays ayant des réseaux à satellite inscrits dans le Fichier de référence international des fréquences</w:t>
            </w:r>
          </w:p>
        </w:tc>
        <w:tc>
          <w:tcPr>
            <w:tcW w:w="927" w:type="dxa"/>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49</w:t>
            </w:r>
          </w:p>
        </w:tc>
        <w:tc>
          <w:tcPr>
            <w:tcW w:w="992" w:type="dxa"/>
            <w:gridSpan w:val="2"/>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60</w:t>
            </w:r>
          </w:p>
        </w:tc>
        <w:tc>
          <w:tcPr>
            <w:tcW w:w="1134" w:type="dxa"/>
            <w:gridSpan w:val="2"/>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70</w:t>
            </w:r>
          </w:p>
        </w:tc>
        <w:tc>
          <w:tcPr>
            <w:tcW w:w="2372" w:type="dxa"/>
            <w:gridSpan w:val="2"/>
            <w:vMerge w:val="restart"/>
            <w:shd w:val="clear" w:color="auto" w:fill="auto"/>
            <w:noWrap/>
            <w:hideMark/>
          </w:tcPr>
          <w:p w:rsidR="00081D6E" w:rsidRPr="002C04A0" w:rsidRDefault="00081D6E" w:rsidP="00BE6EEC">
            <w:pPr>
              <w:spacing w:before="0" w:after="60" w:line="240" w:lineRule="auto"/>
              <w:jc w:val="center"/>
              <w:rPr>
                <w:rFonts w:asciiTheme="minorHAnsi" w:hAnsiTheme="minorHAnsi"/>
                <w:sz w:val="20"/>
                <w:lang w:val="fr-CH" w:eastAsia="fr-FR"/>
              </w:rPr>
            </w:pPr>
            <w:r w:rsidRPr="002C04A0">
              <w:rPr>
                <w:rFonts w:asciiTheme="minorHAnsi" w:hAnsiTheme="minorHAnsi"/>
                <w:sz w:val="20"/>
                <w:lang w:val="fr-CH"/>
              </w:rPr>
              <w:t>Fichier de référence international des fréquences/BR</w:t>
            </w:r>
          </w:p>
        </w:tc>
      </w:tr>
      <w:tr w:rsidR="00081D6E" w:rsidRPr="002C04A0" w:rsidTr="00081D6E">
        <w:trPr>
          <w:gridAfter w:val="1"/>
          <w:wAfter w:w="600" w:type="dxa"/>
          <w:trHeight w:val="285"/>
        </w:trPr>
        <w:tc>
          <w:tcPr>
            <w:tcW w:w="3668" w:type="dxa"/>
            <w:vMerge/>
            <w:tcBorders>
              <w:bottom w:val="single" w:sz="6" w:space="0" w:color="auto"/>
            </w:tcBorders>
            <w:hideMark/>
          </w:tcPr>
          <w:p w:rsidR="00081D6E" w:rsidRPr="002C04A0" w:rsidRDefault="00081D6E" w:rsidP="00AD1506">
            <w:pPr>
              <w:spacing w:line="240" w:lineRule="auto"/>
              <w:jc w:val="left"/>
              <w:rPr>
                <w:rFonts w:asciiTheme="minorHAnsi" w:hAnsiTheme="minorHAnsi"/>
                <w:b/>
                <w:bCs/>
                <w:color w:val="000000"/>
                <w:sz w:val="20"/>
                <w:lang w:val="fr-CH" w:eastAsia="fr-FR"/>
              </w:rPr>
            </w:pPr>
          </w:p>
        </w:tc>
        <w:tc>
          <w:tcPr>
            <w:tcW w:w="4898" w:type="dxa"/>
            <w:gridSpan w:val="2"/>
            <w:tcBorders>
              <w:bottom w:val="single" w:sz="6" w:space="0" w:color="auto"/>
            </w:tcBorders>
            <w:shd w:val="clear" w:color="auto" w:fill="auto"/>
            <w:hideMark/>
          </w:tcPr>
          <w:p w:rsidR="00081D6E" w:rsidRPr="002C04A0" w:rsidRDefault="00081D6E" w:rsidP="00AD1506">
            <w:pPr>
              <w:spacing w:before="0" w:after="6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pays ayant des stations terriennes inscrites dans le Ficher de référence international  des fréquences</w:t>
            </w:r>
          </w:p>
        </w:tc>
        <w:tc>
          <w:tcPr>
            <w:tcW w:w="927" w:type="dxa"/>
            <w:tcBorders>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81</w:t>
            </w:r>
          </w:p>
        </w:tc>
        <w:tc>
          <w:tcPr>
            <w:tcW w:w="992" w:type="dxa"/>
            <w:gridSpan w:val="2"/>
            <w:tcBorders>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114</w:t>
            </w:r>
          </w:p>
        </w:tc>
        <w:tc>
          <w:tcPr>
            <w:tcW w:w="1134" w:type="dxa"/>
            <w:gridSpan w:val="2"/>
            <w:tcBorders>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120</w:t>
            </w:r>
          </w:p>
        </w:tc>
        <w:tc>
          <w:tcPr>
            <w:tcW w:w="2372" w:type="dxa"/>
            <w:gridSpan w:val="2"/>
            <w:vMerge/>
            <w:tcBorders>
              <w:bottom w:val="single" w:sz="6" w:space="0" w:color="auto"/>
            </w:tcBorders>
            <w:hideMark/>
          </w:tcPr>
          <w:p w:rsidR="00081D6E" w:rsidRPr="002C04A0" w:rsidRDefault="00081D6E" w:rsidP="00BE6EEC">
            <w:pPr>
              <w:spacing w:before="0" w:after="60" w:line="240" w:lineRule="auto"/>
              <w:rPr>
                <w:rFonts w:asciiTheme="minorHAnsi" w:hAnsiTheme="minorHAnsi"/>
                <w:sz w:val="20"/>
                <w:lang w:eastAsia="fr-FR"/>
              </w:rPr>
            </w:pPr>
          </w:p>
        </w:tc>
      </w:tr>
      <w:tr w:rsidR="00081D6E" w:rsidRPr="002C04A0" w:rsidTr="00081D6E">
        <w:trPr>
          <w:gridAfter w:val="1"/>
          <w:wAfter w:w="600" w:type="dxa"/>
          <w:trHeight w:val="345"/>
        </w:trPr>
        <w:tc>
          <w:tcPr>
            <w:tcW w:w="3668" w:type="dxa"/>
            <w:vMerge w:val="restart"/>
            <w:tcBorders>
              <w:top w:val="single" w:sz="6" w:space="0" w:color="auto"/>
              <w:bottom w:val="single" w:sz="6" w:space="0" w:color="auto"/>
            </w:tcBorders>
            <w:shd w:val="clear" w:color="auto" w:fill="auto"/>
            <w:hideMark/>
          </w:tcPr>
          <w:p w:rsidR="00081D6E" w:rsidRPr="002C04A0" w:rsidRDefault="00081D6E" w:rsidP="00AD1506">
            <w:pPr>
              <w:tabs>
                <w:tab w:val="clear" w:pos="794"/>
                <w:tab w:val="clear" w:pos="1191"/>
                <w:tab w:val="clear" w:pos="1588"/>
                <w:tab w:val="clear" w:pos="1985"/>
              </w:tabs>
              <w:overflowPunct/>
              <w:autoSpaceDE/>
              <w:autoSpaceDN/>
              <w:adjustRightInd/>
              <w:spacing w:before="0" w:after="60" w:line="240" w:lineRule="auto"/>
              <w:jc w:val="left"/>
              <w:textAlignment w:val="auto"/>
              <w:rPr>
                <w:rFonts w:asciiTheme="minorHAnsi" w:hAnsiTheme="minorHAnsi"/>
                <w:b/>
                <w:bCs/>
                <w:color w:val="5B9BD5"/>
                <w:sz w:val="20"/>
                <w:lang w:val="fr-CH"/>
              </w:rPr>
            </w:pPr>
            <w:r w:rsidRPr="002C04A0">
              <w:rPr>
                <w:rFonts w:asciiTheme="minorHAnsi" w:eastAsia="Calibri" w:hAnsiTheme="minorHAnsi" w:cs="Arial"/>
                <w:color w:val="4F81BD" w:themeColor="accent1"/>
                <w:sz w:val="20"/>
                <w:lang w:val="fr-CH"/>
              </w:rPr>
              <w:t>R.1-2</w:t>
            </w:r>
            <w:r w:rsidRPr="002C04A0">
              <w:rPr>
                <w:rFonts w:asciiTheme="minorHAnsi" w:eastAsia="Calibri" w:hAnsiTheme="minorHAnsi" w:cs="Arial"/>
                <w:sz w:val="20"/>
                <w:lang w:val="fr-CH"/>
              </w:rPr>
              <w:t xml:space="preserve">: </w:t>
            </w:r>
            <w:r w:rsidRPr="002C04A0">
              <w:rPr>
                <w:rFonts w:asciiTheme="minorHAnsi" w:hAnsiTheme="minorHAnsi"/>
                <w:sz w:val="20"/>
                <w:lang w:val="fr-CH"/>
              </w:rPr>
              <w:t>Nombre accru de pays pour lesquels des assignations de fréquence à des services de Terre sont inscrites dans le Fichier de référence</w:t>
            </w:r>
            <w:r w:rsidRPr="002C04A0">
              <w:rPr>
                <w:rFonts w:asciiTheme="minorHAnsi" w:hAnsiTheme="minorHAnsi"/>
                <w:b/>
                <w:bCs/>
                <w:color w:val="5B9BD5"/>
                <w:sz w:val="20"/>
                <w:lang w:val="fr-CH"/>
              </w:rPr>
              <w:t xml:space="preserve"> </w:t>
            </w:r>
          </w:p>
        </w:tc>
        <w:tc>
          <w:tcPr>
            <w:tcW w:w="4898" w:type="dxa"/>
            <w:gridSpan w:val="2"/>
            <w:tcBorders>
              <w:top w:val="single" w:sz="6" w:space="0" w:color="auto"/>
              <w:bottom w:val="single" w:sz="6" w:space="0" w:color="auto"/>
            </w:tcBorders>
            <w:shd w:val="clear" w:color="auto" w:fill="auto"/>
            <w:hideMark/>
          </w:tcPr>
          <w:p w:rsidR="00081D6E" w:rsidRPr="002C04A0" w:rsidRDefault="00081D6E" w:rsidP="00AD1506">
            <w:pPr>
              <w:tabs>
                <w:tab w:val="clear" w:pos="794"/>
                <w:tab w:val="clear" w:pos="1191"/>
                <w:tab w:val="clear" w:pos="1588"/>
                <w:tab w:val="clear" w:pos="1985"/>
              </w:tabs>
              <w:overflowPunct/>
              <w:autoSpaceDE/>
              <w:autoSpaceDN/>
              <w:adjustRightInd/>
              <w:spacing w:before="0" w:after="60" w:line="240" w:lineRule="auto"/>
              <w:jc w:val="left"/>
              <w:textAlignment w:val="auto"/>
              <w:rPr>
                <w:rFonts w:asciiTheme="minorHAnsi" w:hAnsiTheme="minorHAnsi"/>
                <w:b/>
                <w:bCs/>
                <w:color w:val="5B9BD5"/>
                <w:sz w:val="20"/>
                <w:lang w:val="fr-CH"/>
              </w:rPr>
            </w:pPr>
            <w:r w:rsidRPr="002C04A0">
              <w:rPr>
                <w:rFonts w:asciiTheme="minorHAnsi" w:hAnsiTheme="minorHAnsi"/>
                <w:sz w:val="20"/>
                <w:lang w:val="fr-CH"/>
              </w:rPr>
              <w:t>Nombre de pays pour lesquels des assignations de fréquence à des services de Terre sont inscrites dans le Fichier de référence international  des fréquences</w:t>
            </w:r>
          </w:p>
        </w:tc>
        <w:tc>
          <w:tcPr>
            <w:tcW w:w="927" w:type="dxa"/>
            <w:tcBorders>
              <w:top w:val="single" w:sz="6" w:space="0" w:color="auto"/>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188</w:t>
            </w:r>
          </w:p>
        </w:tc>
        <w:tc>
          <w:tcPr>
            <w:tcW w:w="992" w:type="dxa"/>
            <w:gridSpan w:val="2"/>
            <w:tcBorders>
              <w:top w:val="single" w:sz="6" w:space="0" w:color="auto"/>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190</w:t>
            </w:r>
          </w:p>
        </w:tc>
        <w:tc>
          <w:tcPr>
            <w:tcW w:w="1134" w:type="dxa"/>
            <w:gridSpan w:val="2"/>
            <w:tcBorders>
              <w:top w:val="single" w:sz="6" w:space="0" w:color="auto"/>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193</w:t>
            </w:r>
          </w:p>
        </w:tc>
        <w:tc>
          <w:tcPr>
            <w:tcW w:w="2372" w:type="dxa"/>
            <w:gridSpan w:val="2"/>
            <w:vMerge w:val="restart"/>
            <w:tcBorders>
              <w:top w:val="single" w:sz="6" w:space="0" w:color="auto"/>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b/>
                <w:bCs/>
                <w:color w:val="5B9BD5"/>
                <w:sz w:val="20"/>
                <w:lang w:val="fr-CH"/>
              </w:rPr>
            </w:pPr>
            <w:r w:rsidRPr="002C04A0">
              <w:rPr>
                <w:rFonts w:asciiTheme="minorHAnsi" w:hAnsiTheme="minorHAnsi"/>
                <w:sz w:val="20"/>
                <w:lang w:val="fr-CH"/>
              </w:rPr>
              <w:t>Fichier de référence international des fréquences/BR</w:t>
            </w:r>
          </w:p>
        </w:tc>
      </w:tr>
      <w:tr w:rsidR="00081D6E" w:rsidRPr="002C04A0" w:rsidTr="00081D6E">
        <w:trPr>
          <w:gridAfter w:val="1"/>
          <w:wAfter w:w="600" w:type="dxa"/>
          <w:trHeight w:val="877"/>
        </w:trPr>
        <w:tc>
          <w:tcPr>
            <w:tcW w:w="3668" w:type="dxa"/>
            <w:vMerge/>
            <w:tcBorders>
              <w:top w:val="single" w:sz="6" w:space="0" w:color="auto"/>
              <w:bottom w:val="single" w:sz="6" w:space="0" w:color="auto"/>
            </w:tcBorders>
            <w:shd w:val="clear" w:color="auto" w:fill="auto"/>
            <w:hideMark/>
          </w:tcPr>
          <w:p w:rsidR="00081D6E" w:rsidRPr="002C04A0" w:rsidRDefault="00081D6E" w:rsidP="00AD1506">
            <w:pPr>
              <w:spacing w:line="240" w:lineRule="auto"/>
              <w:jc w:val="left"/>
              <w:rPr>
                <w:rFonts w:asciiTheme="minorHAnsi" w:hAnsiTheme="minorHAnsi"/>
                <w:b/>
                <w:bCs/>
                <w:color w:val="000000"/>
                <w:sz w:val="20"/>
                <w:lang w:val="fr-CH" w:eastAsia="fr-FR"/>
              </w:rPr>
            </w:pPr>
          </w:p>
        </w:tc>
        <w:tc>
          <w:tcPr>
            <w:tcW w:w="4898" w:type="dxa"/>
            <w:gridSpan w:val="2"/>
            <w:tcBorders>
              <w:top w:val="single" w:sz="6" w:space="0" w:color="auto"/>
              <w:bottom w:val="single" w:sz="6" w:space="0" w:color="auto"/>
            </w:tcBorders>
            <w:shd w:val="clear" w:color="auto" w:fill="auto"/>
            <w:hideMark/>
          </w:tcPr>
          <w:p w:rsidR="00081D6E" w:rsidRPr="002C04A0" w:rsidRDefault="00081D6E" w:rsidP="00AD1506">
            <w:pPr>
              <w:spacing w:before="0" w:after="6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pays pour lesquels des assignations de fréquence à des services de Terre ont été inscrites dans le Fichier de référence au cours de la dernière période quadriennale</w:t>
            </w:r>
          </w:p>
        </w:tc>
        <w:tc>
          <w:tcPr>
            <w:tcW w:w="927" w:type="dxa"/>
            <w:tcBorders>
              <w:top w:val="single" w:sz="6" w:space="0" w:color="auto"/>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78</w:t>
            </w:r>
          </w:p>
        </w:tc>
        <w:tc>
          <w:tcPr>
            <w:tcW w:w="992" w:type="dxa"/>
            <w:gridSpan w:val="2"/>
            <w:tcBorders>
              <w:top w:val="single" w:sz="6" w:space="0" w:color="auto"/>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84</w:t>
            </w:r>
          </w:p>
        </w:tc>
        <w:tc>
          <w:tcPr>
            <w:tcW w:w="1134" w:type="dxa"/>
            <w:gridSpan w:val="2"/>
            <w:tcBorders>
              <w:top w:val="single" w:sz="6" w:space="0" w:color="auto"/>
              <w:bottom w:val="single" w:sz="6" w:space="0" w:color="auto"/>
            </w:tcBorders>
            <w:shd w:val="clear" w:color="auto" w:fill="auto"/>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90</w:t>
            </w:r>
          </w:p>
        </w:tc>
        <w:tc>
          <w:tcPr>
            <w:tcW w:w="2372" w:type="dxa"/>
            <w:gridSpan w:val="2"/>
            <w:vMerge/>
            <w:tcBorders>
              <w:top w:val="single" w:sz="6" w:space="0" w:color="auto"/>
              <w:bottom w:val="single" w:sz="6" w:space="0" w:color="auto"/>
            </w:tcBorders>
            <w:shd w:val="clear" w:color="auto" w:fill="auto"/>
            <w:hideMark/>
          </w:tcPr>
          <w:p w:rsidR="00081D6E" w:rsidRPr="002C04A0" w:rsidRDefault="00081D6E" w:rsidP="00BE6EEC">
            <w:pPr>
              <w:spacing w:before="0" w:after="60" w:line="240" w:lineRule="auto"/>
              <w:rPr>
                <w:rFonts w:asciiTheme="minorHAnsi" w:hAnsiTheme="minorHAnsi"/>
                <w:sz w:val="20"/>
                <w:lang w:eastAsia="fr-FR"/>
              </w:rPr>
            </w:pPr>
          </w:p>
        </w:tc>
      </w:tr>
      <w:tr w:rsidR="00081D6E" w:rsidRPr="002C04A0" w:rsidTr="00081D6E">
        <w:trPr>
          <w:gridAfter w:val="1"/>
          <w:wAfter w:w="600" w:type="dxa"/>
          <w:trHeight w:val="320"/>
        </w:trPr>
        <w:tc>
          <w:tcPr>
            <w:tcW w:w="3668" w:type="dxa"/>
            <w:vMerge w:val="restart"/>
            <w:tcBorders>
              <w:top w:val="single" w:sz="6" w:space="0" w:color="auto"/>
              <w:bottom w:val="single" w:sz="6" w:space="0" w:color="auto"/>
            </w:tcBorders>
            <w:shd w:val="clear" w:color="auto" w:fill="auto"/>
            <w:hideMark/>
          </w:tcPr>
          <w:p w:rsidR="00081D6E" w:rsidRPr="002C04A0" w:rsidRDefault="00081D6E" w:rsidP="00AD1506">
            <w:pPr>
              <w:spacing w:before="0" w:line="240" w:lineRule="auto"/>
              <w:jc w:val="left"/>
              <w:rPr>
                <w:rFonts w:asciiTheme="minorHAnsi" w:hAnsiTheme="minorHAnsi"/>
                <w:b/>
                <w:bCs/>
                <w:color w:val="000000"/>
                <w:sz w:val="20"/>
                <w:lang w:val="fr-CH" w:eastAsia="fr-FR"/>
              </w:rPr>
            </w:pPr>
            <w:r w:rsidRPr="002C04A0">
              <w:rPr>
                <w:rFonts w:asciiTheme="minorHAnsi" w:eastAsia="Calibri" w:hAnsiTheme="minorHAnsi" w:cs="Arial"/>
                <w:color w:val="4F81BD" w:themeColor="accent1"/>
                <w:sz w:val="20"/>
                <w:lang w:val="fr-CH"/>
              </w:rPr>
              <w:t>R.1-3</w:t>
            </w:r>
            <w:r w:rsidRPr="002C04A0">
              <w:rPr>
                <w:rFonts w:asciiTheme="minorHAnsi" w:eastAsia="Calibri" w:hAnsiTheme="minorHAnsi" w:cs="Arial"/>
                <w:sz w:val="20"/>
                <w:lang w:val="fr-CH"/>
              </w:rPr>
              <w:t xml:space="preserve">: </w:t>
            </w:r>
            <w:r w:rsidRPr="002C04A0">
              <w:rPr>
                <w:rFonts w:asciiTheme="minorHAnsi" w:hAnsiTheme="minorHAnsi"/>
                <w:sz w:val="20"/>
                <w:lang w:val="fr-CH"/>
              </w:rPr>
              <w:t>Pourcentage accru d'assignations inscrites dans le Fichier de référence avec une conclusion favorable</w:t>
            </w:r>
            <w:r w:rsidRPr="002C04A0">
              <w:rPr>
                <w:rFonts w:asciiTheme="minorHAnsi" w:hAnsiTheme="minorHAnsi"/>
                <w:b/>
                <w:bCs/>
                <w:color w:val="000000"/>
                <w:sz w:val="20"/>
                <w:lang w:val="fr-CH" w:eastAsia="fr-FR"/>
              </w:rPr>
              <w:t xml:space="preserve"> </w:t>
            </w:r>
          </w:p>
        </w:tc>
        <w:tc>
          <w:tcPr>
            <w:tcW w:w="4898" w:type="dxa"/>
            <w:gridSpan w:val="2"/>
            <w:tcBorders>
              <w:top w:val="single" w:sz="6" w:space="0" w:color="auto"/>
              <w:bottom w:val="single" w:sz="6" w:space="0" w:color="auto"/>
            </w:tcBorders>
            <w:shd w:val="clear" w:color="auto" w:fill="auto"/>
            <w:noWrap/>
            <w:hideMark/>
          </w:tcPr>
          <w:p w:rsidR="00081D6E" w:rsidRPr="002C04A0" w:rsidRDefault="00081D6E" w:rsidP="00AD1506">
            <w:pPr>
              <w:spacing w:before="0" w:after="60" w:line="240" w:lineRule="auto"/>
              <w:jc w:val="left"/>
              <w:rPr>
                <w:rFonts w:asciiTheme="minorHAnsi" w:hAnsiTheme="minorHAnsi"/>
                <w:color w:val="000000"/>
                <w:sz w:val="20"/>
                <w:lang w:val="fr-CH" w:eastAsia="fr-FR"/>
              </w:rPr>
            </w:pPr>
            <w:r w:rsidRPr="002C04A0">
              <w:rPr>
                <w:rFonts w:asciiTheme="minorHAnsi" w:eastAsia="Calibri" w:hAnsiTheme="minorHAnsi" w:cs="Arial"/>
                <w:sz w:val="20"/>
                <w:lang w:val="fr-CH"/>
              </w:rPr>
              <w:t>Assignations assujetties à la coordination (services de Terre)</w:t>
            </w:r>
          </w:p>
        </w:tc>
        <w:tc>
          <w:tcPr>
            <w:tcW w:w="927" w:type="dxa"/>
            <w:tcBorders>
              <w:top w:val="single" w:sz="6" w:space="0" w:color="auto"/>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99,99%</w:t>
            </w:r>
          </w:p>
        </w:tc>
        <w:tc>
          <w:tcPr>
            <w:tcW w:w="992" w:type="dxa"/>
            <w:gridSpan w:val="2"/>
            <w:tcBorders>
              <w:top w:val="single" w:sz="6" w:space="0" w:color="auto"/>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100,00%</w:t>
            </w:r>
          </w:p>
        </w:tc>
        <w:tc>
          <w:tcPr>
            <w:tcW w:w="1134" w:type="dxa"/>
            <w:gridSpan w:val="2"/>
            <w:tcBorders>
              <w:top w:val="single" w:sz="6" w:space="0" w:color="auto"/>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 xml:space="preserve">99,99% </w:t>
            </w:r>
          </w:p>
        </w:tc>
        <w:tc>
          <w:tcPr>
            <w:tcW w:w="2372" w:type="dxa"/>
            <w:gridSpan w:val="2"/>
            <w:vMerge w:val="restart"/>
            <w:tcBorders>
              <w:top w:val="single" w:sz="6" w:space="0" w:color="auto"/>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lang w:val="fr-CH" w:eastAsia="fr-FR"/>
              </w:rPr>
            </w:pPr>
            <w:r w:rsidRPr="002C04A0">
              <w:rPr>
                <w:rFonts w:asciiTheme="minorHAnsi" w:hAnsiTheme="minorHAnsi"/>
                <w:sz w:val="20"/>
                <w:lang w:val="fr-CH"/>
              </w:rPr>
              <w:t>Fichier de référence international des fréquences/BR</w:t>
            </w:r>
          </w:p>
        </w:tc>
      </w:tr>
      <w:tr w:rsidR="00081D6E" w:rsidRPr="002C04A0" w:rsidTr="00081D6E">
        <w:trPr>
          <w:gridAfter w:val="1"/>
          <w:wAfter w:w="600" w:type="dxa"/>
          <w:trHeight w:val="600"/>
        </w:trPr>
        <w:tc>
          <w:tcPr>
            <w:tcW w:w="3668" w:type="dxa"/>
            <w:vMerge/>
            <w:tcBorders>
              <w:top w:val="single" w:sz="6" w:space="0" w:color="auto"/>
              <w:bottom w:val="single" w:sz="6" w:space="0" w:color="auto"/>
            </w:tcBorders>
            <w:shd w:val="clear" w:color="auto" w:fill="auto"/>
            <w:hideMark/>
          </w:tcPr>
          <w:p w:rsidR="00081D6E" w:rsidRPr="002C04A0" w:rsidRDefault="00081D6E" w:rsidP="00AD1506">
            <w:pPr>
              <w:spacing w:line="240" w:lineRule="auto"/>
              <w:jc w:val="left"/>
              <w:rPr>
                <w:rFonts w:asciiTheme="minorHAnsi" w:hAnsiTheme="minorHAnsi"/>
                <w:b/>
                <w:bCs/>
                <w:color w:val="000000"/>
                <w:sz w:val="20"/>
                <w:lang w:val="fr-CH" w:eastAsia="fr-FR"/>
              </w:rPr>
            </w:pPr>
          </w:p>
        </w:tc>
        <w:tc>
          <w:tcPr>
            <w:tcW w:w="4898" w:type="dxa"/>
            <w:gridSpan w:val="2"/>
            <w:tcBorders>
              <w:top w:val="single" w:sz="6" w:space="0" w:color="auto"/>
              <w:bottom w:val="single" w:sz="6" w:space="0" w:color="auto"/>
            </w:tcBorders>
            <w:shd w:val="clear" w:color="auto" w:fill="auto"/>
            <w:noWrap/>
            <w:hideMark/>
          </w:tcPr>
          <w:p w:rsidR="00081D6E" w:rsidRPr="002C04A0" w:rsidRDefault="00081D6E" w:rsidP="00AD1506">
            <w:pPr>
              <w:spacing w:before="0" w:after="60" w:line="240" w:lineRule="auto"/>
              <w:jc w:val="left"/>
              <w:rPr>
                <w:rFonts w:asciiTheme="minorHAnsi" w:hAnsiTheme="minorHAnsi"/>
                <w:color w:val="000000"/>
                <w:sz w:val="20"/>
                <w:lang w:val="fr-CH" w:eastAsia="fr-FR"/>
              </w:rPr>
            </w:pPr>
            <w:r w:rsidRPr="002C04A0">
              <w:rPr>
                <w:rFonts w:asciiTheme="minorHAnsi" w:hAnsiTheme="minorHAnsi"/>
                <w:iCs/>
                <w:sz w:val="20"/>
                <w:lang w:val="fr-CH"/>
              </w:rPr>
              <w:t>Assignations relevant d'un Plan (services de Terre)</w:t>
            </w:r>
          </w:p>
        </w:tc>
        <w:tc>
          <w:tcPr>
            <w:tcW w:w="927" w:type="dxa"/>
            <w:tcBorders>
              <w:top w:val="single" w:sz="6" w:space="0" w:color="auto"/>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97,65%</w:t>
            </w:r>
          </w:p>
        </w:tc>
        <w:tc>
          <w:tcPr>
            <w:tcW w:w="992" w:type="dxa"/>
            <w:gridSpan w:val="2"/>
            <w:tcBorders>
              <w:top w:val="single" w:sz="6" w:space="0" w:color="auto"/>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7,40%</w:t>
            </w:r>
          </w:p>
        </w:tc>
        <w:tc>
          <w:tcPr>
            <w:tcW w:w="1134" w:type="dxa"/>
            <w:gridSpan w:val="2"/>
            <w:tcBorders>
              <w:top w:val="single" w:sz="6" w:space="0" w:color="auto"/>
              <w:bottom w:val="single" w:sz="6" w:space="0" w:color="auto"/>
            </w:tcBorders>
            <w:shd w:val="clear" w:color="auto" w:fill="auto"/>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 xml:space="preserve">75% </w:t>
            </w:r>
          </w:p>
        </w:tc>
        <w:tc>
          <w:tcPr>
            <w:tcW w:w="2372" w:type="dxa"/>
            <w:gridSpan w:val="2"/>
            <w:vMerge/>
            <w:tcBorders>
              <w:top w:val="single" w:sz="6" w:space="0" w:color="auto"/>
              <w:bottom w:val="single" w:sz="6" w:space="0" w:color="auto"/>
            </w:tcBorders>
            <w:shd w:val="clear" w:color="auto" w:fill="auto"/>
            <w:hideMark/>
          </w:tcPr>
          <w:p w:rsidR="00081D6E" w:rsidRPr="002C04A0" w:rsidRDefault="00081D6E" w:rsidP="00BE6EEC">
            <w:pPr>
              <w:spacing w:before="0" w:after="60" w:line="240" w:lineRule="auto"/>
              <w:rPr>
                <w:rFonts w:asciiTheme="minorHAnsi" w:hAnsiTheme="minorHAnsi"/>
                <w:sz w:val="20"/>
                <w:lang w:eastAsia="fr-FR"/>
              </w:rPr>
            </w:pPr>
          </w:p>
        </w:tc>
      </w:tr>
      <w:tr w:rsidR="00081D6E" w:rsidRPr="002C04A0" w:rsidTr="00081D6E">
        <w:trPr>
          <w:gridAfter w:val="1"/>
          <w:wAfter w:w="600" w:type="dxa"/>
          <w:trHeight w:val="620"/>
        </w:trPr>
        <w:tc>
          <w:tcPr>
            <w:tcW w:w="3668" w:type="dxa"/>
            <w:vMerge/>
            <w:tcBorders>
              <w:top w:val="single" w:sz="6" w:space="0" w:color="auto"/>
              <w:bottom w:val="single" w:sz="6" w:space="0" w:color="auto"/>
            </w:tcBorders>
            <w:shd w:val="clear" w:color="auto" w:fill="auto"/>
            <w:hideMark/>
          </w:tcPr>
          <w:p w:rsidR="00081D6E" w:rsidRPr="002C04A0" w:rsidRDefault="00081D6E" w:rsidP="00AD1506">
            <w:pPr>
              <w:spacing w:line="240" w:lineRule="auto"/>
              <w:jc w:val="left"/>
              <w:rPr>
                <w:rFonts w:asciiTheme="minorHAnsi" w:hAnsiTheme="minorHAnsi"/>
                <w:b/>
                <w:bCs/>
                <w:color w:val="000000"/>
                <w:sz w:val="20"/>
                <w:lang w:eastAsia="fr-FR"/>
              </w:rPr>
            </w:pPr>
          </w:p>
        </w:tc>
        <w:tc>
          <w:tcPr>
            <w:tcW w:w="4898" w:type="dxa"/>
            <w:gridSpan w:val="2"/>
            <w:tcBorders>
              <w:top w:val="single" w:sz="6" w:space="0" w:color="auto"/>
              <w:bottom w:val="single" w:sz="6" w:space="0" w:color="auto"/>
            </w:tcBorders>
            <w:shd w:val="clear" w:color="auto" w:fill="auto"/>
            <w:hideMark/>
          </w:tcPr>
          <w:p w:rsidR="00081D6E" w:rsidRPr="002C04A0" w:rsidRDefault="00081D6E" w:rsidP="00AD1506">
            <w:pPr>
              <w:spacing w:before="0" w:after="60" w:line="240" w:lineRule="auto"/>
              <w:jc w:val="left"/>
              <w:rPr>
                <w:rFonts w:asciiTheme="minorHAnsi" w:hAnsiTheme="minorHAnsi"/>
                <w:sz w:val="20"/>
                <w:lang w:eastAsia="fr-FR"/>
              </w:rPr>
            </w:pPr>
            <w:r w:rsidRPr="002C04A0">
              <w:rPr>
                <w:rFonts w:asciiTheme="minorHAnsi" w:hAnsiTheme="minorHAnsi"/>
                <w:iCs/>
                <w:sz w:val="20"/>
              </w:rPr>
              <w:t>Autres</w:t>
            </w:r>
          </w:p>
        </w:tc>
        <w:tc>
          <w:tcPr>
            <w:tcW w:w="927" w:type="dxa"/>
            <w:tcBorders>
              <w:top w:val="single" w:sz="6" w:space="0" w:color="auto"/>
              <w:bottom w:val="single" w:sz="6" w:space="0" w:color="auto"/>
            </w:tcBorders>
            <w:shd w:val="clear" w:color="auto" w:fill="auto"/>
            <w:hideMark/>
          </w:tcPr>
          <w:p w:rsidR="00081D6E" w:rsidRPr="002C04A0" w:rsidRDefault="00081D6E" w:rsidP="00BE6EEC">
            <w:pPr>
              <w:spacing w:before="0" w:after="60" w:line="240" w:lineRule="auto"/>
              <w:jc w:val="center"/>
              <w:rPr>
                <w:rFonts w:asciiTheme="minorHAnsi" w:hAnsiTheme="minorHAnsi"/>
                <w:sz w:val="20"/>
              </w:rPr>
            </w:pPr>
          </w:p>
        </w:tc>
        <w:tc>
          <w:tcPr>
            <w:tcW w:w="992" w:type="dxa"/>
            <w:gridSpan w:val="2"/>
            <w:tcBorders>
              <w:top w:val="single" w:sz="6" w:space="0" w:color="auto"/>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96%</w:t>
            </w:r>
          </w:p>
        </w:tc>
        <w:tc>
          <w:tcPr>
            <w:tcW w:w="1134" w:type="dxa"/>
            <w:gridSpan w:val="2"/>
            <w:tcBorders>
              <w:top w:val="single" w:sz="6" w:space="0" w:color="auto"/>
              <w:bottom w:val="single" w:sz="6" w:space="0" w:color="auto"/>
            </w:tcBorders>
            <w:shd w:val="clear" w:color="auto" w:fill="auto"/>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98%</w:t>
            </w:r>
          </w:p>
        </w:tc>
        <w:tc>
          <w:tcPr>
            <w:tcW w:w="2372" w:type="dxa"/>
            <w:gridSpan w:val="2"/>
            <w:vMerge/>
            <w:tcBorders>
              <w:top w:val="single" w:sz="6" w:space="0" w:color="auto"/>
              <w:bottom w:val="single" w:sz="6" w:space="0" w:color="auto"/>
            </w:tcBorders>
            <w:shd w:val="clear" w:color="auto" w:fill="auto"/>
            <w:hideMark/>
          </w:tcPr>
          <w:p w:rsidR="00081D6E" w:rsidRPr="002C04A0" w:rsidRDefault="00081D6E" w:rsidP="00BE6EEC">
            <w:pPr>
              <w:spacing w:before="0" w:after="60" w:line="240" w:lineRule="auto"/>
              <w:rPr>
                <w:rFonts w:asciiTheme="minorHAnsi" w:hAnsiTheme="minorHAnsi"/>
                <w:sz w:val="20"/>
                <w:lang w:eastAsia="fr-FR"/>
              </w:rPr>
            </w:pPr>
          </w:p>
        </w:tc>
      </w:tr>
      <w:tr w:rsidR="00081D6E" w:rsidRPr="002C04A0" w:rsidTr="00081D6E">
        <w:trPr>
          <w:gridAfter w:val="1"/>
          <w:wAfter w:w="600" w:type="dxa"/>
          <w:trHeight w:val="620"/>
        </w:trPr>
        <w:tc>
          <w:tcPr>
            <w:tcW w:w="3668" w:type="dxa"/>
            <w:tcBorders>
              <w:top w:val="single" w:sz="6" w:space="0" w:color="auto"/>
              <w:bottom w:val="single" w:sz="6" w:space="0" w:color="auto"/>
            </w:tcBorders>
            <w:shd w:val="clear" w:color="auto" w:fill="auto"/>
            <w:hideMark/>
          </w:tcPr>
          <w:p w:rsidR="00081D6E" w:rsidRPr="002C04A0" w:rsidRDefault="00081D6E" w:rsidP="00AD1506">
            <w:pPr>
              <w:tabs>
                <w:tab w:val="clear" w:pos="794"/>
                <w:tab w:val="clear" w:pos="1191"/>
                <w:tab w:val="clear" w:pos="1588"/>
                <w:tab w:val="clear" w:pos="1985"/>
              </w:tabs>
              <w:overflowPunct/>
              <w:autoSpaceDE/>
              <w:autoSpaceDN/>
              <w:adjustRightInd/>
              <w:spacing w:before="0" w:after="60" w:line="240" w:lineRule="auto"/>
              <w:jc w:val="left"/>
              <w:textAlignment w:val="auto"/>
              <w:rPr>
                <w:rFonts w:asciiTheme="minorHAnsi" w:hAnsiTheme="minorHAnsi"/>
                <w:sz w:val="20"/>
                <w:lang w:val="fr-CH"/>
              </w:rPr>
            </w:pPr>
            <w:r w:rsidRPr="002C04A0">
              <w:rPr>
                <w:rFonts w:asciiTheme="minorHAnsi" w:eastAsia="Calibri" w:hAnsiTheme="minorHAnsi" w:cs="Arial"/>
                <w:color w:val="4F81BD" w:themeColor="accent1"/>
                <w:sz w:val="20"/>
                <w:lang w:val="fr-CH"/>
              </w:rPr>
              <w:lastRenderedPageBreak/>
              <w:t>R.1-4</w:t>
            </w:r>
            <w:r w:rsidRPr="002C04A0">
              <w:rPr>
                <w:rFonts w:asciiTheme="minorHAnsi" w:eastAsia="Calibri" w:hAnsiTheme="minorHAnsi" w:cs="Arial"/>
                <w:sz w:val="20"/>
                <w:lang w:val="fr-CH"/>
              </w:rPr>
              <w:t xml:space="preserve">: </w:t>
            </w:r>
            <w:r w:rsidRPr="002C04A0">
              <w:rPr>
                <w:rFonts w:asciiTheme="minorHAnsi" w:hAnsiTheme="minorHAnsi"/>
                <w:sz w:val="20"/>
                <w:lang w:val="fr-CH"/>
              </w:rPr>
              <w:t>Pourcentage accru de pays ayant mené à bien le passage à la télévision numérique de Terre</w:t>
            </w:r>
          </w:p>
        </w:tc>
        <w:tc>
          <w:tcPr>
            <w:tcW w:w="4898" w:type="dxa"/>
            <w:gridSpan w:val="2"/>
            <w:tcBorders>
              <w:top w:val="single" w:sz="6" w:space="0" w:color="auto"/>
              <w:bottom w:val="single" w:sz="6" w:space="0" w:color="auto"/>
            </w:tcBorders>
            <w:shd w:val="clear" w:color="auto" w:fill="auto"/>
            <w:hideMark/>
          </w:tcPr>
          <w:p w:rsidR="00081D6E" w:rsidRPr="002C04A0" w:rsidRDefault="00081D6E" w:rsidP="00AD1506">
            <w:pPr>
              <w:spacing w:before="0" w:after="60" w:line="240" w:lineRule="auto"/>
              <w:jc w:val="left"/>
              <w:rPr>
                <w:rFonts w:asciiTheme="minorHAnsi" w:hAnsiTheme="minorHAnsi"/>
                <w:color w:val="000000"/>
                <w:sz w:val="20"/>
                <w:lang w:val="fr-CH" w:eastAsia="fr-FR"/>
              </w:rPr>
            </w:pPr>
            <w:r w:rsidRPr="002C04A0">
              <w:rPr>
                <w:rFonts w:asciiTheme="minorHAnsi" w:hAnsiTheme="minorHAnsi"/>
                <w:sz w:val="20"/>
                <w:lang w:val="fr-CH"/>
              </w:rPr>
              <w:t>Pourcentage de pays ayant mené à bien le passage à la télévision numérique de Terre</w:t>
            </w:r>
          </w:p>
        </w:tc>
        <w:tc>
          <w:tcPr>
            <w:tcW w:w="927" w:type="dxa"/>
            <w:tcBorders>
              <w:top w:val="single" w:sz="6" w:space="0" w:color="auto"/>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17,00%</w:t>
            </w:r>
          </w:p>
        </w:tc>
        <w:tc>
          <w:tcPr>
            <w:tcW w:w="992" w:type="dxa"/>
            <w:gridSpan w:val="2"/>
            <w:tcBorders>
              <w:top w:val="single" w:sz="6" w:space="0" w:color="auto"/>
              <w:bottom w:val="single" w:sz="6" w:space="0" w:color="auto"/>
            </w:tcBorders>
            <w:shd w:val="clear" w:color="auto" w:fill="auto"/>
            <w:noWrap/>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27,00%</w:t>
            </w:r>
          </w:p>
        </w:tc>
        <w:tc>
          <w:tcPr>
            <w:tcW w:w="1134" w:type="dxa"/>
            <w:gridSpan w:val="2"/>
            <w:tcBorders>
              <w:top w:val="single" w:sz="6" w:space="0" w:color="auto"/>
              <w:bottom w:val="single" w:sz="6" w:space="0" w:color="auto"/>
            </w:tcBorders>
            <w:shd w:val="clear" w:color="auto" w:fill="auto"/>
            <w:hideMark/>
          </w:tcPr>
          <w:p w:rsidR="00081D6E" w:rsidRPr="002C04A0" w:rsidRDefault="00081D6E" w:rsidP="00BE6EEC">
            <w:pPr>
              <w:spacing w:before="0" w:after="60" w:line="240" w:lineRule="auto"/>
              <w:jc w:val="center"/>
              <w:rPr>
                <w:rFonts w:asciiTheme="minorHAnsi" w:hAnsiTheme="minorHAnsi"/>
                <w:sz w:val="20"/>
              </w:rPr>
            </w:pPr>
            <w:r w:rsidRPr="002C04A0">
              <w:rPr>
                <w:rFonts w:asciiTheme="minorHAnsi" w:hAnsiTheme="minorHAnsi"/>
                <w:sz w:val="20"/>
              </w:rPr>
              <w:t xml:space="preserve">70% </w:t>
            </w:r>
          </w:p>
        </w:tc>
        <w:tc>
          <w:tcPr>
            <w:tcW w:w="2372" w:type="dxa"/>
            <w:gridSpan w:val="2"/>
            <w:tcBorders>
              <w:top w:val="single" w:sz="6" w:space="0" w:color="auto"/>
              <w:bottom w:val="single" w:sz="6" w:space="0" w:color="auto"/>
            </w:tcBorders>
            <w:shd w:val="clear" w:color="auto" w:fill="auto"/>
            <w:noWrap/>
            <w:hideMark/>
          </w:tcPr>
          <w:p w:rsidR="00081D6E" w:rsidRPr="002C04A0" w:rsidRDefault="00081D6E" w:rsidP="00BE6EEC">
            <w:pPr>
              <w:spacing w:before="0" w:after="60" w:line="240" w:lineRule="auto"/>
              <w:jc w:val="center"/>
              <w:rPr>
                <w:rFonts w:asciiTheme="minorHAnsi" w:hAnsiTheme="minorHAnsi"/>
                <w:sz w:val="20"/>
                <w:lang w:eastAsia="fr-FR"/>
              </w:rPr>
            </w:pPr>
            <w:r w:rsidRPr="002C04A0">
              <w:rPr>
                <w:rFonts w:asciiTheme="minorHAnsi" w:hAnsiTheme="minorHAnsi"/>
                <w:sz w:val="20"/>
                <w:lang w:val="fr-CH"/>
              </w:rPr>
              <w:t>BR&amp;BDT</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sz w:val="22"/>
              </w:rPr>
            </w:pPr>
            <w:r w:rsidRPr="002C04A0">
              <w:rPr>
                <w:rFonts w:asciiTheme="minorHAnsi" w:hAnsiTheme="minorHAnsi"/>
                <w:sz w:val="20"/>
                <w:szCs w:val="20"/>
              </w:rPr>
              <w:t>Produit</w:t>
            </w:r>
          </w:p>
        </w:tc>
        <w:tc>
          <w:tcPr>
            <w:tcW w:w="6521" w:type="dxa"/>
            <w:gridSpan w:val="9"/>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sz w:val="22"/>
                <w:lang w:val="fr-CH"/>
              </w:rPr>
            </w:pPr>
            <w:r w:rsidRPr="002C04A0">
              <w:rPr>
                <w:rFonts w:asciiTheme="minorHAnsi" w:hAnsiTheme="minorHAnsi"/>
                <w:sz w:val="20"/>
                <w:szCs w:val="20"/>
                <w:lang w:val="fr-CH"/>
              </w:rPr>
              <w:t>Ressources financières</w:t>
            </w:r>
            <w:r w:rsidRPr="00BA16FB">
              <w:rPr>
                <w:rStyle w:val="FootnoteReference"/>
                <w:rFonts w:asciiTheme="minorHAnsi" w:hAnsiTheme="minorHAnsi"/>
                <w:sz w:val="16"/>
                <w:szCs w:val="16"/>
              </w:rPr>
              <w:footnoteReference w:id="6"/>
            </w:r>
            <w:r w:rsidRPr="00BA16FB">
              <w:rPr>
                <w:rFonts w:asciiTheme="minorHAnsi" w:hAnsiTheme="minorHAnsi"/>
                <w:sz w:val="16"/>
                <w:szCs w:val="16"/>
                <w:lang w:val="fr-CH"/>
              </w:rPr>
              <w:t xml:space="preserve"> </w:t>
            </w:r>
            <w:r w:rsidRPr="002C04A0">
              <w:rPr>
                <w:rFonts w:asciiTheme="minorHAnsi" w:hAnsiTheme="minorHAnsi"/>
                <w:b/>
                <w:bCs/>
                <w:sz w:val="20"/>
                <w:szCs w:val="20"/>
                <w:lang w:val="fr-CH"/>
              </w:rPr>
              <w:t>(en milliers de CHF)</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sz w:val="22"/>
                <w:lang w:val="fr-CH"/>
              </w:rPr>
            </w:pPr>
          </w:p>
        </w:tc>
        <w:tc>
          <w:tcPr>
            <w:tcW w:w="1630" w:type="dxa"/>
            <w:gridSpan w:val="3"/>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color w:val="4F81BD" w:themeColor="accent1"/>
                <w:sz w:val="20"/>
                <w:szCs w:val="20"/>
                <w:lang w:val="fr-CH"/>
              </w:rPr>
            </w:pPr>
            <w:r w:rsidRPr="002C04A0">
              <w:rPr>
                <w:rFonts w:asciiTheme="minorHAnsi" w:hAnsiTheme="minorHAnsi"/>
                <w:b/>
                <w:bCs/>
                <w:color w:val="4F81BD" w:themeColor="accent1"/>
                <w:sz w:val="20"/>
                <w:szCs w:val="20"/>
                <w:lang w:val="fr-CH"/>
              </w:rPr>
              <w:t>2017</w:t>
            </w:r>
          </w:p>
        </w:tc>
        <w:tc>
          <w:tcPr>
            <w:tcW w:w="1630" w:type="dxa"/>
            <w:gridSpan w:val="2"/>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color w:val="4F81BD" w:themeColor="accent1"/>
                <w:sz w:val="20"/>
                <w:szCs w:val="20"/>
                <w:lang w:val="fr-CH"/>
              </w:rPr>
            </w:pPr>
            <w:r w:rsidRPr="002C04A0">
              <w:rPr>
                <w:rFonts w:asciiTheme="minorHAnsi" w:hAnsiTheme="minorHAnsi"/>
                <w:b/>
                <w:bCs/>
                <w:color w:val="4F81BD" w:themeColor="accent1"/>
                <w:sz w:val="20"/>
                <w:szCs w:val="20"/>
                <w:lang w:val="fr-CH"/>
              </w:rPr>
              <w:t>2018</w:t>
            </w:r>
          </w:p>
        </w:tc>
        <w:tc>
          <w:tcPr>
            <w:tcW w:w="1630" w:type="dxa"/>
            <w:gridSpan w:val="2"/>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color w:val="4F81BD" w:themeColor="accent1"/>
                <w:sz w:val="20"/>
                <w:szCs w:val="20"/>
                <w:lang w:val="fr-CH"/>
              </w:rPr>
            </w:pPr>
            <w:r w:rsidRPr="002C04A0">
              <w:rPr>
                <w:rFonts w:asciiTheme="minorHAnsi" w:hAnsiTheme="minorHAnsi"/>
                <w:b/>
                <w:bCs/>
                <w:color w:val="4F81BD" w:themeColor="accent1"/>
                <w:sz w:val="20"/>
                <w:szCs w:val="20"/>
                <w:lang w:val="fr-CH"/>
              </w:rPr>
              <w:t>2019</w:t>
            </w:r>
          </w:p>
        </w:tc>
        <w:tc>
          <w:tcPr>
            <w:tcW w:w="1631" w:type="dxa"/>
            <w:gridSpan w:val="2"/>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asciiTheme="minorHAnsi" w:hAnsiTheme="minorHAnsi"/>
                <w:b/>
                <w:bCs/>
                <w:color w:val="4F81BD" w:themeColor="accent1"/>
                <w:sz w:val="20"/>
                <w:szCs w:val="20"/>
                <w:lang w:val="fr-CH"/>
              </w:rPr>
            </w:pPr>
            <w:r w:rsidRPr="002C04A0">
              <w:rPr>
                <w:rFonts w:asciiTheme="minorHAnsi" w:hAnsiTheme="minorHAnsi"/>
                <w:b/>
                <w:bCs/>
                <w:color w:val="4F81BD" w:themeColor="accent1"/>
                <w:sz w:val="20"/>
                <w:szCs w:val="20"/>
                <w:lang w:val="fr-CH"/>
              </w:rPr>
              <w:t>2020</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sz w:val="20"/>
                <w:lang w:val="fr-CH" w:eastAsia="zh-CN"/>
              </w:rPr>
            </w:pPr>
            <w:r w:rsidRPr="002C04A0">
              <w:rPr>
                <w:rFonts w:asciiTheme="minorHAnsi" w:hAnsiTheme="minorHAnsi"/>
                <w:b/>
                <w:bCs/>
                <w:color w:val="4F81BD" w:themeColor="accent1"/>
                <w:sz w:val="20"/>
                <w:szCs w:val="20"/>
                <w:lang w:val="fr-CH"/>
              </w:rPr>
              <w:t>R.1-1:</w:t>
            </w:r>
            <w:r w:rsidRPr="002C04A0">
              <w:rPr>
                <w:rFonts w:asciiTheme="minorHAnsi" w:hAnsiTheme="minorHAnsi"/>
                <w:sz w:val="20"/>
                <w:szCs w:val="20"/>
                <w:lang w:val="fr-CH"/>
              </w:rPr>
              <w:t xml:space="preserve"> Actes finals des conférences mondiales des radiocommunications, mise à jour du Règlement des radiocommunications</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1 082</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1 052</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8 448</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1 057</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tcPr>
          <w:p w:rsidR="00081D6E" w:rsidRPr="002C04A0" w:rsidRDefault="00081D6E" w:rsidP="00BE6EEC">
            <w:pPr>
              <w:pStyle w:val="Tabletext"/>
              <w:rPr>
                <w:rFonts w:asciiTheme="minorHAnsi" w:hAnsiTheme="minorHAnsi"/>
                <w:noProof/>
                <w:szCs w:val="20"/>
                <w:lang w:val="fr-CH"/>
              </w:rPr>
            </w:pPr>
            <w:r w:rsidRPr="002C04A0">
              <w:rPr>
                <w:rFonts w:asciiTheme="minorHAnsi" w:hAnsiTheme="minorHAnsi"/>
                <w:b/>
                <w:bCs/>
                <w:color w:val="4F81BD" w:themeColor="accent1"/>
                <w:szCs w:val="20"/>
                <w:lang w:val="fr-CH"/>
              </w:rPr>
              <w:t>R.1-2:</w:t>
            </w:r>
            <w:r w:rsidRPr="002C04A0">
              <w:rPr>
                <w:rFonts w:asciiTheme="minorHAnsi" w:hAnsiTheme="minorHAnsi"/>
                <w:szCs w:val="20"/>
                <w:lang w:val="fr-CH"/>
              </w:rPr>
              <w:t xml:space="preserve"> Actes finals des conférences régionales des radiocommunications, accords régionaux</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306</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293</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304</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299</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tcPr>
          <w:p w:rsidR="00081D6E" w:rsidRPr="002C04A0" w:rsidRDefault="00081D6E" w:rsidP="00BE6EEC">
            <w:pPr>
              <w:pStyle w:val="Tabletext"/>
              <w:rPr>
                <w:rFonts w:asciiTheme="minorHAnsi" w:hAnsiTheme="minorHAnsi"/>
                <w:noProof/>
                <w:szCs w:val="20"/>
                <w:lang w:val="fr-CH"/>
              </w:rPr>
            </w:pPr>
            <w:r w:rsidRPr="002C04A0">
              <w:rPr>
                <w:rFonts w:asciiTheme="minorHAnsi" w:hAnsiTheme="minorHAnsi"/>
                <w:b/>
                <w:bCs/>
                <w:color w:val="4F81BD" w:themeColor="accent1"/>
                <w:szCs w:val="20"/>
                <w:lang w:val="fr-CH"/>
              </w:rPr>
              <w:t>R.1-3:</w:t>
            </w:r>
            <w:r w:rsidRPr="002C04A0">
              <w:rPr>
                <w:rFonts w:asciiTheme="minorHAnsi" w:hAnsiTheme="minorHAnsi"/>
                <w:szCs w:val="20"/>
                <w:lang w:val="fr-CH"/>
              </w:rPr>
              <w:t xml:space="preserve"> Règles de procédure adoptées par le Comité du Règlement des radiocommunications (RRB)</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1 355</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1 355</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1 324</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1 336</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tcPr>
          <w:p w:rsidR="00081D6E" w:rsidRPr="002C04A0" w:rsidRDefault="00081D6E" w:rsidP="00BE6EEC">
            <w:pPr>
              <w:pStyle w:val="Tabletext"/>
              <w:rPr>
                <w:rFonts w:asciiTheme="minorHAnsi" w:hAnsiTheme="minorHAnsi"/>
                <w:noProof/>
                <w:szCs w:val="20"/>
                <w:lang w:val="fr-CH"/>
              </w:rPr>
            </w:pPr>
            <w:r w:rsidRPr="002C04A0">
              <w:rPr>
                <w:rFonts w:asciiTheme="minorHAnsi" w:hAnsiTheme="minorHAnsi"/>
                <w:b/>
                <w:bCs/>
                <w:color w:val="4F81BD" w:themeColor="accent1"/>
                <w:szCs w:val="20"/>
                <w:lang w:val="fr-CH"/>
              </w:rPr>
              <w:t>R.1-4:</w:t>
            </w:r>
            <w:r w:rsidRPr="002C04A0">
              <w:rPr>
                <w:rFonts w:asciiTheme="minorHAnsi" w:hAnsiTheme="minorHAnsi"/>
                <w:b/>
                <w:bCs/>
                <w:noProof/>
                <w:color w:val="4F81BD" w:themeColor="accent1"/>
                <w:szCs w:val="20"/>
                <w:lang w:val="fr-CH" w:eastAsia="zh-CN"/>
              </w:rPr>
              <w:t xml:space="preserve"> </w:t>
            </w:r>
            <w:r w:rsidRPr="002C04A0">
              <w:rPr>
                <w:rFonts w:asciiTheme="minorHAnsi" w:hAnsiTheme="minorHAnsi"/>
                <w:szCs w:val="20"/>
                <w:lang w:val="fr-CH"/>
              </w:rPr>
              <w:t>Résultats du traitement des fiches de notification (services spatiaux) et des autres activités connexes</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15 427</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15 090</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14 664</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15 043</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tcPr>
          <w:p w:rsidR="00081D6E" w:rsidRPr="002C04A0" w:rsidRDefault="00081D6E" w:rsidP="00BE6EEC">
            <w:pPr>
              <w:pStyle w:val="Tabletext"/>
              <w:rPr>
                <w:rFonts w:asciiTheme="minorHAnsi" w:hAnsiTheme="minorHAnsi"/>
                <w:noProof/>
                <w:szCs w:val="20"/>
                <w:lang w:val="fr-CH"/>
              </w:rPr>
            </w:pPr>
            <w:r w:rsidRPr="002C04A0">
              <w:rPr>
                <w:rFonts w:asciiTheme="minorHAnsi" w:hAnsiTheme="minorHAnsi"/>
                <w:b/>
                <w:bCs/>
                <w:color w:val="4F81BD" w:themeColor="accent1"/>
                <w:szCs w:val="20"/>
                <w:lang w:val="fr-CH"/>
              </w:rPr>
              <w:t>R.1-5:</w:t>
            </w:r>
            <w:r w:rsidRPr="002C04A0">
              <w:rPr>
                <w:rFonts w:asciiTheme="minorHAnsi" w:hAnsiTheme="minorHAnsi"/>
                <w:b/>
                <w:bCs/>
                <w:noProof/>
                <w:color w:val="4F81BD" w:themeColor="accent1"/>
                <w:szCs w:val="20"/>
                <w:lang w:val="fr-CH" w:eastAsia="zh-CN"/>
              </w:rPr>
              <w:t xml:space="preserve"> </w:t>
            </w:r>
            <w:r w:rsidRPr="002C04A0">
              <w:rPr>
                <w:rFonts w:asciiTheme="minorHAnsi" w:hAnsiTheme="minorHAnsi"/>
                <w:szCs w:val="20"/>
                <w:lang w:val="fr-CH"/>
              </w:rPr>
              <w:t>Résultats du traitement des fiches de notification (services de Terre) et des autres activités connexes</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7 652</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7 514</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7 328</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7 469</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tcPr>
          <w:p w:rsidR="00081D6E" w:rsidRPr="002C04A0" w:rsidRDefault="00081D6E" w:rsidP="00BE6EEC">
            <w:pPr>
              <w:pStyle w:val="Tabletext"/>
              <w:rPr>
                <w:rFonts w:asciiTheme="minorHAnsi" w:hAnsiTheme="minorHAnsi"/>
                <w:szCs w:val="20"/>
                <w:lang w:val="fr-CH"/>
              </w:rPr>
            </w:pPr>
            <w:r w:rsidRPr="002C04A0">
              <w:rPr>
                <w:rFonts w:asciiTheme="minorHAnsi" w:hAnsiTheme="minorHAnsi"/>
                <w:b/>
                <w:bCs/>
                <w:color w:val="4F81BD" w:themeColor="accent1"/>
                <w:szCs w:val="20"/>
                <w:lang w:val="fr-CH"/>
              </w:rPr>
              <w:t>R.1-6:</w:t>
            </w:r>
            <w:r w:rsidRPr="002C04A0">
              <w:rPr>
                <w:rFonts w:asciiTheme="minorHAnsi" w:hAnsiTheme="minorHAnsi"/>
                <w:b/>
                <w:bCs/>
                <w:noProof/>
                <w:color w:val="4F81BD" w:themeColor="accent1"/>
                <w:szCs w:val="20"/>
                <w:lang w:val="fr-CH" w:eastAsia="zh-CN"/>
              </w:rPr>
              <w:t xml:space="preserve"> </w:t>
            </w:r>
            <w:r w:rsidRPr="002C04A0">
              <w:rPr>
                <w:rFonts w:asciiTheme="minorHAnsi" w:hAnsiTheme="minorHAnsi"/>
                <w:szCs w:val="20"/>
                <w:lang w:val="fr-CH"/>
              </w:rPr>
              <w:t>Décisions du RRB autres que celles correspondant à l'adoption de Règles de procédure</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1 582</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1 546</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1 507</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1 557</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tcPr>
          <w:p w:rsidR="00081D6E" w:rsidRPr="002C04A0" w:rsidRDefault="00081D6E" w:rsidP="00BE6EEC">
            <w:pPr>
              <w:pStyle w:val="Tabletext"/>
              <w:rPr>
                <w:rFonts w:asciiTheme="minorHAnsi" w:hAnsiTheme="minorHAnsi"/>
                <w:szCs w:val="20"/>
                <w:lang w:val="fr-CH"/>
              </w:rPr>
            </w:pPr>
            <w:r w:rsidRPr="002C04A0">
              <w:rPr>
                <w:rFonts w:asciiTheme="minorHAnsi" w:hAnsiTheme="minorHAnsi"/>
                <w:b/>
                <w:bCs/>
                <w:color w:val="4F81BD" w:themeColor="accent1"/>
                <w:szCs w:val="20"/>
                <w:lang w:val="fr-CH"/>
              </w:rPr>
              <w:t>R.1-7:</w:t>
            </w:r>
            <w:r w:rsidRPr="002C04A0">
              <w:rPr>
                <w:rFonts w:asciiTheme="minorHAnsi" w:hAnsiTheme="minorHAnsi"/>
                <w:b/>
                <w:bCs/>
                <w:noProof/>
                <w:color w:val="4F81BD" w:themeColor="accent1"/>
                <w:szCs w:val="20"/>
                <w:lang w:val="fr-CH" w:eastAsia="zh-CN"/>
              </w:rPr>
              <w:t xml:space="preserve"> </w:t>
            </w:r>
            <w:r w:rsidRPr="002C04A0">
              <w:rPr>
                <w:rFonts w:asciiTheme="minorHAnsi" w:hAnsiTheme="minorHAnsi"/>
                <w:szCs w:val="20"/>
                <w:lang w:val="fr-CH"/>
              </w:rPr>
              <w:t>Amélioration des logiciels de l'UIT-R</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7 323</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7 183</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6 924</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7 141</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vAlign w:val="center"/>
          </w:tcPr>
          <w:p w:rsidR="00081D6E" w:rsidRPr="002C04A0" w:rsidRDefault="00081D6E" w:rsidP="00BE6EEC">
            <w:pPr>
              <w:pStyle w:val="Tabletext"/>
              <w:rPr>
                <w:rFonts w:asciiTheme="minorHAnsi" w:hAnsiTheme="minorHAnsi"/>
                <w:szCs w:val="20"/>
                <w:lang w:val="fr-CH"/>
              </w:rPr>
            </w:pPr>
            <w:r w:rsidRPr="002C04A0">
              <w:rPr>
                <w:rFonts w:asciiTheme="minorHAnsi" w:hAnsiTheme="minorHAnsi"/>
                <w:szCs w:val="20"/>
                <w:lang w:val="fr-CH"/>
              </w:rPr>
              <w:t>Ventilation des coûts entre la Conférence de plénipotentiaires et les activités du Conseil (</w:t>
            </w:r>
            <w:r w:rsidRPr="002C04A0">
              <w:rPr>
                <w:rFonts w:asciiTheme="minorHAnsi" w:hAnsiTheme="minorHAnsi"/>
                <w:b/>
                <w:bCs/>
                <w:color w:val="4F81BD" w:themeColor="accent1"/>
                <w:szCs w:val="20"/>
                <w:lang w:val="fr-CH"/>
              </w:rPr>
              <w:t>PP</w:t>
            </w:r>
            <w:r w:rsidRPr="002C04A0">
              <w:rPr>
                <w:rFonts w:asciiTheme="minorHAnsi" w:hAnsiTheme="minorHAnsi"/>
                <w:szCs w:val="20"/>
                <w:lang w:val="fr-CH"/>
              </w:rPr>
              <w:t xml:space="preserve">, </w:t>
            </w:r>
            <w:r w:rsidRPr="002C04A0">
              <w:rPr>
                <w:rFonts w:asciiTheme="minorHAnsi" w:hAnsiTheme="minorHAnsi"/>
                <w:b/>
                <w:bCs/>
                <w:color w:val="4F81BD" w:themeColor="accent1"/>
                <w:szCs w:val="20"/>
                <w:lang w:val="fr-CH"/>
              </w:rPr>
              <w:t>Conseil/GTC</w:t>
            </w:r>
            <w:r w:rsidRPr="002C04A0">
              <w:rPr>
                <w:rFonts w:asciiTheme="minorHAnsi" w:hAnsiTheme="minorHAnsi"/>
                <w:szCs w:val="20"/>
                <w:lang w:val="fr-CH"/>
              </w:rPr>
              <w:t>)</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1 218</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1 993</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1 310</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1 407</w:t>
            </w:r>
          </w:p>
        </w:tc>
      </w:tr>
      <w:tr w:rsidR="00081D6E" w:rsidRPr="002C04A0" w:rsidTr="00081D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620" w:firstRow="1" w:lastRow="0" w:firstColumn="0" w:lastColumn="0" w:noHBand="1" w:noVBand="1"/>
        </w:tblPrEx>
        <w:tc>
          <w:tcPr>
            <w:tcW w:w="8075" w:type="dxa"/>
            <w:gridSpan w:val="2"/>
            <w:vAlign w:val="center"/>
          </w:tcPr>
          <w:p w:rsidR="00081D6E" w:rsidRPr="002C04A0" w:rsidRDefault="00081D6E" w:rsidP="00BE6EEC">
            <w:pPr>
              <w:pStyle w:val="Tabletext"/>
              <w:rPr>
                <w:rFonts w:asciiTheme="minorHAnsi" w:hAnsiTheme="minorHAnsi"/>
                <w:b/>
                <w:bCs/>
                <w:noProof/>
                <w:color w:val="4F81BD" w:themeColor="accent1"/>
                <w:szCs w:val="20"/>
                <w:lang w:eastAsia="zh-CN"/>
              </w:rPr>
            </w:pPr>
            <w:r w:rsidRPr="002C04A0">
              <w:rPr>
                <w:rFonts w:asciiTheme="minorHAnsi" w:hAnsiTheme="minorHAnsi"/>
                <w:b/>
                <w:bCs/>
                <w:color w:val="5B9BD5"/>
                <w:szCs w:val="20"/>
              </w:rPr>
              <w:t>Total pour l'Objectif R.1</w:t>
            </w:r>
          </w:p>
        </w:tc>
        <w:tc>
          <w:tcPr>
            <w:tcW w:w="1630" w:type="dxa"/>
            <w:gridSpan w:val="3"/>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35 945</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36 026</w:t>
            </w:r>
          </w:p>
        </w:tc>
        <w:tc>
          <w:tcPr>
            <w:tcW w:w="1630"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41 809</w:t>
            </w:r>
          </w:p>
        </w:tc>
        <w:tc>
          <w:tcPr>
            <w:tcW w:w="1631" w:type="dxa"/>
            <w:gridSpan w:val="2"/>
            <w:vAlign w:val="center"/>
          </w:tcPr>
          <w:p w:rsidR="00081D6E" w:rsidRPr="002C04A0" w:rsidRDefault="00081D6E" w:rsidP="00BE6EEC">
            <w:pPr>
              <w:spacing w:line="240" w:lineRule="auto"/>
              <w:jc w:val="center"/>
              <w:rPr>
                <w:rFonts w:asciiTheme="minorHAnsi" w:hAnsiTheme="minorHAnsi"/>
                <w:sz w:val="20"/>
              </w:rPr>
            </w:pPr>
            <w:r w:rsidRPr="002C04A0">
              <w:rPr>
                <w:rFonts w:asciiTheme="minorHAnsi" w:hAnsiTheme="minorHAnsi"/>
                <w:sz w:val="20"/>
              </w:rPr>
              <w:t>35 309</w:t>
            </w:r>
          </w:p>
        </w:tc>
      </w:tr>
    </w:tbl>
    <w:p w:rsidR="00081D6E" w:rsidRPr="002C04A0" w:rsidRDefault="00081D6E" w:rsidP="00BE6EEC">
      <w:pPr>
        <w:pStyle w:val="Heading2"/>
        <w:spacing w:after="60" w:line="240" w:lineRule="auto"/>
        <w:rPr>
          <w:rFonts w:asciiTheme="minorHAnsi" w:hAnsiTheme="minorHAnsi"/>
        </w:rPr>
      </w:pPr>
    </w:p>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b/>
        </w:rPr>
      </w:pPr>
      <w:r w:rsidRPr="002C04A0">
        <w:rPr>
          <w:rFonts w:asciiTheme="minorHAnsi" w:hAnsiTheme="minorHAnsi"/>
        </w:rPr>
        <w:br w:type="page"/>
      </w:r>
    </w:p>
    <w:p w:rsidR="00081D6E" w:rsidRPr="002C04A0" w:rsidRDefault="00081D6E" w:rsidP="00BE6EEC">
      <w:pPr>
        <w:pStyle w:val="Heading2"/>
        <w:spacing w:after="60" w:line="240" w:lineRule="auto"/>
        <w:rPr>
          <w:rFonts w:asciiTheme="minorHAnsi" w:hAnsiTheme="minorHAnsi"/>
          <w:lang w:val="fr-CH"/>
        </w:rPr>
      </w:pPr>
      <w:r w:rsidRPr="002C04A0">
        <w:rPr>
          <w:rFonts w:asciiTheme="minorHAnsi" w:hAnsiTheme="minorHAnsi"/>
          <w:lang w:val="fr-CH"/>
        </w:rPr>
        <w:lastRenderedPageBreak/>
        <w:t>5.2</w:t>
      </w:r>
      <w:r w:rsidRPr="002C04A0">
        <w:rPr>
          <w:rFonts w:asciiTheme="minorHAnsi" w:hAnsiTheme="minorHAnsi"/>
          <w:lang w:val="fr-CH"/>
        </w:rPr>
        <w:tab/>
        <w:t>R.2</w:t>
      </w:r>
      <w:r w:rsidRPr="002C04A0">
        <w:rPr>
          <w:rFonts w:asciiTheme="minorHAnsi" w:hAnsiTheme="minorHAnsi"/>
          <w:lang w:val="fr-CH"/>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rsidR="00081D6E" w:rsidRPr="002C04A0" w:rsidRDefault="00081D6E" w:rsidP="00BE6EEC">
      <w:pPr>
        <w:spacing w:line="240" w:lineRule="auto"/>
        <w:rPr>
          <w:rFonts w:asciiTheme="minorHAnsi" w:hAnsiTheme="minorHAnsi"/>
          <w:lang w:val="fr-CH"/>
        </w:rPr>
      </w:pP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123"/>
        <w:gridCol w:w="1134"/>
        <w:gridCol w:w="994"/>
        <w:gridCol w:w="1132"/>
        <w:gridCol w:w="2939"/>
      </w:tblGrid>
      <w:tr w:rsidR="00081D6E" w:rsidRPr="002C04A0" w:rsidTr="00081D6E">
        <w:trPr>
          <w:trHeight w:val="320"/>
          <w:tblHeader/>
        </w:trPr>
        <w:tc>
          <w:tcPr>
            <w:tcW w:w="3669" w:type="dxa"/>
            <w:shd w:val="clear" w:color="000000" w:fill="2F75B5"/>
            <w:noWrap/>
            <w:hideMark/>
          </w:tcPr>
          <w:p w:rsidR="00081D6E" w:rsidRPr="002C04A0" w:rsidRDefault="00081D6E" w:rsidP="00BA16FB">
            <w:pPr>
              <w:spacing w:before="80" w:after="80" w:line="240" w:lineRule="auto"/>
              <w:jc w:val="center"/>
              <w:rPr>
                <w:rFonts w:asciiTheme="minorHAnsi" w:hAnsiTheme="minorHAnsi"/>
                <w:b/>
                <w:bCs/>
                <w:color w:val="FFFFFF"/>
                <w:sz w:val="20"/>
                <w:lang w:eastAsia="fr-FR"/>
              </w:rPr>
            </w:pPr>
            <w:r w:rsidRPr="002C04A0">
              <w:rPr>
                <w:rFonts w:asciiTheme="minorHAnsi" w:eastAsiaTheme="minorHAnsi" w:hAnsiTheme="minorHAnsi" w:cstheme="minorBidi"/>
                <w:bCs/>
                <w:color w:val="FFFFFF" w:themeColor="background1"/>
                <w:sz w:val="20"/>
              </w:rPr>
              <w:t>Résultat</w:t>
            </w:r>
          </w:p>
        </w:tc>
        <w:tc>
          <w:tcPr>
            <w:tcW w:w="4123" w:type="dxa"/>
            <w:shd w:val="clear" w:color="000000" w:fill="2F75B5"/>
            <w:noWrap/>
            <w:hideMark/>
          </w:tcPr>
          <w:p w:rsidR="00081D6E" w:rsidRPr="002C04A0" w:rsidRDefault="00081D6E" w:rsidP="00BA16FB">
            <w:pPr>
              <w:spacing w:before="80" w:after="80" w:line="240" w:lineRule="auto"/>
              <w:jc w:val="center"/>
              <w:rPr>
                <w:rFonts w:asciiTheme="minorHAnsi" w:hAnsiTheme="minorHAnsi"/>
                <w:b/>
                <w:bCs/>
                <w:color w:val="FFFFFF"/>
                <w:sz w:val="20"/>
                <w:lang w:eastAsia="fr-FR"/>
              </w:rPr>
            </w:pPr>
            <w:r w:rsidRPr="002C04A0">
              <w:rPr>
                <w:rFonts w:asciiTheme="minorHAnsi" w:eastAsiaTheme="minorHAnsi" w:hAnsiTheme="minorHAnsi" w:cstheme="minorBidi"/>
                <w:bCs/>
                <w:color w:val="FFFFFF" w:themeColor="background1"/>
                <w:sz w:val="20"/>
              </w:rPr>
              <w:t>Indicateur de résultats</w:t>
            </w:r>
            <w:r w:rsidRPr="002C04A0">
              <w:rPr>
                <w:rStyle w:val="FootnoteReference"/>
                <w:rFonts w:asciiTheme="minorHAnsi" w:eastAsiaTheme="minorHAnsi" w:hAnsiTheme="minorHAnsi" w:cstheme="minorBidi"/>
                <w:bCs/>
                <w:color w:val="FFFFFF" w:themeColor="background1"/>
              </w:rPr>
              <w:footnoteReference w:id="7"/>
            </w:r>
          </w:p>
        </w:tc>
        <w:tc>
          <w:tcPr>
            <w:tcW w:w="1134" w:type="dxa"/>
            <w:shd w:val="clear" w:color="000000" w:fill="2F75B5"/>
            <w:noWrap/>
            <w:hideMark/>
          </w:tcPr>
          <w:p w:rsidR="00081D6E" w:rsidRPr="002C04A0" w:rsidRDefault="00081D6E" w:rsidP="00BE6EEC">
            <w:pPr>
              <w:spacing w:before="80" w:after="80" w:line="240" w:lineRule="auto"/>
              <w:jc w:val="center"/>
              <w:rPr>
                <w:rFonts w:asciiTheme="minorHAnsi" w:eastAsiaTheme="minorHAnsi" w:hAnsiTheme="minorHAnsi" w:cstheme="minorBidi"/>
                <w:bCs/>
                <w:color w:val="FFFFFF" w:themeColor="background1"/>
                <w:sz w:val="20"/>
              </w:rPr>
            </w:pPr>
            <w:r w:rsidRPr="002C04A0">
              <w:rPr>
                <w:rFonts w:asciiTheme="minorHAnsi" w:eastAsiaTheme="minorHAnsi" w:hAnsiTheme="minorHAnsi" w:cstheme="minorBidi"/>
                <w:bCs/>
                <w:color w:val="FFFFFF" w:themeColor="background1"/>
                <w:sz w:val="20"/>
              </w:rPr>
              <w:t>2014</w:t>
            </w:r>
          </w:p>
        </w:tc>
        <w:tc>
          <w:tcPr>
            <w:tcW w:w="994" w:type="dxa"/>
            <w:shd w:val="clear" w:color="000000" w:fill="2F75B5"/>
            <w:noWrap/>
            <w:hideMark/>
          </w:tcPr>
          <w:p w:rsidR="00081D6E" w:rsidRPr="002C04A0" w:rsidRDefault="00081D6E" w:rsidP="00BE6EEC">
            <w:pPr>
              <w:spacing w:before="80" w:after="80" w:line="240" w:lineRule="auto"/>
              <w:jc w:val="center"/>
              <w:rPr>
                <w:rFonts w:asciiTheme="minorHAnsi" w:eastAsiaTheme="minorHAnsi" w:hAnsiTheme="minorHAnsi" w:cstheme="minorBidi"/>
                <w:bCs/>
                <w:color w:val="FFFFFF" w:themeColor="background1"/>
                <w:sz w:val="20"/>
              </w:rPr>
            </w:pPr>
            <w:r w:rsidRPr="002C04A0">
              <w:rPr>
                <w:rFonts w:asciiTheme="minorHAnsi" w:eastAsiaTheme="minorHAnsi" w:hAnsiTheme="minorHAnsi" w:cstheme="minorBidi"/>
                <w:bCs/>
                <w:color w:val="FFFFFF" w:themeColor="background1"/>
                <w:sz w:val="20"/>
              </w:rPr>
              <w:t>2015</w:t>
            </w:r>
          </w:p>
        </w:tc>
        <w:tc>
          <w:tcPr>
            <w:tcW w:w="1132" w:type="dxa"/>
            <w:shd w:val="clear" w:color="000000" w:fill="2F75B5"/>
            <w:noWrap/>
            <w:hideMark/>
          </w:tcPr>
          <w:p w:rsidR="00081D6E" w:rsidRPr="002C04A0" w:rsidRDefault="00081D6E" w:rsidP="00BE6EEC">
            <w:pPr>
              <w:spacing w:before="80" w:after="80" w:line="240" w:lineRule="auto"/>
              <w:jc w:val="center"/>
              <w:rPr>
                <w:rFonts w:asciiTheme="minorHAnsi" w:hAnsiTheme="minorHAnsi"/>
                <w:b/>
                <w:bCs/>
                <w:color w:val="FFFFFF"/>
                <w:sz w:val="20"/>
                <w:lang w:eastAsia="fr-FR"/>
              </w:rPr>
            </w:pPr>
            <w:r w:rsidRPr="002C04A0">
              <w:rPr>
                <w:rFonts w:asciiTheme="minorHAnsi" w:eastAsiaTheme="minorHAnsi" w:hAnsiTheme="minorHAnsi" w:cstheme="minorBidi"/>
                <w:bCs/>
                <w:color w:val="FFFFFF" w:themeColor="background1"/>
                <w:sz w:val="20"/>
              </w:rPr>
              <w:t>Cible pour 2020</w:t>
            </w:r>
          </w:p>
        </w:tc>
        <w:tc>
          <w:tcPr>
            <w:tcW w:w="2939" w:type="dxa"/>
            <w:shd w:val="clear" w:color="000000" w:fill="2F75B5"/>
            <w:noWrap/>
            <w:hideMark/>
          </w:tcPr>
          <w:p w:rsidR="00081D6E" w:rsidRPr="002C04A0" w:rsidRDefault="00081D6E" w:rsidP="00AD1506">
            <w:pPr>
              <w:spacing w:before="80" w:after="80" w:line="240" w:lineRule="auto"/>
              <w:jc w:val="center"/>
              <w:rPr>
                <w:rFonts w:asciiTheme="minorHAnsi" w:hAnsiTheme="minorHAnsi"/>
                <w:b/>
                <w:bCs/>
                <w:color w:val="FFFFFF"/>
                <w:sz w:val="20"/>
                <w:lang w:eastAsia="fr-FR"/>
              </w:rPr>
            </w:pPr>
            <w:r w:rsidRPr="002C04A0">
              <w:rPr>
                <w:rFonts w:asciiTheme="minorHAnsi" w:eastAsiaTheme="minorHAnsi" w:hAnsiTheme="minorHAnsi" w:cstheme="minorBidi"/>
                <w:bCs/>
                <w:color w:val="FFFFFF" w:themeColor="background1"/>
                <w:sz w:val="20"/>
              </w:rPr>
              <w:t>Source</w:t>
            </w:r>
          </w:p>
        </w:tc>
      </w:tr>
      <w:tr w:rsidR="00081D6E" w:rsidRPr="002C04A0" w:rsidTr="00081D6E">
        <w:trPr>
          <w:trHeight w:val="690"/>
        </w:trPr>
        <w:tc>
          <w:tcPr>
            <w:tcW w:w="3669" w:type="dxa"/>
            <w:tcBorders>
              <w:top w:val="single" w:sz="6" w:space="0" w:color="auto"/>
              <w:bottom w:val="single" w:sz="6" w:space="0" w:color="auto"/>
            </w:tcBorders>
            <w:shd w:val="clear" w:color="auto" w:fill="auto"/>
            <w:hideMark/>
          </w:tcPr>
          <w:p w:rsidR="00081D6E" w:rsidRPr="002C04A0" w:rsidRDefault="00081D6E" w:rsidP="00BA16FB">
            <w:pPr>
              <w:pStyle w:val="Tabletext"/>
              <w:rPr>
                <w:rFonts w:asciiTheme="minorHAnsi" w:eastAsia="Calibri" w:hAnsiTheme="minorHAnsi" w:cs="Arial"/>
                <w:lang w:val="fr-CH"/>
              </w:rPr>
            </w:pPr>
            <w:r w:rsidRPr="002C04A0">
              <w:rPr>
                <w:rFonts w:asciiTheme="minorHAnsi" w:eastAsia="Calibri" w:hAnsiTheme="minorHAnsi" w:cs="Arial"/>
                <w:color w:val="4F81BD" w:themeColor="accent1"/>
                <w:lang w:val="fr-CH"/>
              </w:rPr>
              <w:t>R.1-5</w:t>
            </w:r>
            <w:r w:rsidRPr="002C04A0">
              <w:rPr>
                <w:rFonts w:asciiTheme="minorHAnsi" w:eastAsia="Calibri" w:hAnsiTheme="minorHAnsi" w:cs="Arial"/>
                <w:lang w:val="fr-CH"/>
              </w:rPr>
              <w:t xml:space="preserve">: </w:t>
            </w:r>
            <w:r w:rsidRPr="002C04A0">
              <w:rPr>
                <w:rFonts w:asciiTheme="minorHAnsi" w:hAnsiTheme="minorHAnsi"/>
                <w:lang w:val="fr-CH"/>
              </w:rPr>
              <w:t>Pourcentage accru de fréquences assignées à des réseaux à satellite et exemptes de brouillage préjudiciable</w:t>
            </w: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Pourcentage de fréquences assignées à des réseaux à satellite et exemptes de brouillage préjudiciable</w:t>
            </w:r>
          </w:p>
        </w:tc>
        <w:tc>
          <w:tcPr>
            <w:tcW w:w="1134" w:type="dxa"/>
            <w:tcBorders>
              <w:top w:val="single" w:sz="6" w:space="0" w:color="auto"/>
              <w:bottom w:val="single" w:sz="6" w:space="0" w:color="auto"/>
            </w:tcBorders>
            <w:shd w:val="clear" w:color="auto" w:fill="auto"/>
            <w:noWrap/>
            <w:hideMark/>
          </w:tcPr>
          <w:p w:rsidR="00081D6E" w:rsidRPr="002C04A0" w:rsidRDefault="00081D6E" w:rsidP="00BE6EEC">
            <w:pPr>
              <w:spacing w:before="40" w:after="40" w:line="240" w:lineRule="auto"/>
              <w:jc w:val="center"/>
              <w:rPr>
                <w:rFonts w:asciiTheme="minorHAnsi" w:hAnsiTheme="minorHAnsi"/>
                <w:sz w:val="20"/>
              </w:rPr>
            </w:pPr>
            <w:r w:rsidRPr="002C04A0">
              <w:rPr>
                <w:rFonts w:asciiTheme="minorHAnsi" w:hAnsiTheme="minorHAnsi"/>
                <w:sz w:val="20"/>
              </w:rPr>
              <w:t>99,97%</w:t>
            </w:r>
          </w:p>
        </w:tc>
        <w:tc>
          <w:tcPr>
            <w:tcW w:w="994" w:type="dxa"/>
            <w:tcBorders>
              <w:top w:val="single" w:sz="6" w:space="0" w:color="auto"/>
              <w:bottom w:val="single" w:sz="6" w:space="0" w:color="auto"/>
            </w:tcBorders>
            <w:shd w:val="clear" w:color="auto" w:fill="auto"/>
            <w:noWrap/>
            <w:hideMark/>
          </w:tcPr>
          <w:p w:rsidR="00081D6E" w:rsidRPr="002C04A0" w:rsidRDefault="00081D6E" w:rsidP="00BE6EEC">
            <w:pPr>
              <w:spacing w:before="40" w:after="40" w:line="240" w:lineRule="auto"/>
              <w:jc w:val="center"/>
              <w:rPr>
                <w:rFonts w:asciiTheme="minorHAnsi" w:hAnsiTheme="minorHAnsi"/>
                <w:sz w:val="20"/>
              </w:rPr>
            </w:pPr>
            <w:r w:rsidRPr="002C04A0">
              <w:rPr>
                <w:rFonts w:asciiTheme="minorHAnsi" w:hAnsiTheme="minorHAnsi"/>
                <w:sz w:val="20"/>
              </w:rPr>
              <w:t>99,96%</w:t>
            </w:r>
          </w:p>
        </w:tc>
        <w:tc>
          <w:tcPr>
            <w:tcW w:w="1132" w:type="dxa"/>
            <w:tcBorders>
              <w:top w:val="single" w:sz="6" w:space="0" w:color="auto"/>
              <w:bottom w:val="single" w:sz="6" w:space="0" w:color="auto"/>
            </w:tcBorders>
            <w:shd w:val="clear" w:color="auto" w:fill="auto"/>
            <w:noWrap/>
            <w:hideMark/>
          </w:tcPr>
          <w:p w:rsidR="00081D6E" w:rsidRPr="002C04A0" w:rsidRDefault="00081D6E" w:rsidP="00BE6EEC">
            <w:pPr>
              <w:spacing w:before="40" w:after="40" w:line="240" w:lineRule="auto"/>
              <w:jc w:val="center"/>
              <w:rPr>
                <w:rFonts w:asciiTheme="minorHAnsi" w:hAnsiTheme="minorHAnsi"/>
                <w:sz w:val="20"/>
              </w:rPr>
            </w:pPr>
            <w:r w:rsidRPr="002C04A0">
              <w:rPr>
                <w:rFonts w:asciiTheme="minorHAnsi" w:hAnsiTheme="minorHAnsi"/>
                <w:sz w:val="20"/>
              </w:rPr>
              <w:t>99,99%</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sz w:val="20"/>
                <w:lang w:val="fr-CH" w:eastAsia="fr-FR"/>
              </w:rPr>
            </w:pPr>
            <w:r w:rsidRPr="002C04A0">
              <w:rPr>
                <w:rFonts w:asciiTheme="minorHAnsi" w:hAnsiTheme="minorHAnsi"/>
                <w:sz w:val="20"/>
                <w:lang w:val="fr-CH"/>
              </w:rPr>
              <w:t>Fichier de référence international des fréquences/BR</w:t>
            </w:r>
          </w:p>
        </w:tc>
      </w:tr>
      <w:tr w:rsidR="00081D6E" w:rsidRPr="002C04A0" w:rsidTr="00081D6E">
        <w:trPr>
          <w:trHeight w:val="660"/>
        </w:trPr>
        <w:tc>
          <w:tcPr>
            <w:tcW w:w="3669"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r w:rsidRPr="002C04A0">
              <w:rPr>
                <w:rFonts w:asciiTheme="minorHAnsi" w:eastAsia="Calibri" w:hAnsiTheme="minorHAnsi" w:cs="Arial"/>
                <w:color w:val="4F81BD" w:themeColor="accent1"/>
                <w:sz w:val="20"/>
                <w:lang w:val="fr-CH"/>
              </w:rPr>
              <w:t>R.1-6</w:t>
            </w:r>
            <w:r w:rsidRPr="002C04A0">
              <w:rPr>
                <w:rFonts w:asciiTheme="minorHAnsi" w:eastAsia="Calibri" w:hAnsiTheme="minorHAnsi" w:cs="Arial"/>
                <w:sz w:val="20"/>
                <w:lang w:val="fr-CH"/>
              </w:rPr>
              <w:t xml:space="preserve">: </w:t>
            </w:r>
            <w:r w:rsidRPr="002C04A0">
              <w:rPr>
                <w:rFonts w:asciiTheme="minorHAnsi" w:hAnsiTheme="minorHAnsi"/>
                <w:sz w:val="20"/>
                <w:lang w:val="fr-CH"/>
              </w:rPr>
              <w:t>Pourcentage accru d'assignations à des services de Terre inscrites dans le Fichier de référence et exemptes de brouillage préjudiciable</w:t>
            </w: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Pourcentage d'assignations à des services de Terre inscrites dans le Fichier de référence international des fréquences et exemptes de brouillage préjudiciable (sur la base du nombre de cas signalés à l'UIT au cours des quatre dernières années)</w:t>
            </w:r>
          </w:p>
        </w:tc>
        <w:tc>
          <w:tcPr>
            <w:tcW w:w="1134" w:type="dxa"/>
            <w:tcBorders>
              <w:top w:val="single" w:sz="6" w:space="0" w:color="auto"/>
              <w:bottom w:val="single" w:sz="6" w:space="0" w:color="auto"/>
            </w:tcBorders>
            <w:shd w:val="clear" w:color="auto" w:fill="auto"/>
            <w:noWrap/>
            <w:hideMark/>
          </w:tcPr>
          <w:p w:rsidR="00081D6E" w:rsidRPr="002C04A0" w:rsidRDefault="00081D6E" w:rsidP="00BE6EEC">
            <w:pPr>
              <w:spacing w:before="40" w:after="40" w:line="240" w:lineRule="auto"/>
              <w:jc w:val="center"/>
              <w:rPr>
                <w:rFonts w:asciiTheme="minorHAnsi" w:hAnsiTheme="minorHAnsi"/>
                <w:sz w:val="20"/>
              </w:rPr>
            </w:pPr>
            <w:r w:rsidRPr="002C04A0">
              <w:rPr>
                <w:rFonts w:asciiTheme="minorHAnsi" w:hAnsiTheme="minorHAnsi"/>
                <w:sz w:val="20"/>
              </w:rPr>
              <w:t>99,99%</w:t>
            </w:r>
          </w:p>
        </w:tc>
        <w:tc>
          <w:tcPr>
            <w:tcW w:w="99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rPr>
            </w:pPr>
            <w:r w:rsidRPr="002C04A0">
              <w:rPr>
                <w:rFonts w:asciiTheme="minorHAnsi" w:hAnsiTheme="minorHAnsi"/>
                <w:sz w:val="20"/>
              </w:rPr>
              <w:t>99,99%</w:t>
            </w:r>
          </w:p>
        </w:tc>
        <w:tc>
          <w:tcPr>
            <w:tcW w:w="1132" w:type="dxa"/>
            <w:tcBorders>
              <w:top w:val="single" w:sz="6" w:space="0" w:color="auto"/>
              <w:bottom w:val="single" w:sz="6" w:space="0" w:color="auto"/>
            </w:tcBorders>
            <w:shd w:val="clear" w:color="auto" w:fill="auto"/>
            <w:noWrap/>
            <w:hideMark/>
          </w:tcPr>
          <w:p w:rsidR="00081D6E" w:rsidRPr="002C04A0" w:rsidRDefault="00081D6E" w:rsidP="00BE6EEC">
            <w:pPr>
              <w:spacing w:before="40" w:after="40" w:line="240" w:lineRule="auto"/>
              <w:jc w:val="center"/>
              <w:rPr>
                <w:rFonts w:asciiTheme="minorHAnsi" w:hAnsiTheme="minorHAnsi"/>
                <w:sz w:val="20"/>
              </w:rPr>
            </w:pPr>
            <w:r w:rsidRPr="002C04A0">
              <w:rPr>
                <w:rFonts w:asciiTheme="minorHAnsi" w:hAnsiTheme="minorHAnsi"/>
                <w:sz w:val="20"/>
              </w:rPr>
              <w:t>99,99%</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sz w:val="20"/>
                <w:lang w:val="fr-CH" w:eastAsia="fr-FR"/>
              </w:rPr>
            </w:pPr>
            <w:r w:rsidRPr="002C04A0">
              <w:rPr>
                <w:rFonts w:asciiTheme="minorHAnsi" w:hAnsiTheme="minorHAnsi"/>
                <w:sz w:val="20"/>
                <w:lang w:val="fr-CH"/>
              </w:rPr>
              <w:t>Fichier de référence international des fréquences/BR</w:t>
            </w:r>
          </w:p>
        </w:tc>
      </w:tr>
      <w:tr w:rsidR="00081D6E" w:rsidRPr="002C04A0" w:rsidTr="00081D6E">
        <w:trPr>
          <w:trHeight w:val="315"/>
        </w:trPr>
        <w:tc>
          <w:tcPr>
            <w:tcW w:w="3669" w:type="dxa"/>
            <w:vMerge w:val="restart"/>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r w:rsidRPr="002C04A0">
              <w:rPr>
                <w:rFonts w:asciiTheme="minorHAnsi" w:eastAsia="Calibri" w:hAnsiTheme="minorHAnsi" w:cs="Arial"/>
                <w:b/>
                <w:bCs/>
                <w:color w:val="4F81BD" w:themeColor="accent1"/>
                <w:sz w:val="20"/>
                <w:lang w:val="fr-CH"/>
              </w:rPr>
              <w:t>R.2-1</w:t>
            </w:r>
            <w:r w:rsidRPr="002C04A0">
              <w:rPr>
                <w:rFonts w:asciiTheme="minorHAnsi" w:eastAsia="Calibri" w:hAnsiTheme="minorHAnsi" w:cs="Arial"/>
                <w:sz w:val="20"/>
                <w:lang w:val="fr-CH"/>
              </w:rPr>
              <w:t xml:space="preserve">: </w:t>
            </w:r>
            <w:r w:rsidRPr="002C04A0">
              <w:rPr>
                <w:rFonts w:asciiTheme="minorHAnsi" w:hAnsiTheme="minorHAnsi"/>
                <w:sz w:val="20"/>
                <w:lang w:val="fr-CH"/>
              </w:rPr>
              <w:t>Accès accru au large bande mobile, y compris dans les bandes de fréquences identifiées pour les Télécommunications mobiles internationales (IMT)</w:t>
            </w: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eastAsia="fr-FR"/>
              </w:rPr>
            </w:pPr>
            <w:r w:rsidRPr="002C04A0">
              <w:rPr>
                <w:rFonts w:asciiTheme="minorHAnsi" w:hAnsiTheme="minorHAnsi"/>
                <w:sz w:val="20"/>
                <w:lang w:val="fr-CH"/>
              </w:rPr>
              <w:t>Nombre d'abonnés/d'abonnements (milliard)</w:t>
            </w:r>
          </w:p>
        </w:tc>
        <w:tc>
          <w:tcPr>
            <w:tcW w:w="113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6,95/5,00</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7,09/5,20</w:t>
            </w:r>
          </w:p>
        </w:tc>
        <w:tc>
          <w:tcPr>
            <w:tcW w:w="1132"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9,20</w:t>
            </w:r>
          </w:p>
        </w:tc>
        <w:tc>
          <w:tcPr>
            <w:tcW w:w="2939" w:type="dxa"/>
            <w:vMerge w:val="restart"/>
            <w:tcBorders>
              <w:top w:val="single" w:sz="6" w:space="0" w:color="auto"/>
              <w:bottom w:val="single" w:sz="6" w:space="0" w:color="auto"/>
            </w:tcBorders>
            <w:shd w:val="clear" w:color="auto" w:fill="auto"/>
            <w:hideMark/>
          </w:tcPr>
          <w:p w:rsidR="00081D6E" w:rsidRPr="002C04A0" w:rsidRDefault="00081D6E" w:rsidP="00AD1506">
            <w:pPr>
              <w:pStyle w:val="Tabletext"/>
              <w:rPr>
                <w:rFonts w:asciiTheme="minorHAnsi" w:hAnsiTheme="minorHAnsi"/>
                <w:color w:val="000000"/>
                <w:lang w:val="fr-CH"/>
              </w:rPr>
            </w:pPr>
            <w:r w:rsidRPr="002C04A0">
              <w:rPr>
                <w:rFonts w:asciiTheme="minorHAnsi" w:hAnsiTheme="minorHAnsi"/>
                <w:color w:val="000000"/>
                <w:lang w:val="fr-CH"/>
              </w:rPr>
              <w:t>La situation du large bande édition 2015: Rapport de la Commission "Le large bande au service du développement numérique", septembre 2015</w:t>
            </w:r>
          </w:p>
        </w:tc>
      </w:tr>
      <w:tr w:rsidR="00081D6E" w:rsidRPr="002C04A0" w:rsidTr="00081D6E">
        <w:trPr>
          <w:trHeight w:val="340"/>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Pourcentage d'abonnements au large bande mobile</w:t>
            </w:r>
          </w:p>
        </w:tc>
        <w:tc>
          <w:tcPr>
            <w:tcW w:w="113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38,7%</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48,8%</w:t>
            </w:r>
          </w:p>
        </w:tc>
        <w:tc>
          <w:tcPr>
            <w:tcW w:w="1132"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83,7%</w:t>
            </w:r>
          </w:p>
        </w:tc>
        <w:tc>
          <w:tcPr>
            <w:tcW w:w="2939" w:type="dxa"/>
            <w:vMerge/>
            <w:tcBorders>
              <w:top w:val="single" w:sz="6" w:space="0" w:color="auto"/>
              <w:bottom w:val="single" w:sz="6" w:space="0" w:color="auto"/>
            </w:tcBorders>
            <w:shd w:val="clear" w:color="auto" w:fill="auto"/>
            <w:hideMark/>
          </w:tcPr>
          <w:p w:rsidR="00081D6E" w:rsidRPr="002C04A0" w:rsidRDefault="00081D6E" w:rsidP="00AD1506">
            <w:pPr>
              <w:spacing w:before="40" w:after="40" w:line="240" w:lineRule="auto"/>
              <w:jc w:val="left"/>
              <w:rPr>
                <w:rFonts w:asciiTheme="minorHAnsi" w:hAnsiTheme="minorHAnsi"/>
                <w:color w:val="000000"/>
                <w:sz w:val="20"/>
                <w:lang w:eastAsia="fr-FR"/>
              </w:rPr>
            </w:pPr>
          </w:p>
        </w:tc>
      </w:tr>
      <w:tr w:rsidR="00081D6E" w:rsidRPr="002C04A0" w:rsidTr="00081D6E">
        <w:trPr>
          <w:trHeight w:val="315"/>
        </w:trPr>
        <w:tc>
          <w:tcPr>
            <w:tcW w:w="3669" w:type="dxa"/>
            <w:vMerge w:val="restart"/>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r w:rsidRPr="002C04A0">
              <w:rPr>
                <w:rFonts w:asciiTheme="minorHAnsi" w:eastAsia="Calibri" w:hAnsiTheme="minorHAnsi" w:cs="Arial"/>
                <w:b/>
                <w:bCs/>
                <w:color w:val="4F81BD" w:themeColor="accent1"/>
                <w:sz w:val="20"/>
                <w:lang w:val="fr-CH"/>
              </w:rPr>
              <w:t>R.2-2</w:t>
            </w:r>
            <w:r w:rsidRPr="002C04A0">
              <w:rPr>
                <w:rFonts w:asciiTheme="minorHAnsi" w:eastAsia="Calibri" w:hAnsiTheme="minorHAnsi" w:cs="Arial"/>
                <w:sz w:val="20"/>
                <w:lang w:val="fr-CH"/>
              </w:rPr>
              <w:t xml:space="preserve">: </w:t>
            </w:r>
            <w:r w:rsidRPr="002C04A0">
              <w:rPr>
                <w:rFonts w:asciiTheme="minorHAnsi" w:hAnsiTheme="minorHAnsi"/>
                <w:sz w:val="20"/>
                <w:lang w:val="fr-CH"/>
              </w:rPr>
              <w:t>Diminution du panier des prix du large bande mobile en pourcentage du revenu national brut (RNB) par habitant</w:t>
            </w:r>
            <w:r w:rsidRPr="002C04A0">
              <w:rPr>
                <w:rFonts w:asciiTheme="minorHAnsi" w:hAnsiTheme="minorHAnsi"/>
                <w:b/>
                <w:bCs/>
                <w:color w:val="000000"/>
                <w:sz w:val="20"/>
                <w:lang w:val="fr-CH" w:eastAsia="fr-FR"/>
              </w:rPr>
              <w:t xml:space="preserve"> </w:t>
            </w: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Panier des prix du large bande mobile en pourcentage du RNB par habitant</w:t>
            </w:r>
            <w:r w:rsidRPr="002C04A0">
              <w:rPr>
                <w:rFonts w:asciiTheme="minorHAnsi" w:hAnsiTheme="minorHAnsi"/>
                <w:color w:val="000000"/>
                <w:sz w:val="20"/>
                <w:lang w:val="fr-CH"/>
              </w:rPr>
              <w:t xml:space="preserve"> (sur téléphone à prépaiement (500 Mo))</w:t>
            </w:r>
          </w:p>
        </w:tc>
        <w:tc>
          <w:tcPr>
            <w:tcW w:w="113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4,80</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p>
        </w:tc>
        <w:tc>
          <w:tcPr>
            <w:tcW w:w="1132"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4,00</w:t>
            </w:r>
          </w:p>
        </w:tc>
        <w:tc>
          <w:tcPr>
            <w:tcW w:w="2939" w:type="dxa"/>
            <w:vMerge w:val="restart"/>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color w:val="000000"/>
                <w:sz w:val="20"/>
                <w:lang w:val="fr-CH" w:eastAsia="fr-FR"/>
              </w:rPr>
            </w:pPr>
            <w:r w:rsidRPr="002C04A0">
              <w:rPr>
                <w:rFonts w:asciiTheme="minorHAnsi" w:hAnsiTheme="minorHAnsi"/>
                <w:color w:val="000000"/>
                <w:sz w:val="20"/>
                <w:lang w:val="fr-CH" w:eastAsia="fr-FR"/>
              </w:rPr>
              <w:t>Rapport de l'UIT "Mesurer la société de l'information", édition </w:t>
            </w:r>
            <w:r w:rsidRPr="002C04A0">
              <w:rPr>
                <w:rFonts w:asciiTheme="minorHAnsi" w:hAnsiTheme="minorHAnsi"/>
                <w:color w:val="000000"/>
                <w:sz w:val="20"/>
                <w:lang w:val="fr-CH"/>
              </w:rPr>
              <w:t>2015</w:t>
            </w:r>
          </w:p>
        </w:tc>
      </w:tr>
      <w:tr w:rsidR="00081D6E" w:rsidRPr="002C04A0" w:rsidTr="00081D6E">
        <w:trPr>
          <w:trHeight w:val="620"/>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color w:val="000000"/>
                <w:sz w:val="20"/>
                <w:lang w:val="fr-CH"/>
              </w:rPr>
              <w:t>Nombre de pays ou le panier des prix est inférieur à 5 %</w:t>
            </w:r>
          </w:p>
        </w:tc>
        <w:tc>
          <w:tcPr>
            <w:tcW w:w="113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111</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p>
        </w:tc>
        <w:tc>
          <w:tcPr>
            <w:tcW w:w="1132" w:type="dxa"/>
            <w:tcBorders>
              <w:top w:val="single" w:sz="6" w:space="0" w:color="auto"/>
              <w:bottom w:val="single" w:sz="6" w:space="0" w:color="auto"/>
            </w:tcBorders>
            <w:shd w:val="clear" w:color="auto" w:fill="auto"/>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193</w:t>
            </w:r>
          </w:p>
        </w:tc>
        <w:tc>
          <w:tcPr>
            <w:tcW w:w="2939" w:type="dxa"/>
            <w:vMerge/>
            <w:tcBorders>
              <w:top w:val="single" w:sz="6" w:space="0" w:color="auto"/>
              <w:bottom w:val="single" w:sz="6" w:space="0" w:color="auto"/>
            </w:tcBorders>
            <w:shd w:val="clear" w:color="auto" w:fill="auto"/>
            <w:hideMark/>
          </w:tcPr>
          <w:p w:rsidR="00081D6E" w:rsidRPr="002C04A0" w:rsidRDefault="00081D6E" w:rsidP="00AD1506">
            <w:pPr>
              <w:spacing w:before="40" w:after="40" w:line="240" w:lineRule="auto"/>
              <w:jc w:val="left"/>
              <w:rPr>
                <w:rFonts w:asciiTheme="minorHAnsi" w:hAnsiTheme="minorHAnsi"/>
                <w:color w:val="000000"/>
                <w:sz w:val="20"/>
                <w:lang w:eastAsia="fr-FR"/>
              </w:rPr>
            </w:pPr>
          </w:p>
        </w:tc>
      </w:tr>
      <w:tr w:rsidR="00081D6E" w:rsidRPr="002C04A0" w:rsidTr="00081D6E">
        <w:trPr>
          <w:trHeight w:val="315"/>
        </w:trPr>
        <w:tc>
          <w:tcPr>
            <w:tcW w:w="3669" w:type="dxa"/>
            <w:vMerge w:val="restart"/>
            <w:tcBorders>
              <w:top w:val="single" w:sz="6" w:space="0" w:color="auto"/>
              <w:bottom w:val="single" w:sz="6" w:space="0" w:color="auto"/>
            </w:tcBorders>
            <w:shd w:val="clear" w:color="auto" w:fill="auto"/>
            <w:hideMark/>
          </w:tcPr>
          <w:p w:rsidR="00081D6E" w:rsidRPr="002C04A0" w:rsidRDefault="00081D6E" w:rsidP="00BA16FB">
            <w:pPr>
              <w:pStyle w:val="Tabletext"/>
              <w:rPr>
                <w:rFonts w:asciiTheme="minorHAnsi" w:eastAsia="Calibri" w:hAnsiTheme="minorHAnsi" w:cs="Arial"/>
                <w:lang w:val="fr-CH"/>
              </w:rPr>
            </w:pPr>
            <w:r w:rsidRPr="002C04A0">
              <w:rPr>
                <w:rFonts w:asciiTheme="minorHAnsi" w:eastAsia="Calibri" w:hAnsiTheme="minorHAnsi" w:cs="Arial"/>
                <w:b/>
                <w:bCs/>
                <w:color w:val="4F81BD" w:themeColor="accent1"/>
                <w:lang w:val="fr-CH"/>
              </w:rPr>
              <w:t>R.2-3</w:t>
            </w:r>
            <w:r w:rsidRPr="002C04A0">
              <w:rPr>
                <w:rFonts w:asciiTheme="minorHAnsi" w:eastAsia="Calibri" w:hAnsiTheme="minorHAnsi" w:cs="Arial"/>
                <w:lang w:val="fr-CH"/>
              </w:rPr>
              <w:t xml:space="preserve">: </w:t>
            </w:r>
            <w:r w:rsidRPr="002C04A0">
              <w:rPr>
                <w:rFonts w:asciiTheme="minorHAnsi" w:hAnsiTheme="minorHAnsi"/>
                <w:lang w:val="fr-CH"/>
              </w:rPr>
              <w:t>Nombre accru de liaisons fixes et volume accru de trafic acheminé par le service fixe (Tbit/s)</w:t>
            </w: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eastAsia="fr-FR"/>
              </w:rPr>
            </w:pPr>
            <w:r w:rsidRPr="002C04A0">
              <w:rPr>
                <w:rFonts w:asciiTheme="minorHAnsi" w:hAnsiTheme="minorHAnsi"/>
                <w:sz w:val="20"/>
                <w:lang w:val="fr-CH"/>
              </w:rPr>
              <w:t>Nombre de liaisons fixes</w:t>
            </w:r>
          </w:p>
        </w:tc>
        <w:tc>
          <w:tcPr>
            <w:tcW w:w="1134" w:type="dxa"/>
            <w:tcBorders>
              <w:top w:val="single" w:sz="6" w:space="0" w:color="auto"/>
              <w:bottom w:val="single" w:sz="6" w:space="0" w:color="auto"/>
            </w:tcBorders>
            <w:shd w:val="clear" w:color="auto" w:fill="auto"/>
            <w:noWrap/>
            <w:hideMark/>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994" w:type="dxa"/>
            <w:tcBorders>
              <w:top w:val="single" w:sz="6" w:space="0" w:color="auto"/>
              <w:bottom w:val="single" w:sz="6" w:space="0" w:color="auto"/>
            </w:tcBorders>
            <w:shd w:val="clear" w:color="auto" w:fill="auto"/>
            <w:noWrap/>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1132" w:type="dxa"/>
            <w:tcBorders>
              <w:top w:val="single" w:sz="6" w:space="0" w:color="auto"/>
              <w:bottom w:val="single" w:sz="6" w:space="0" w:color="auto"/>
            </w:tcBorders>
            <w:shd w:val="clear" w:color="auto" w:fill="auto"/>
            <w:noWrap/>
            <w:hideMark/>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pStyle w:val="Tabletext"/>
              <w:rPr>
                <w:rFonts w:asciiTheme="minorHAnsi" w:hAnsiTheme="minorHAnsi"/>
                <w:lang w:val="fr-CH"/>
              </w:rPr>
            </w:pPr>
            <w:r w:rsidRPr="002C04A0">
              <w:rPr>
                <w:rFonts w:asciiTheme="minorHAnsi" w:hAnsiTheme="minorHAnsi"/>
                <w:color w:val="000000"/>
                <w:lang w:val="fr-CH"/>
              </w:rPr>
              <w:t>A obtenir dans le cadre de l'enquête sur les TIC/BDT</w:t>
            </w:r>
          </w:p>
        </w:tc>
      </w:tr>
      <w:tr w:rsidR="00081D6E" w:rsidRPr="002C04A0" w:rsidTr="00081D6E">
        <w:trPr>
          <w:trHeight w:val="340"/>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Capacité totale (en Tbit/s)</w:t>
            </w:r>
          </w:p>
        </w:tc>
        <w:tc>
          <w:tcPr>
            <w:tcW w:w="1134" w:type="dxa"/>
            <w:tcBorders>
              <w:top w:val="single" w:sz="6" w:space="0" w:color="auto"/>
              <w:bottom w:val="single" w:sz="6" w:space="0" w:color="auto"/>
            </w:tcBorders>
            <w:shd w:val="clear" w:color="auto" w:fill="auto"/>
            <w:noWrap/>
            <w:hideMark/>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994" w:type="dxa"/>
            <w:tcBorders>
              <w:top w:val="single" w:sz="6" w:space="0" w:color="auto"/>
              <w:bottom w:val="single" w:sz="6" w:space="0" w:color="auto"/>
            </w:tcBorders>
            <w:shd w:val="clear" w:color="auto" w:fill="auto"/>
            <w:noWrap/>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1132" w:type="dxa"/>
            <w:tcBorders>
              <w:top w:val="single" w:sz="6" w:space="0" w:color="auto"/>
              <w:bottom w:val="single" w:sz="6" w:space="0" w:color="auto"/>
            </w:tcBorders>
            <w:shd w:val="clear" w:color="auto" w:fill="auto"/>
            <w:noWrap/>
            <w:hideMark/>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pStyle w:val="Tabletext"/>
              <w:rPr>
                <w:rFonts w:asciiTheme="minorHAnsi" w:hAnsiTheme="minorHAnsi"/>
                <w:lang w:val="fr-CH"/>
              </w:rPr>
            </w:pPr>
            <w:r w:rsidRPr="002C04A0">
              <w:rPr>
                <w:rFonts w:asciiTheme="minorHAnsi" w:hAnsiTheme="minorHAnsi"/>
                <w:color w:val="000000"/>
                <w:lang w:val="fr-CH"/>
              </w:rPr>
              <w:t>A obtenir dans le cadre de l'enquête sur les TIC/BDT</w:t>
            </w:r>
          </w:p>
        </w:tc>
      </w:tr>
      <w:tr w:rsidR="00081D6E" w:rsidRPr="002C04A0" w:rsidTr="00081D6E">
        <w:trPr>
          <w:trHeight w:val="315"/>
        </w:trPr>
        <w:tc>
          <w:tcPr>
            <w:tcW w:w="3669" w:type="dxa"/>
            <w:vMerge w:val="restart"/>
            <w:tcBorders>
              <w:top w:val="single" w:sz="6" w:space="0" w:color="auto"/>
              <w:bottom w:val="single" w:sz="6" w:space="0" w:color="auto"/>
            </w:tcBorders>
            <w:shd w:val="clear" w:color="auto" w:fill="auto"/>
            <w:hideMark/>
          </w:tcPr>
          <w:p w:rsidR="00081D6E" w:rsidRPr="002C04A0" w:rsidRDefault="00081D6E" w:rsidP="00BA16FB">
            <w:pPr>
              <w:pStyle w:val="Tabletext"/>
              <w:keepNext/>
              <w:keepLines/>
              <w:rPr>
                <w:rFonts w:asciiTheme="minorHAnsi" w:eastAsia="Calibri" w:hAnsiTheme="minorHAnsi" w:cs="Arial"/>
                <w:lang w:val="fr-CH"/>
              </w:rPr>
            </w:pPr>
            <w:r w:rsidRPr="002C04A0">
              <w:rPr>
                <w:rFonts w:asciiTheme="minorHAnsi" w:eastAsia="Calibri" w:hAnsiTheme="minorHAnsi" w:cs="Arial"/>
                <w:b/>
                <w:bCs/>
                <w:color w:val="4F81BD" w:themeColor="accent1"/>
                <w:lang w:val="fr-CH"/>
              </w:rPr>
              <w:lastRenderedPageBreak/>
              <w:t>R.2-4</w:t>
            </w:r>
            <w:r w:rsidRPr="002C04A0">
              <w:rPr>
                <w:rFonts w:asciiTheme="minorHAnsi" w:eastAsia="Calibri" w:hAnsiTheme="minorHAnsi" w:cs="Arial"/>
                <w:lang w:val="fr-CH"/>
              </w:rPr>
              <w:t xml:space="preserve">: </w:t>
            </w:r>
            <w:r w:rsidRPr="002C04A0">
              <w:rPr>
                <w:rFonts w:asciiTheme="minorHAnsi" w:hAnsiTheme="minorHAnsi"/>
                <w:lang w:val="fr-CH"/>
              </w:rPr>
              <w:t>Nombre de ménages recevant la télévision numérique de Terre</w:t>
            </w:r>
          </w:p>
        </w:tc>
        <w:tc>
          <w:tcPr>
            <w:tcW w:w="4123" w:type="dxa"/>
            <w:tcBorders>
              <w:top w:val="single" w:sz="6" w:space="0" w:color="auto"/>
              <w:bottom w:val="single" w:sz="6" w:space="0" w:color="auto"/>
            </w:tcBorders>
            <w:shd w:val="clear" w:color="auto" w:fill="auto"/>
            <w:hideMark/>
          </w:tcPr>
          <w:p w:rsidR="00081D6E" w:rsidRPr="002C04A0" w:rsidRDefault="00081D6E" w:rsidP="00BA16FB">
            <w:pPr>
              <w:keepNext/>
              <w:keepLines/>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ménages recevant la TNT (millions)</w:t>
            </w:r>
          </w:p>
        </w:tc>
        <w:tc>
          <w:tcPr>
            <w:tcW w:w="1134" w:type="dxa"/>
            <w:tcBorders>
              <w:top w:val="single" w:sz="6" w:space="0" w:color="auto"/>
              <w:bottom w:val="single" w:sz="6" w:space="0" w:color="auto"/>
            </w:tcBorders>
            <w:shd w:val="clear" w:color="auto" w:fill="auto"/>
            <w:noWrap/>
          </w:tcPr>
          <w:p w:rsidR="00081D6E" w:rsidRPr="002C04A0" w:rsidRDefault="00081D6E" w:rsidP="00BE6EEC">
            <w:pPr>
              <w:keepNext/>
              <w:keepLines/>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197,7</w:t>
            </w:r>
          </w:p>
        </w:tc>
        <w:tc>
          <w:tcPr>
            <w:tcW w:w="994" w:type="dxa"/>
            <w:tcBorders>
              <w:top w:val="single" w:sz="6" w:space="0" w:color="auto"/>
              <w:bottom w:val="single" w:sz="6" w:space="0" w:color="auto"/>
            </w:tcBorders>
            <w:shd w:val="clear" w:color="auto" w:fill="auto"/>
            <w:noWrap/>
          </w:tcPr>
          <w:p w:rsidR="00081D6E" w:rsidRPr="002C04A0" w:rsidRDefault="00081D6E" w:rsidP="00BE6EEC">
            <w:pPr>
              <w:keepNext/>
              <w:keepLines/>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p>
        </w:tc>
        <w:tc>
          <w:tcPr>
            <w:tcW w:w="1132" w:type="dxa"/>
            <w:tcBorders>
              <w:top w:val="single" w:sz="6" w:space="0" w:color="auto"/>
              <w:bottom w:val="single" w:sz="6" w:space="0" w:color="auto"/>
            </w:tcBorders>
            <w:shd w:val="clear" w:color="auto" w:fill="auto"/>
            <w:noWrap/>
          </w:tcPr>
          <w:p w:rsidR="00081D6E" w:rsidRPr="002C04A0" w:rsidRDefault="00081D6E" w:rsidP="00BE6EEC">
            <w:pPr>
              <w:keepNext/>
              <w:keepLines/>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453</w:t>
            </w:r>
          </w:p>
        </w:tc>
        <w:tc>
          <w:tcPr>
            <w:tcW w:w="2939" w:type="dxa"/>
            <w:tcBorders>
              <w:top w:val="single" w:sz="6" w:space="0" w:color="auto"/>
              <w:bottom w:val="single" w:sz="6" w:space="0" w:color="auto"/>
            </w:tcBorders>
            <w:shd w:val="clear" w:color="auto" w:fill="auto"/>
            <w:hideMark/>
          </w:tcPr>
          <w:p w:rsidR="00081D6E" w:rsidRPr="002C04A0" w:rsidRDefault="00081D6E" w:rsidP="00AD1506">
            <w:pPr>
              <w:keepNext/>
              <w:keepLines/>
              <w:spacing w:before="40" w:after="40" w:line="240" w:lineRule="auto"/>
              <w:jc w:val="left"/>
              <w:rPr>
                <w:rFonts w:asciiTheme="minorHAnsi" w:hAnsiTheme="minorHAnsi"/>
                <w:sz w:val="20"/>
                <w:lang w:eastAsia="fr-FR"/>
              </w:rPr>
            </w:pPr>
            <w:r w:rsidRPr="002C04A0">
              <w:rPr>
                <w:rFonts w:asciiTheme="minorHAnsi" w:hAnsiTheme="minorHAnsi"/>
                <w:sz w:val="20"/>
                <w:lang w:eastAsia="fr-FR"/>
              </w:rPr>
              <w:t>Digital TV World Databook report, juin 2015; Digital TV Research Ltd</w:t>
            </w:r>
            <w:r w:rsidRPr="002C04A0">
              <w:rPr>
                <w:rFonts w:asciiTheme="minorHAnsi" w:hAnsiTheme="minorHAnsi"/>
                <w:sz w:val="20"/>
                <w:lang w:eastAsia="fr-FR"/>
              </w:rPr>
              <w:br/>
              <w:t>Databook report</w:t>
            </w:r>
          </w:p>
        </w:tc>
      </w:tr>
      <w:tr w:rsidR="00081D6E" w:rsidRPr="002C04A0" w:rsidTr="00081D6E">
        <w:trPr>
          <w:trHeight w:val="892"/>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keepNext/>
              <w:keepLines/>
              <w:spacing w:before="40" w:after="40" w:line="240" w:lineRule="auto"/>
              <w:jc w:val="left"/>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keepNext/>
              <w:keepLines/>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Pourcentage de ménages recevant la TNT</w:t>
            </w:r>
          </w:p>
        </w:tc>
        <w:tc>
          <w:tcPr>
            <w:tcW w:w="1134" w:type="dxa"/>
            <w:tcBorders>
              <w:top w:val="single" w:sz="6" w:space="0" w:color="auto"/>
              <w:bottom w:val="single" w:sz="6" w:space="0" w:color="auto"/>
            </w:tcBorders>
            <w:shd w:val="clear" w:color="auto" w:fill="auto"/>
            <w:noWrap/>
          </w:tcPr>
          <w:p w:rsidR="00081D6E" w:rsidRPr="002C04A0" w:rsidRDefault="00081D6E" w:rsidP="00BE6EEC">
            <w:pPr>
              <w:keepNext/>
              <w:keepLines/>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10,8%</w:t>
            </w:r>
          </w:p>
        </w:tc>
        <w:tc>
          <w:tcPr>
            <w:tcW w:w="994" w:type="dxa"/>
            <w:tcBorders>
              <w:top w:val="single" w:sz="6" w:space="0" w:color="auto"/>
              <w:bottom w:val="single" w:sz="6" w:space="0" w:color="auto"/>
            </w:tcBorders>
            <w:shd w:val="clear" w:color="auto" w:fill="auto"/>
            <w:noWrap/>
          </w:tcPr>
          <w:p w:rsidR="00081D6E" w:rsidRPr="002C04A0" w:rsidRDefault="00081D6E" w:rsidP="00BE6EEC">
            <w:pPr>
              <w:keepNext/>
              <w:keepLines/>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15,1%</w:t>
            </w:r>
          </w:p>
        </w:tc>
        <w:tc>
          <w:tcPr>
            <w:tcW w:w="1132" w:type="dxa"/>
            <w:tcBorders>
              <w:top w:val="single" w:sz="6" w:space="0" w:color="auto"/>
              <w:bottom w:val="single" w:sz="6" w:space="0" w:color="auto"/>
            </w:tcBorders>
            <w:shd w:val="clear" w:color="auto" w:fill="auto"/>
            <w:noWrap/>
          </w:tcPr>
          <w:p w:rsidR="00081D6E" w:rsidRPr="002C04A0" w:rsidRDefault="00081D6E" w:rsidP="00BE6EEC">
            <w:pPr>
              <w:keepNext/>
              <w:keepLines/>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22,7%</w:t>
            </w:r>
          </w:p>
        </w:tc>
        <w:tc>
          <w:tcPr>
            <w:tcW w:w="2939" w:type="dxa"/>
            <w:tcBorders>
              <w:top w:val="single" w:sz="6" w:space="0" w:color="auto"/>
              <w:bottom w:val="single" w:sz="6" w:space="0" w:color="auto"/>
            </w:tcBorders>
            <w:shd w:val="clear" w:color="auto" w:fill="auto"/>
            <w:hideMark/>
          </w:tcPr>
          <w:p w:rsidR="00081D6E" w:rsidRPr="002C04A0" w:rsidRDefault="00081D6E" w:rsidP="00AD1506">
            <w:pPr>
              <w:keepNext/>
              <w:keepLines/>
              <w:spacing w:before="40" w:after="40" w:line="240" w:lineRule="auto"/>
              <w:jc w:val="left"/>
              <w:rPr>
                <w:rFonts w:asciiTheme="minorHAnsi" w:hAnsiTheme="minorHAnsi"/>
                <w:sz w:val="20"/>
                <w:lang w:eastAsia="fr-FR"/>
              </w:rPr>
            </w:pPr>
            <w:r w:rsidRPr="002C04A0">
              <w:rPr>
                <w:rFonts w:asciiTheme="minorHAnsi" w:hAnsiTheme="minorHAnsi"/>
                <w:sz w:val="20"/>
                <w:lang w:eastAsia="fr-FR"/>
              </w:rPr>
              <w:t>Digital TV World Databook report, juin 2015; Digital TV Research Ltd</w:t>
            </w:r>
          </w:p>
        </w:tc>
      </w:tr>
      <w:tr w:rsidR="00081D6E" w:rsidRPr="002C04A0" w:rsidTr="00081D6E">
        <w:trPr>
          <w:trHeight w:val="315"/>
        </w:trPr>
        <w:tc>
          <w:tcPr>
            <w:tcW w:w="3669" w:type="dxa"/>
            <w:vMerge w:val="restart"/>
            <w:tcBorders>
              <w:top w:val="single" w:sz="6" w:space="0" w:color="auto"/>
              <w:bottom w:val="single" w:sz="6" w:space="0" w:color="auto"/>
            </w:tcBorders>
            <w:shd w:val="clear" w:color="auto" w:fill="auto"/>
            <w:hideMark/>
          </w:tcPr>
          <w:p w:rsidR="00081D6E" w:rsidRPr="002C04A0" w:rsidRDefault="00081D6E" w:rsidP="00BA16FB">
            <w:pPr>
              <w:pStyle w:val="Tabletext"/>
              <w:rPr>
                <w:rFonts w:asciiTheme="minorHAnsi" w:eastAsia="Calibri" w:hAnsiTheme="minorHAnsi" w:cs="Arial"/>
                <w:lang w:val="fr-CH"/>
              </w:rPr>
            </w:pPr>
            <w:r w:rsidRPr="002C04A0">
              <w:rPr>
                <w:rFonts w:asciiTheme="minorHAnsi" w:eastAsia="Calibri" w:hAnsiTheme="minorHAnsi" w:cs="Arial"/>
                <w:b/>
                <w:bCs/>
                <w:color w:val="4F81BD" w:themeColor="accent1"/>
                <w:lang w:val="fr-CH"/>
              </w:rPr>
              <w:t>R.2-5</w:t>
            </w:r>
            <w:r w:rsidRPr="002C04A0">
              <w:rPr>
                <w:rFonts w:asciiTheme="minorHAnsi" w:eastAsia="Calibri" w:hAnsiTheme="minorHAnsi" w:cs="Arial"/>
                <w:lang w:val="fr-CH"/>
              </w:rPr>
              <w:t xml:space="preserve">: </w:t>
            </w:r>
            <w:r w:rsidRPr="002C04A0">
              <w:rPr>
                <w:rFonts w:asciiTheme="minorHAnsi" w:hAnsiTheme="minorHAnsi"/>
                <w:lang w:val="fr-CH"/>
              </w:rPr>
              <w:t>Nombre de répéteurs de satellite (équivalent 36 MHz) en service et capacité correspondante (Tbit/s); nombre de microstations, nombre de ménages recevant la télévision par satellite</w:t>
            </w: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répéteurs de satellites</w:t>
            </w:r>
          </w:p>
        </w:tc>
        <w:tc>
          <w:tcPr>
            <w:tcW w:w="1134" w:type="dxa"/>
            <w:tcBorders>
              <w:top w:val="single" w:sz="6" w:space="0" w:color="auto"/>
              <w:bottom w:val="single" w:sz="6" w:space="0" w:color="auto"/>
            </w:tcBorders>
            <w:shd w:val="clear" w:color="auto" w:fill="auto"/>
            <w:noWrap/>
            <w:hideMark/>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994" w:type="dxa"/>
            <w:tcBorders>
              <w:top w:val="single" w:sz="6" w:space="0" w:color="auto"/>
              <w:bottom w:val="single" w:sz="6" w:space="0" w:color="auto"/>
            </w:tcBorders>
            <w:shd w:val="clear" w:color="auto" w:fill="auto"/>
            <w:noWrap/>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1132" w:type="dxa"/>
            <w:tcBorders>
              <w:top w:val="single" w:sz="6" w:space="0" w:color="auto"/>
              <w:bottom w:val="single" w:sz="6" w:space="0" w:color="auto"/>
            </w:tcBorders>
            <w:shd w:val="clear" w:color="auto" w:fill="auto"/>
            <w:noWrap/>
            <w:hideMark/>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sz w:val="20"/>
                <w:lang w:eastAsia="fr-FR"/>
              </w:rPr>
            </w:pPr>
            <w:r w:rsidRPr="002C04A0">
              <w:rPr>
                <w:rFonts w:asciiTheme="minorHAnsi" w:hAnsiTheme="minorHAnsi"/>
                <w:sz w:val="20"/>
                <w:lang w:eastAsia="fr-FR"/>
              </w:rPr>
              <w:t>A obtenir auprès d'Euroconsult</w:t>
            </w:r>
          </w:p>
        </w:tc>
      </w:tr>
      <w:tr w:rsidR="00081D6E" w:rsidRPr="002C04A0" w:rsidTr="00081D6E">
        <w:trPr>
          <w:trHeight w:val="320"/>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Capacité correspondante (en Tbit/s)</w:t>
            </w:r>
          </w:p>
        </w:tc>
        <w:tc>
          <w:tcPr>
            <w:tcW w:w="1134" w:type="dxa"/>
            <w:tcBorders>
              <w:top w:val="single" w:sz="6" w:space="0" w:color="auto"/>
              <w:bottom w:val="single" w:sz="6" w:space="0" w:color="auto"/>
            </w:tcBorders>
            <w:shd w:val="clear" w:color="auto" w:fill="auto"/>
            <w:noWrap/>
            <w:hideMark/>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994" w:type="dxa"/>
            <w:tcBorders>
              <w:top w:val="single" w:sz="6" w:space="0" w:color="auto"/>
              <w:bottom w:val="single" w:sz="6" w:space="0" w:color="auto"/>
            </w:tcBorders>
            <w:shd w:val="clear" w:color="auto" w:fill="auto"/>
            <w:noWrap/>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1132" w:type="dxa"/>
            <w:tcBorders>
              <w:top w:val="single" w:sz="6" w:space="0" w:color="auto"/>
              <w:bottom w:val="single" w:sz="6" w:space="0" w:color="auto"/>
            </w:tcBorders>
            <w:shd w:val="clear" w:color="auto" w:fill="auto"/>
            <w:noWrap/>
            <w:hideMark/>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sz w:val="20"/>
                <w:lang w:eastAsia="fr-FR"/>
              </w:rPr>
            </w:pPr>
            <w:r w:rsidRPr="002C04A0">
              <w:rPr>
                <w:rFonts w:asciiTheme="minorHAnsi" w:hAnsiTheme="minorHAnsi"/>
                <w:sz w:val="20"/>
                <w:lang w:eastAsia="fr-FR"/>
              </w:rPr>
              <w:t>A obtenir auprès d'Euroconsult</w:t>
            </w:r>
          </w:p>
        </w:tc>
      </w:tr>
      <w:tr w:rsidR="00081D6E" w:rsidRPr="002C04A0" w:rsidTr="00081D6E">
        <w:trPr>
          <w:trHeight w:val="320"/>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eastAsia="fr-FR"/>
              </w:rPr>
            </w:pPr>
            <w:r w:rsidRPr="002C04A0">
              <w:rPr>
                <w:rFonts w:asciiTheme="minorHAnsi" w:hAnsiTheme="minorHAnsi"/>
                <w:sz w:val="20"/>
                <w:lang w:val="fr-CH"/>
              </w:rPr>
              <w:t>Nombre de microstations (millions)</w:t>
            </w:r>
          </w:p>
        </w:tc>
        <w:tc>
          <w:tcPr>
            <w:tcW w:w="1134" w:type="dxa"/>
            <w:tcBorders>
              <w:top w:val="single" w:sz="6" w:space="0" w:color="auto"/>
              <w:bottom w:val="single" w:sz="6" w:space="0" w:color="auto"/>
            </w:tcBorders>
            <w:shd w:val="clear" w:color="auto" w:fill="auto"/>
            <w:noWrap/>
            <w:hideMark/>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3,865</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p>
        </w:tc>
        <w:tc>
          <w:tcPr>
            <w:tcW w:w="1132" w:type="dxa"/>
            <w:tcBorders>
              <w:top w:val="single" w:sz="6" w:space="0" w:color="auto"/>
              <w:bottom w:val="single" w:sz="6" w:space="0" w:color="auto"/>
            </w:tcBorders>
            <w:shd w:val="clear" w:color="auto" w:fill="auto"/>
            <w:noWrap/>
            <w:hideMark/>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color w:val="000000" w:themeColor="text1"/>
                <w:sz w:val="20"/>
                <w:lang w:eastAsia="fr-FR"/>
              </w:rPr>
            </w:pPr>
            <w:r w:rsidRPr="002C04A0">
              <w:rPr>
                <w:rFonts w:asciiTheme="minorHAnsi" w:hAnsiTheme="minorHAnsi"/>
                <w:color w:val="000000" w:themeColor="text1"/>
                <w:sz w:val="20"/>
                <w:lang w:eastAsia="fr-FR"/>
              </w:rPr>
              <w:t>Global VSAT Forum</w:t>
            </w:r>
          </w:p>
        </w:tc>
      </w:tr>
      <w:tr w:rsidR="00081D6E" w:rsidRPr="002C04A0" w:rsidTr="00081D6E">
        <w:trPr>
          <w:trHeight w:val="624"/>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systèmes DTH (millions)</w:t>
            </w:r>
          </w:p>
        </w:tc>
        <w:tc>
          <w:tcPr>
            <w:tcW w:w="1134" w:type="dxa"/>
            <w:tcBorders>
              <w:top w:val="single" w:sz="6" w:space="0" w:color="auto"/>
              <w:bottom w:val="single" w:sz="6" w:space="0" w:color="auto"/>
            </w:tcBorders>
            <w:shd w:val="clear" w:color="auto" w:fill="auto"/>
            <w:noWrap/>
            <w:hideMark/>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357</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textAlignment w:val="auto"/>
              <w:rPr>
                <w:rFonts w:asciiTheme="minorHAnsi" w:hAnsiTheme="minorHAnsi"/>
                <w:sz w:val="20"/>
              </w:rPr>
            </w:pPr>
          </w:p>
        </w:tc>
        <w:tc>
          <w:tcPr>
            <w:tcW w:w="1132" w:type="dxa"/>
            <w:tcBorders>
              <w:top w:val="single" w:sz="6" w:space="0" w:color="auto"/>
              <w:bottom w:val="single" w:sz="6" w:space="0" w:color="auto"/>
            </w:tcBorders>
            <w:shd w:val="clear" w:color="auto" w:fill="auto"/>
            <w:noWrap/>
            <w:hideMark/>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439</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color w:val="000000" w:themeColor="text1"/>
                <w:sz w:val="20"/>
                <w:lang w:eastAsia="fr-FR"/>
              </w:rPr>
            </w:pPr>
            <w:r w:rsidRPr="002C04A0">
              <w:rPr>
                <w:rFonts w:asciiTheme="minorHAnsi" w:hAnsiTheme="minorHAnsi"/>
                <w:sz w:val="20"/>
                <w:lang w:eastAsia="fr-FR"/>
              </w:rPr>
              <w:t>Digital TV World Databook report, juin 2015; Digital TV Research Ltd</w:t>
            </w:r>
          </w:p>
        </w:tc>
      </w:tr>
      <w:tr w:rsidR="00081D6E" w:rsidRPr="002C04A0" w:rsidTr="00081D6E">
        <w:trPr>
          <w:trHeight w:val="315"/>
        </w:trPr>
        <w:tc>
          <w:tcPr>
            <w:tcW w:w="3669" w:type="dxa"/>
            <w:vMerge w:val="restart"/>
            <w:tcBorders>
              <w:top w:val="single" w:sz="6" w:space="0" w:color="auto"/>
              <w:bottom w:val="single" w:sz="6" w:space="0" w:color="auto"/>
            </w:tcBorders>
            <w:shd w:val="clear" w:color="auto" w:fill="auto"/>
            <w:hideMark/>
          </w:tcPr>
          <w:p w:rsidR="00081D6E" w:rsidRPr="002C04A0" w:rsidRDefault="00081D6E" w:rsidP="00BA16FB">
            <w:pPr>
              <w:pStyle w:val="Tabletext"/>
              <w:rPr>
                <w:rFonts w:asciiTheme="minorHAnsi" w:eastAsia="Calibri" w:hAnsiTheme="minorHAnsi" w:cs="Arial"/>
                <w:lang w:val="fr-CH"/>
              </w:rPr>
            </w:pPr>
            <w:r w:rsidRPr="002C04A0">
              <w:rPr>
                <w:rFonts w:asciiTheme="minorHAnsi" w:eastAsia="Calibri" w:hAnsiTheme="minorHAnsi" w:cs="Arial"/>
                <w:b/>
                <w:bCs/>
                <w:color w:val="4F81BD" w:themeColor="accent1"/>
                <w:lang w:val="fr-CH"/>
              </w:rPr>
              <w:t>R.2-6</w:t>
            </w:r>
            <w:r w:rsidRPr="002C04A0">
              <w:rPr>
                <w:rFonts w:asciiTheme="minorHAnsi" w:eastAsia="Calibri" w:hAnsiTheme="minorHAnsi" w:cs="Arial"/>
                <w:lang w:val="fr-CH"/>
              </w:rPr>
              <w:t xml:space="preserve">: </w:t>
            </w:r>
            <w:r w:rsidRPr="002C04A0">
              <w:rPr>
                <w:rFonts w:asciiTheme="minorHAnsi" w:hAnsiTheme="minorHAnsi"/>
                <w:lang w:val="fr-CH"/>
              </w:rPr>
              <w:t>Nombre accru de dispositifs pouvant recevoir les signaux du service de radionavigation par satellite</w:t>
            </w: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constellations/satellites GNSS opérationnels</w:t>
            </w:r>
          </w:p>
        </w:tc>
        <w:tc>
          <w:tcPr>
            <w:tcW w:w="113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2/48</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3/72</w:t>
            </w:r>
          </w:p>
        </w:tc>
        <w:tc>
          <w:tcPr>
            <w:tcW w:w="1132"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6/144</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color w:val="000000" w:themeColor="text1"/>
                <w:sz w:val="20"/>
                <w:lang w:val="fr-CH" w:eastAsia="fr-FR"/>
              </w:rPr>
            </w:pPr>
            <w:r w:rsidRPr="002C04A0">
              <w:rPr>
                <w:rFonts w:asciiTheme="minorHAnsi" w:hAnsiTheme="minorHAnsi"/>
                <w:sz w:val="20"/>
                <w:lang w:val="fr-CH"/>
              </w:rPr>
              <w:t>Fichier de référence international des fréquences/BR</w:t>
            </w:r>
          </w:p>
        </w:tc>
      </w:tr>
      <w:tr w:rsidR="00081D6E" w:rsidRPr="002C04A0" w:rsidTr="00081D6E">
        <w:trPr>
          <w:trHeight w:val="614"/>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dispositifs munis d'un récepteur GNSS intégré (milliards)</w:t>
            </w:r>
          </w:p>
        </w:tc>
        <w:tc>
          <w:tcPr>
            <w:tcW w:w="113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3,7</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4,5</w:t>
            </w:r>
          </w:p>
        </w:tc>
        <w:tc>
          <w:tcPr>
            <w:tcW w:w="1132"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8</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color w:val="000000" w:themeColor="text1"/>
                <w:sz w:val="20"/>
                <w:lang w:val="fr-CH" w:eastAsia="fr-FR"/>
              </w:rPr>
            </w:pPr>
            <w:r w:rsidRPr="002C04A0">
              <w:rPr>
                <w:rFonts w:asciiTheme="minorHAnsi" w:hAnsiTheme="minorHAnsi"/>
                <w:sz w:val="20"/>
                <w:lang w:val="fr-CH"/>
              </w:rPr>
              <w:t>Agence européenne GNSS: rapport sur le GNSS, édition 2015</w:t>
            </w:r>
          </w:p>
        </w:tc>
      </w:tr>
      <w:tr w:rsidR="00081D6E" w:rsidRPr="002C04A0" w:rsidTr="00081D6E">
        <w:trPr>
          <w:trHeight w:val="315"/>
        </w:trPr>
        <w:tc>
          <w:tcPr>
            <w:tcW w:w="3669" w:type="dxa"/>
            <w:vMerge w:val="restart"/>
            <w:tcBorders>
              <w:top w:val="single" w:sz="6" w:space="0" w:color="auto"/>
              <w:bottom w:val="single" w:sz="6" w:space="0" w:color="auto"/>
            </w:tcBorders>
            <w:shd w:val="clear" w:color="auto" w:fill="auto"/>
            <w:hideMark/>
          </w:tcPr>
          <w:p w:rsidR="00081D6E" w:rsidRPr="002C04A0" w:rsidRDefault="00081D6E" w:rsidP="00BA16FB">
            <w:pPr>
              <w:pStyle w:val="Tabletext"/>
              <w:rPr>
                <w:rFonts w:asciiTheme="minorHAnsi" w:hAnsiTheme="minorHAnsi"/>
                <w:lang w:val="fr-CH"/>
              </w:rPr>
            </w:pPr>
            <w:r w:rsidRPr="002C04A0">
              <w:rPr>
                <w:rFonts w:asciiTheme="minorHAnsi" w:eastAsia="Calibri" w:hAnsiTheme="minorHAnsi" w:cs="Arial"/>
                <w:b/>
                <w:bCs/>
                <w:color w:val="4F81BD" w:themeColor="accent1"/>
                <w:lang w:val="fr-CH"/>
              </w:rPr>
              <w:t>R.2-7</w:t>
            </w:r>
            <w:r w:rsidRPr="002C04A0">
              <w:rPr>
                <w:rFonts w:asciiTheme="minorHAnsi" w:eastAsia="Calibri" w:hAnsiTheme="minorHAnsi" w:cs="Arial"/>
                <w:lang w:val="fr-CH"/>
              </w:rPr>
              <w:t xml:space="preserve">: </w:t>
            </w:r>
            <w:r w:rsidRPr="002C04A0">
              <w:rPr>
                <w:rFonts w:asciiTheme="minorHAnsi" w:hAnsiTheme="minorHAnsi"/>
                <w:lang w:val="fr-CH"/>
              </w:rPr>
              <w:t>Nombre de satellites d'exploration de la Terre par satellite en service, quantité et résolution correspondantes des images transmises et volume de données téléchargées (Toctets)</w:t>
            </w: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satellites de télédétection de la Terre</w:t>
            </w:r>
          </w:p>
        </w:tc>
        <w:tc>
          <w:tcPr>
            <w:tcW w:w="113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180</w:t>
            </w:r>
          </w:p>
        </w:tc>
        <w:tc>
          <w:tcPr>
            <w:tcW w:w="994"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215</w:t>
            </w:r>
          </w:p>
        </w:tc>
        <w:tc>
          <w:tcPr>
            <w:tcW w:w="1132" w:type="dxa"/>
            <w:tcBorders>
              <w:top w:val="single" w:sz="6" w:space="0" w:color="auto"/>
              <w:bottom w:val="single" w:sz="6" w:space="0" w:color="auto"/>
            </w:tcBorders>
            <w:shd w:val="clear" w:color="auto" w:fill="auto"/>
            <w:noWrap/>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rPr>
              <w:t>440</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color w:val="000000" w:themeColor="text1"/>
                <w:sz w:val="20"/>
                <w:lang w:val="fr-CH" w:eastAsia="fr-FR"/>
              </w:rPr>
            </w:pPr>
            <w:r w:rsidRPr="002C04A0">
              <w:rPr>
                <w:rFonts w:asciiTheme="minorHAnsi" w:hAnsiTheme="minorHAnsi"/>
                <w:sz w:val="20"/>
                <w:lang w:val="fr-CH"/>
              </w:rPr>
              <w:t>Fichier de référence international des fréquences/BR</w:t>
            </w:r>
          </w:p>
        </w:tc>
      </w:tr>
      <w:tr w:rsidR="00081D6E" w:rsidRPr="002C04A0" w:rsidTr="00081D6E">
        <w:trPr>
          <w:trHeight w:val="654"/>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eastAsia="fr-FR"/>
              </w:rPr>
            </w:pPr>
            <w:r w:rsidRPr="002C04A0">
              <w:rPr>
                <w:rFonts w:asciiTheme="minorHAnsi" w:hAnsiTheme="minorHAnsi"/>
                <w:sz w:val="20"/>
                <w:lang w:val="fr-CH"/>
              </w:rPr>
              <w:t>Quantité d'images transmises (millions)</w:t>
            </w:r>
          </w:p>
        </w:tc>
        <w:tc>
          <w:tcPr>
            <w:tcW w:w="1134" w:type="dxa"/>
            <w:tcBorders>
              <w:top w:val="single" w:sz="6" w:space="0" w:color="auto"/>
              <w:bottom w:val="single" w:sz="6" w:space="0" w:color="auto"/>
            </w:tcBorders>
            <w:shd w:val="clear" w:color="auto" w:fill="auto"/>
            <w:noWrap/>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994" w:type="dxa"/>
            <w:tcBorders>
              <w:top w:val="single" w:sz="6" w:space="0" w:color="auto"/>
              <w:bottom w:val="single" w:sz="6" w:space="0" w:color="auto"/>
            </w:tcBorders>
            <w:shd w:val="clear" w:color="auto" w:fill="auto"/>
            <w:noWrap/>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1132" w:type="dxa"/>
            <w:tcBorders>
              <w:top w:val="single" w:sz="6" w:space="0" w:color="auto"/>
              <w:bottom w:val="single" w:sz="6" w:space="0" w:color="auto"/>
            </w:tcBorders>
            <w:shd w:val="clear" w:color="auto" w:fill="auto"/>
            <w:noWrap/>
          </w:tcPr>
          <w:p w:rsidR="00081D6E" w:rsidRPr="002C04A0" w:rsidRDefault="00081D6E" w:rsidP="00BE6EEC">
            <w:pPr>
              <w:overflowPunct/>
              <w:autoSpaceDE/>
              <w:autoSpaceDN/>
              <w:adjustRightInd/>
              <w:spacing w:beforeLines="40" w:before="96" w:after="40" w:line="240" w:lineRule="auto"/>
              <w:jc w:val="center"/>
              <w:textAlignment w:val="auto"/>
              <w:rPr>
                <w:rFonts w:asciiTheme="minorHAnsi" w:hAnsiTheme="minorHAnsi"/>
                <w:sz w:val="20"/>
              </w:rPr>
            </w:pPr>
            <w:r w:rsidRPr="002C04A0">
              <w:rPr>
                <w:rFonts w:asciiTheme="minorHAnsi" w:hAnsiTheme="minorHAnsi"/>
                <w:sz w:val="20"/>
                <w:lang w:val="fr-CH"/>
              </w:rPr>
              <w:t>n/d</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b/>
                <w:bCs/>
                <w:color w:val="000000" w:themeColor="text1"/>
                <w:sz w:val="20"/>
                <w:lang w:val="fr-CH" w:eastAsia="fr-FR"/>
              </w:rPr>
            </w:pPr>
            <w:r w:rsidRPr="002C04A0">
              <w:rPr>
                <w:rFonts w:asciiTheme="minorHAnsi" w:hAnsiTheme="minorHAnsi"/>
                <w:sz w:val="20"/>
                <w:lang w:val="fr-CH"/>
              </w:rPr>
              <w:t>A obtenir auprès du Bureau des affaires spatiales des Nations Unies (OOSA); du Groupe de travail spécial des Nations Unies pour la télédétection de la Terre</w:t>
            </w:r>
          </w:p>
        </w:tc>
      </w:tr>
      <w:tr w:rsidR="00081D6E" w:rsidRPr="002C04A0" w:rsidTr="00081D6E">
        <w:trPr>
          <w:trHeight w:val="340"/>
        </w:trPr>
        <w:tc>
          <w:tcPr>
            <w:tcW w:w="3669" w:type="dxa"/>
            <w:vMerge/>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b/>
                <w:bCs/>
                <w:color w:val="000000"/>
                <w:sz w:val="20"/>
                <w:lang w:val="fr-CH" w:eastAsia="fr-FR"/>
              </w:rPr>
            </w:pPr>
          </w:p>
        </w:tc>
        <w:tc>
          <w:tcPr>
            <w:tcW w:w="4123"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Taille des images téléchargées (Téraoctets)</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b/>
                <w:bCs/>
                <w:color w:val="000000" w:themeColor="text1"/>
                <w:sz w:val="20"/>
                <w:lang w:val="fr-CH" w:eastAsia="fr-FR"/>
              </w:rPr>
            </w:pPr>
            <w:r w:rsidRPr="002C04A0">
              <w:rPr>
                <w:rFonts w:asciiTheme="minorHAnsi" w:hAnsiTheme="minorHAnsi"/>
                <w:sz w:val="20"/>
                <w:lang w:val="fr-CH"/>
              </w:rPr>
              <w:t>n/d</w:t>
            </w:r>
          </w:p>
        </w:tc>
        <w:tc>
          <w:tcPr>
            <w:tcW w:w="99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b/>
                <w:bCs/>
                <w:color w:val="000000" w:themeColor="text1"/>
                <w:sz w:val="20"/>
                <w:lang w:val="fr-CH" w:eastAsia="fr-FR"/>
              </w:rPr>
            </w:pPr>
            <w:r w:rsidRPr="002C04A0">
              <w:rPr>
                <w:rFonts w:asciiTheme="minorHAnsi" w:hAnsiTheme="minorHAnsi"/>
                <w:sz w:val="20"/>
                <w:lang w:val="fr-CH"/>
              </w:rPr>
              <w:t>n/d</w:t>
            </w:r>
          </w:p>
        </w:tc>
        <w:tc>
          <w:tcPr>
            <w:tcW w:w="1132"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b/>
                <w:bCs/>
                <w:color w:val="000000" w:themeColor="text1"/>
                <w:sz w:val="20"/>
                <w:lang w:val="fr-CH" w:eastAsia="fr-FR"/>
              </w:rPr>
            </w:pPr>
            <w:r w:rsidRPr="002C04A0">
              <w:rPr>
                <w:rFonts w:asciiTheme="minorHAnsi" w:hAnsiTheme="minorHAnsi"/>
                <w:sz w:val="20"/>
                <w:lang w:val="fr-CH"/>
              </w:rPr>
              <w:t>n/d</w:t>
            </w:r>
          </w:p>
        </w:tc>
        <w:tc>
          <w:tcPr>
            <w:tcW w:w="2939" w:type="dxa"/>
            <w:tcBorders>
              <w:top w:val="single" w:sz="6" w:space="0" w:color="auto"/>
              <w:bottom w:val="single" w:sz="6" w:space="0" w:color="auto"/>
            </w:tcBorders>
            <w:shd w:val="clear" w:color="auto" w:fill="auto"/>
            <w:noWrap/>
            <w:hideMark/>
          </w:tcPr>
          <w:p w:rsidR="00081D6E" w:rsidRPr="002C04A0" w:rsidRDefault="00081D6E" w:rsidP="00AD1506">
            <w:pPr>
              <w:spacing w:before="40" w:after="40" w:line="240" w:lineRule="auto"/>
              <w:jc w:val="left"/>
              <w:rPr>
                <w:rFonts w:asciiTheme="minorHAnsi" w:hAnsiTheme="minorHAnsi"/>
                <w:b/>
                <w:bCs/>
                <w:color w:val="000000" w:themeColor="text1"/>
                <w:sz w:val="20"/>
                <w:lang w:val="fr-CH" w:eastAsia="fr-FR"/>
              </w:rPr>
            </w:pPr>
            <w:r w:rsidRPr="002C04A0">
              <w:rPr>
                <w:rFonts w:asciiTheme="minorHAnsi" w:hAnsiTheme="minorHAnsi"/>
                <w:sz w:val="20"/>
                <w:lang w:val="fr-CH"/>
              </w:rPr>
              <w:t>A obtenir auprès du Bureau des affaires spatiales des Nations Unies (OOSA); du Groupe de travail spécial des Nations Unies pour la télédétection de la Terre</w:t>
            </w:r>
          </w:p>
        </w:tc>
      </w:tr>
    </w:tbl>
    <w:p w:rsidR="00081D6E" w:rsidRPr="002C04A0" w:rsidRDefault="00081D6E" w:rsidP="00BE6EEC">
      <w:pPr>
        <w:pStyle w:val="enumlev1"/>
        <w:spacing w:line="240" w:lineRule="auto"/>
        <w:rPr>
          <w:rFonts w:asciiTheme="minorHAnsi" w:hAnsiTheme="minorHAnsi"/>
          <w:szCs w:val="24"/>
          <w:lang w:val="fr-CH"/>
        </w:rPr>
      </w:pPr>
    </w:p>
    <w:tbl>
      <w:tblPr>
        <w:tblStyle w:val="GridTable4-Accent12"/>
        <w:tblW w:w="14629" w:type="dxa"/>
        <w:tblLayout w:type="fixed"/>
        <w:tblLook w:val="0620" w:firstRow="1" w:lastRow="0" w:firstColumn="0" w:lastColumn="0" w:noHBand="1" w:noVBand="1"/>
      </w:tblPr>
      <w:tblGrid>
        <w:gridCol w:w="7792"/>
        <w:gridCol w:w="1709"/>
        <w:gridCol w:w="1709"/>
        <w:gridCol w:w="1709"/>
        <w:gridCol w:w="1710"/>
      </w:tblGrid>
      <w:tr w:rsidR="00081D6E" w:rsidRPr="002C04A0" w:rsidTr="00081D6E">
        <w:trPr>
          <w:cnfStyle w:val="100000000000" w:firstRow="1" w:lastRow="0" w:firstColumn="0" w:lastColumn="0" w:oddVBand="0" w:evenVBand="0" w:oddHBand="0" w:evenHBand="0" w:firstRowFirstColumn="0" w:firstRowLastColumn="0" w:lastRowFirstColumn="0" w:lastRowLastColumn="0"/>
        </w:trPr>
        <w:tc>
          <w:tcPr>
            <w:tcW w:w="7792" w:type="dxa"/>
          </w:tcPr>
          <w:p w:rsidR="00081D6E" w:rsidRPr="002C04A0" w:rsidRDefault="00081D6E" w:rsidP="00BE6EEC">
            <w:pPr>
              <w:pStyle w:val="Tablehead"/>
              <w:keepLines/>
              <w:rPr>
                <w:b/>
                <w:bCs w:val="0"/>
              </w:rPr>
            </w:pPr>
            <w:r w:rsidRPr="002C04A0">
              <w:rPr>
                <w:b/>
                <w:bCs w:val="0"/>
              </w:rPr>
              <w:lastRenderedPageBreak/>
              <w:t>Produit</w:t>
            </w:r>
          </w:p>
        </w:tc>
        <w:tc>
          <w:tcPr>
            <w:tcW w:w="6837" w:type="dxa"/>
            <w:gridSpan w:val="4"/>
          </w:tcPr>
          <w:p w:rsidR="00081D6E" w:rsidRPr="002C04A0" w:rsidRDefault="00081D6E" w:rsidP="00BE6EEC">
            <w:pPr>
              <w:pStyle w:val="Tablehead"/>
              <w:keepLines/>
              <w:rPr>
                <w:b/>
                <w:bCs w:val="0"/>
                <w:lang w:val="fr-CH"/>
              </w:rPr>
            </w:pPr>
            <w:r w:rsidRPr="002C04A0">
              <w:rPr>
                <w:b/>
                <w:bCs w:val="0"/>
                <w:lang w:val="fr-CH"/>
              </w:rPr>
              <w:t>Ressources financières</w:t>
            </w:r>
            <w:r w:rsidRPr="002C04A0">
              <w:rPr>
                <w:rStyle w:val="FootnoteReference"/>
                <w:b/>
                <w:bCs w:val="0"/>
              </w:rPr>
              <w:footnoteReference w:id="8"/>
            </w:r>
            <w:r w:rsidRPr="002C04A0">
              <w:rPr>
                <w:b/>
                <w:bCs w:val="0"/>
                <w:lang w:val="fr-CH"/>
              </w:rPr>
              <w:t xml:space="preserve"> (en milliers CHF)</w:t>
            </w:r>
          </w:p>
        </w:tc>
      </w:tr>
      <w:tr w:rsidR="00081D6E" w:rsidRPr="002C04A0" w:rsidTr="00081D6E">
        <w:tc>
          <w:tcPr>
            <w:tcW w:w="7792" w:type="dxa"/>
          </w:tcPr>
          <w:p w:rsidR="00081D6E" w:rsidRPr="002C04A0" w:rsidRDefault="00081D6E" w:rsidP="00BE6EEC">
            <w:pPr>
              <w:pStyle w:val="Tabletext"/>
              <w:keepNext/>
              <w:keepLines/>
              <w:rPr>
                <w:lang w:val="fr-CH"/>
              </w:rPr>
            </w:pPr>
          </w:p>
        </w:tc>
        <w:tc>
          <w:tcPr>
            <w:tcW w:w="1709" w:type="dxa"/>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eastAsia="Calibri" w:cs="Arial"/>
                <w:b/>
                <w:bCs/>
                <w:color w:val="4F81BD" w:themeColor="accent1"/>
                <w:sz w:val="20"/>
                <w:szCs w:val="20"/>
                <w:lang w:val="fr-CH"/>
              </w:rPr>
            </w:pPr>
            <w:r w:rsidRPr="002C04A0">
              <w:rPr>
                <w:rFonts w:eastAsia="Calibri" w:cs="Arial"/>
                <w:b/>
                <w:bCs/>
                <w:color w:val="4F81BD" w:themeColor="accent1"/>
                <w:sz w:val="20"/>
                <w:szCs w:val="20"/>
                <w:lang w:val="fr-CH"/>
              </w:rPr>
              <w:t>2017</w:t>
            </w:r>
          </w:p>
        </w:tc>
        <w:tc>
          <w:tcPr>
            <w:tcW w:w="1709" w:type="dxa"/>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eastAsia="Calibri" w:cs="Arial"/>
                <w:b/>
                <w:bCs/>
                <w:color w:val="4F81BD" w:themeColor="accent1"/>
                <w:sz w:val="20"/>
                <w:szCs w:val="20"/>
                <w:lang w:val="fr-CH"/>
              </w:rPr>
            </w:pPr>
            <w:r w:rsidRPr="002C04A0">
              <w:rPr>
                <w:rFonts w:eastAsia="Calibri" w:cs="Arial"/>
                <w:b/>
                <w:bCs/>
                <w:color w:val="4F81BD" w:themeColor="accent1"/>
                <w:sz w:val="20"/>
                <w:szCs w:val="20"/>
                <w:lang w:val="fr-CH"/>
              </w:rPr>
              <w:t>2018</w:t>
            </w:r>
          </w:p>
        </w:tc>
        <w:tc>
          <w:tcPr>
            <w:tcW w:w="1709" w:type="dxa"/>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eastAsia="Calibri" w:cs="Arial"/>
                <w:b/>
                <w:bCs/>
                <w:color w:val="4F81BD" w:themeColor="accent1"/>
                <w:sz w:val="20"/>
                <w:szCs w:val="20"/>
                <w:lang w:val="fr-CH"/>
              </w:rPr>
            </w:pPr>
            <w:r w:rsidRPr="002C04A0">
              <w:rPr>
                <w:rFonts w:eastAsia="Calibri" w:cs="Arial"/>
                <w:b/>
                <w:bCs/>
                <w:color w:val="4F81BD" w:themeColor="accent1"/>
                <w:sz w:val="20"/>
                <w:szCs w:val="20"/>
                <w:lang w:val="fr-CH"/>
              </w:rPr>
              <w:t>2019</w:t>
            </w:r>
          </w:p>
        </w:tc>
        <w:tc>
          <w:tcPr>
            <w:tcW w:w="1710" w:type="dxa"/>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rFonts w:eastAsia="Calibri" w:cs="Arial"/>
                <w:b/>
                <w:bCs/>
                <w:color w:val="4F81BD" w:themeColor="accent1"/>
                <w:sz w:val="20"/>
                <w:szCs w:val="20"/>
                <w:lang w:val="fr-CH"/>
              </w:rPr>
            </w:pPr>
            <w:r w:rsidRPr="002C04A0">
              <w:rPr>
                <w:rFonts w:eastAsia="Calibri" w:cs="Arial"/>
                <w:b/>
                <w:bCs/>
                <w:color w:val="4F81BD" w:themeColor="accent1"/>
                <w:sz w:val="20"/>
                <w:szCs w:val="20"/>
                <w:lang w:val="fr-CH"/>
              </w:rPr>
              <w:t>2020</w:t>
            </w:r>
          </w:p>
        </w:tc>
      </w:tr>
      <w:tr w:rsidR="00081D6E" w:rsidRPr="002C04A0" w:rsidTr="00081D6E">
        <w:tc>
          <w:tcPr>
            <w:tcW w:w="7792" w:type="dxa"/>
          </w:tcPr>
          <w:p w:rsidR="00081D6E" w:rsidRPr="002C04A0" w:rsidRDefault="00081D6E" w:rsidP="00BE6EEC">
            <w:pPr>
              <w:pStyle w:val="Tabletext"/>
              <w:rPr>
                <w:noProof/>
                <w:szCs w:val="20"/>
                <w:lang w:val="fr-CH"/>
              </w:rPr>
            </w:pPr>
            <w:r w:rsidRPr="002C04A0">
              <w:rPr>
                <w:rFonts w:eastAsia="Calibri" w:cs="Arial"/>
                <w:b/>
                <w:bCs/>
                <w:color w:val="4F81BD" w:themeColor="accent1"/>
                <w:szCs w:val="20"/>
                <w:lang w:val="fr-CH"/>
              </w:rPr>
              <w:t>R.2-1</w:t>
            </w:r>
            <w:r w:rsidRPr="002C04A0">
              <w:rPr>
                <w:b/>
                <w:bCs/>
                <w:noProof/>
                <w:color w:val="4F81BD" w:themeColor="accent1"/>
                <w:szCs w:val="20"/>
                <w:lang w:val="fr-CH" w:eastAsia="zh-CN"/>
              </w:rPr>
              <w:t xml:space="preserve"> </w:t>
            </w:r>
            <w:r w:rsidRPr="002C04A0">
              <w:rPr>
                <w:lang w:val="fr-CH"/>
              </w:rPr>
              <w:t>Décisions de l'Assemblée des radiocommunications, Résolutions de l'UIT-R</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1 384</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sz w:val="20"/>
              </w:rPr>
            </w:pPr>
            <w:r w:rsidRPr="002C04A0">
              <w:rPr>
                <w:sz w:val="20"/>
              </w:rPr>
              <w:t>1 358</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1 970</w:t>
            </w:r>
          </w:p>
        </w:tc>
        <w:tc>
          <w:tcPr>
            <w:tcW w:w="1710"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1 350</w:t>
            </w:r>
          </w:p>
        </w:tc>
      </w:tr>
      <w:tr w:rsidR="00081D6E" w:rsidRPr="002C04A0" w:rsidTr="00081D6E">
        <w:tc>
          <w:tcPr>
            <w:tcW w:w="7792" w:type="dxa"/>
          </w:tcPr>
          <w:p w:rsidR="00081D6E" w:rsidRPr="002C04A0" w:rsidRDefault="00081D6E" w:rsidP="00BE6EEC">
            <w:pPr>
              <w:pStyle w:val="Tabletext"/>
              <w:rPr>
                <w:noProof/>
                <w:szCs w:val="20"/>
                <w:lang w:val="fr-CH"/>
              </w:rPr>
            </w:pPr>
            <w:r w:rsidRPr="002C04A0">
              <w:rPr>
                <w:rFonts w:eastAsia="Calibri" w:cs="Arial"/>
                <w:b/>
                <w:bCs/>
                <w:color w:val="4F81BD" w:themeColor="accent1"/>
                <w:szCs w:val="20"/>
                <w:lang w:val="fr-CH"/>
              </w:rPr>
              <w:t>R.2-2</w:t>
            </w:r>
            <w:r w:rsidRPr="002C04A0">
              <w:rPr>
                <w:b/>
                <w:bCs/>
                <w:noProof/>
                <w:color w:val="4F81BD" w:themeColor="accent1"/>
                <w:szCs w:val="20"/>
                <w:lang w:val="fr-CH" w:eastAsia="zh-CN"/>
              </w:rPr>
              <w:t xml:space="preserve"> </w:t>
            </w:r>
            <w:r w:rsidRPr="002C04A0">
              <w:rPr>
                <w:lang w:val="fr-CH"/>
              </w:rPr>
              <w:t>Recommandations, rapports (y compris le rapport de la RPC) et manuels de l'UIT-R</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6 004</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6 805</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5 608</w:t>
            </w:r>
          </w:p>
        </w:tc>
        <w:tc>
          <w:tcPr>
            <w:tcW w:w="1710"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5 867</w:t>
            </w:r>
          </w:p>
        </w:tc>
      </w:tr>
      <w:tr w:rsidR="00081D6E" w:rsidRPr="002C04A0" w:rsidTr="00081D6E">
        <w:tc>
          <w:tcPr>
            <w:tcW w:w="7792" w:type="dxa"/>
          </w:tcPr>
          <w:p w:rsidR="00081D6E" w:rsidRPr="002C04A0" w:rsidRDefault="00081D6E" w:rsidP="00BE6EEC">
            <w:pPr>
              <w:pStyle w:val="Tabletext"/>
              <w:rPr>
                <w:lang w:val="fr-CH"/>
              </w:rPr>
            </w:pPr>
            <w:r w:rsidRPr="002C04A0">
              <w:rPr>
                <w:rFonts w:eastAsia="Calibri" w:cs="Arial"/>
                <w:b/>
                <w:bCs/>
                <w:color w:val="4F81BD" w:themeColor="accent1"/>
                <w:szCs w:val="20"/>
                <w:lang w:val="fr-CH"/>
              </w:rPr>
              <w:t>R.2-3</w:t>
            </w:r>
            <w:r w:rsidRPr="002C04A0">
              <w:rPr>
                <w:b/>
                <w:bCs/>
                <w:noProof/>
                <w:color w:val="4F81BD" w:themeColor="accent1"/>
                <w:szCs w:val="20"/>
                <w:lang w:val="fr-CH" w:eastAsia="zh-CN"/>
              </w:rPr>
              <w:t xml:space="preserve"> </w:t>
            </w:r>
            <w:r w:rsidRPr="002C04A0">
              <w:rPr>
                <w:lang w:val="fr-CH"/>
              </w:rPr>
              <w:t>Avis formulés par le Groupe consultatif des radiocommunications</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1 031</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1 006</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996</w:t>
            </w:r>
          </w:p>
        </w:tc>
        <w:tc>
          <w:tcPr>
            <w:tcW w:w="1710"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1 011</w:t>
            </w:r>
          </w:p>
        </w:tc>
      </w:tr>
      <w:tr w:rsidR="00081D6E" w:rsidRPr="002C04A0" w:rsidTr="00081D6E">
        <w:tc>
          <w:tcPr>
            <w:tcW w:w="7792" w:type="dxa"/>
            <w:vAlign w:val="center"/>
          </w:tcPr>
          <w:p w:rsidR="00081D6E" w:rsidRPr="002C04A0" w:rsidRDefault="00081D6E" w:rsidP="00BE6EEC">
            <w:pPr>
              <w:pStyle w:val="Tabletext"/>
              <w:rPr>
                <w:b/>
                <w:bCs/>
                <w:color w:val="5B9BD5"/>
                <w:szCs w:val="20"/>
                <w:lang w:val="fr-CH"/>
              </w:rPr>
            </w:pPr>
            <w:r w:rsidRPr="002C04A0">
              <w:rPr>
                <w:rFonts w:eastAsia="Calibri" w:cs="Arial"/>
                <w:szCs w:val="20"/>
                <w:lang w:val="fr-CH"/>
              </w:rPr>
              <w:t>Ventilation des coûts entre la Conférence de plénipotentiaires et les activités du Conseil (</w:t>
            </w:r>
            <w:r w:rsidRPr="002C04A0">
              <w:rPr>
                <w:rFonts w:eastAsia="Calibri" w:cs="Arial"/>
                <w:b/>
                <w:bCs/>
                <w:color w:val="4F81BD" w:themeColor="accent1"/>
                <w:szCs w:val="20"/>
                <w:lang w:val="fr-CH"/>
              </w:rPr>
              <w:t>PP</w:t>
            </w:r>
            <w:r w:rsidRPr="002C04A0">
              <w:rPr>
                <w:rFonts w:eastAsia="Calibri" w:cs="Arial"/>
                <w:szCs w:val="20"/>
                <w:lang w:val="fr-CH"/>
              </w:rPr>
              <w:t>, </w:t>
            </w:r>
            <w:r w:rsidRPr="002C04A0">
              <w:rPr>
                <w:rFonts w:eastAsia="Calibri" w:cs="Arial"/>
                <w:b/>
                <w:bCs/>
                <w:color w:val="4F81BD" w:themeColor="accent1"/>
                <w:szCs w:val="20"/>
                <w:lang w:val="fr-CH"/>
              </w:rPr>
              <w:t>Conseil/GTC</w:t>
            </w:r>
            <w:r w:rsidRPr="002C04A0">
              <w:rPr>
                <w:rFonts w:eastAsia="Calibri" w:cs="Arial"/>
                <w:szCs w:val="20"/>
                <w:lang w:val="fr-CH"/>
              </w:rPr>
              <w:t>)</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295</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517</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277</w:t>
            </w:r>
          </w:p>
        </w:tc>
        <w:tc>
          <w:tcPr>
            <w:tcW w:w="1710"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298</w:t>
            </w:r>
          </w:p>
        </w:tc>
      </w:tr>
      <w:tr w:rsidR="00081D6E" w:rsidRPr="002C04A0" w:rsidTr="00081D6E">
        <w:tc>
          <w:tcPr>
            <w:tcW w:w="7792" w:type="dxa"/>
            <w:vAlign w:val="center"/>
          </w:tcPr>
          <w:p w:rsidR="00081D6E" w:rsidRPr="002C04A0" w:rsidRDefault="00081D6E" w:rsidP="00BE6EEC">
            <w:pPr>
              <w:pStyle w:val="Tabletext"/>
              <w:rPr>
                <w:b/>
                <w:bCs/>
                <w:noProof/>
                <w:color w:val="4F81BD" w:themeColor="accent1"/>
                <w:szCs w:val="20"/>
                <w:lang w:eastAsia="zh-CN"/>
              </w:rPr>
            </w:pPr>
            <w:r w:rsidRPr="002C04A0">
              <w:rPr>
                <w:b/>
                <w:bCs/>
                <w:color w:val="5B9BD5"/>
                <w:szCs w:val="20"/>
              </w:rPr>
              <w:t>Total pour l'Objectif R.2</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sz w:val="20"/>
              </w:rPr>
            </w:pPr>
            <w:r w:rsidRPr="002C04A0">
              <w:rPr>
                <w:sz w:val="20"/>
              </w:rPr>
              <w:t>8 714</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sz w:val="20"/>
              </w:rPr>
            </w:pPr>
            <w:r w:rsidRPr="002C04A0">
              <w:rPr>
                <w:sz w:val="20"/>
              </w:rPr>
              <w:t>9 686</w:t>
            </w:r>
          </w:p>
        </w:tc>
        <w:tc>
          <w:tcPr>
            <w:tcW w:w="1709"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sz w:val="20"/>
              </w:rPr>
            </w:pPr>
            <w:r w:rsidRPr="002C04A0">
              <w:rPr>
                <w:sz w:val="20"/>
              </w:rPr>
              <w:t>8 852</w:t>
            </w:r>
          </w:p>
        </w:tc>
        <w:tc>
          <w:tcPr>
            <w:tcW w:w="1710"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sz w:val="20"/>
              </w:rPr>
            </w:pPr>
            <w:r w:rsidRPr="002C04A0">
              <w:rPr>
                <w:sz w:val="20"/>
              </w:rPr>
              <w:t>8 525</w:t>
            </w:r>
          </w:p>
        </w:tc>
      </w:tr>
    </w:tbl>
    <w:p w:rsidR="00081D6E" w:rsidRPr="002C04A0" w:rsidRDefault="00081D6E" w:rsidP="00BE6EEC">
      <w:pPr>
        <w:pStyle w:val="Heading2"/>
        <w:spacing w:after="100" w:line="240" w:lineRule="auto"/>
        <w:rPr>
          <w:rFonts w:asciiTheme="minorHAnsi" w:hAnsiTheme="minorHAnsi"/>
        </w:rPr>
      </w:pPr>
    </w:p>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b/>
        </w:rPr>
      </w:pPr>
      <w:r w:rsidRPr="002C04A0">
        <w:rPr>
          <w:rFonts w:asciiTheme="minorHAnsi" w:hAnsiTheme="minorHAnsi"/>
        </w:rPr>
        <w:br w:type="page"/>
      </w:r>
    </w:p>
    <w:p w:rsidR="00081D6E" w:rsidRPr="002C04A0" w:rsidRDefault="00081D6E" w:rsidP="00BE6EEC">
      <w:pPr>
        <w:pStyle w:val="Heading2"/>
        <w:spacing w:after="100" w:line="240" w:lineRule="auto"/>
        <w:rPr>
          <w:rFonts w:asciiTheme="minorHAnsi" w:hAnsiTheme="minorHAnsi"/>
          <w:lang w:val="fr-CH"/>
        </w:rPr>
      </w:pPr>
      <w:r w:rsidRPr="002C04A0">
        <w:rPr>
          <w:rFonts w:asciiTheme="minorHAnsi" w:hAnsiTheme="minorHAnsi"/>
          <w:lang w:val="fr-CH"/>
        </w:rPr>
        <w:lastRenderedPageBreak/>
        <w:t>5.3</w:t>
      </w:r>
      <w:r w:rsidRPr="002C04A0">
        <w:rPr>
          <w:rFonts w:asciiTheme="minorHAnsi" w:hAnsiTheme="minorHAnsi"/>
          <w:lang w:val="fr-CH"/>
        </w:rPr>
        <w:tab/>
        <w:t>R.3</w:t>
      </w:r>
      <w:r w:rsidRPr="002C04A0">
        <w:rPr>
          <w:rFonts w:asciiTheme="minorHAnsi" w:hAnsiTheme="minorHAnsi"/>
          <w:lang w:val="fr-CH"/>
        </w:rPr>
        <w:tab/>
        <w:t>Encourager l'acquisition et l'échange de connaissances et de savoir</w:t>
      </w:r>
      <w:r w:rsidRPr="002C04A0">
        <w:rPr>
          <w:rFonts w:asciiTheme="minorHAnsi" w:hAnsiTheme="minorHAnsi"/>
          <w:lang w:val="fr-CH"/>
        </w:rPr>
        <w:noBreakHyphen/>
        <w:t>faire dans le domaine des radiocommunications</w:t>
      </w:r>
    </w:p>
    <w:p w:rsidR="00081D6E" w:rsidRPr="002C04A0" w:rsidRDefault="00081D6E" w:rsidP="00BE6EEC">
      <w:pPr>
        <w:spacing w:line="240" w:lineRule="auto"/>
        <w:rPr>
          <w:rFonts w:asciiTheme="minorHAnsi" w:hAnsiTheme="minorHAnsi"/>
          <w:sz w:val="16"/>
          <w:szCs w:val="16"/>
          <w:lang w:val="fr-CH"/>
        </w:rPr>
      </w:pP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264"/>
        <w:gridCol w:w="993"/>
        <w:gridCol w:w="1134"/>
        <w:gridCol w:w="1134"/>
        <w:gridCol w:w="2797"/>
      </w:tblGrid>
      <w:tr w:rsidR="00081D6E" w:rsidRPr="002C04A0" w:rsidTr="00081D6E">
        <w:trPr>
          <w:trHeight w:val="320"/>
        </w:trPr>
        <w:tc>
          <w:tcPr>
            <w:tcW w:w="3669" w:type="dxa"/>
            <w:shd w:val="clear" w:color="000000" w:fill="2F75B5"/>
            <w:noWrap/>
            <w:hideMark/>
          </w:tcPr>
          <w:p w:rsidR="00081D6E" w:rsidRPr="002C04A0" w:rsidRDefault="00081D6E" w:rsidP="00BE6EEC">
            <w:pPr>
              <w:spacing w:line="240" w:lineRule="auto"/>
              <w:jc w:val="center"/>
              <w:rPr>
                <w:rFonts w:asciiTheme="minorHAnsi" w:eastAsiaTheme="minorHAnsi" w:hAnsiTheme="minorHAnsi" w:cstheme="minorBidi"/>
                <w:b/>
                <w:color w:val="FFFFFF" w:themeColor="background1"/>
                <w:sz w:val="22"/>
              </w:rPr>
            </w:pPr>
            <w:r w:rsidRPr="002C04A0">
              <w:rPr>
                <w:rFonts w:asciiTheme="minorHAnsi" w:eastAsiaTheme="minorHAnsi" w:hAnsiTheme="minorHAnsi" w:cstheme="minorBidi"/>
                <w:b/>
                <w:color w:val="FFFFFF" w:themeColor="background1"/>
                <w:sz w:val="22"/>
              </w:rPr>
              <w:t>Résultat</w:t>
            </w:r>
          </w:p>
        </w:tc>
        <w:tc>
          <w:tcPr>
            <w:tcW w:w="4264" w:type="dxa"/>
            <w:shd w:val="clear" w:color="000000" w:fill="2F75B5"/>
            <w:noWrap/>
            <w:hideMark/>
          </w:tcPr>
          <w:p w:rsidR="00081D6E" w:rsidRPr="002C04A0" w:rsidRDefault="00081D6E" w:rsidP="00BA16FB">
            <w:pPr>
              <w:spacing w:line="240" w:lineRule="auto"/>
              <w:jc w:val="center"/>
              <w:rPr>
                <w:rFonts w:asciiTheme="minorHAnsi" w:eastAsiaTheme="minorHAnsi" w:hAnsiTheme="minorHAnsi" w:cstheme="minorBidi"/>
                <w:b/>
                <w:color w:val="FFFFFF" w:themeColor="background1"/>
                <w:sz w:val="22"/>
              </w:rPr>
            </w:pPr>
            <w:r w:rsidRPr="002C04A0">
              <w:rPr>
                <w:rFonts w:asciiTheme="minorHAnsi" w:eastAsiaTheme="minorHAnsi" w:hAnsiTheme="minorHAnsi" w:cstheme="minorBidi"/>
                <w:b/>
                <w:color w:val="FFFFFF" w:themeColor="background1"/>
                <w:sz w:val="22"/>
              </w:rPr>
              <w:t>Indicateur de résultats</w:t>
            </w:r>
          </w:p>
        </w:tc>
        <w:tc>
          <w:tcPr>
            <w:tcW w:w="993" w:type="dxa"/>
            <w:shd w:val="clear" w:color="000000" w:fill="2F75B5"/>
            <w:noWrap/>
            <w:hideMark/>
          </w:tcPr>
          <w:p w:rsidR="00081D6E" w:rsidRPr="002C04A0" w:rsidRDefault="00081D6E" w:rsidP="00BE6EEC">
            <w:pPr>
              <w:spacing w:line="240" w:lineRule="auto"/>
              <w:jc w:val="center"/>
              <w:rPr>
                <w:rFonts w:asciiTheme="minorHAnsi" w:eastAsiaTheme="minorHAnsi" w:hAnsiTheme="minorHAnsi" w:cstheme="minorBidi"/>
                <w:b/>
                <w:color w:val="FFFFFF" w:themeColor="background1"/>
                <w:sz w:val="22"/>
              </w:rPr>
            </w:pPr>
            <w:r w:rsidRPr="002C04A0">
              <w:rPr>
                <w:rFonts w:asciiTheme="minorHAnsi" w:eastAsiaTheme="minorHAnsi" w:hAnsiTheme="minorHAnsi" w:cstheme="minorBidi"/>
                <w:b/>
                <w:color w:val="FFFFFF" w:themeColor="background1"/>
                <w:sz w:val="22"/>
              </w:rPr>
              <w:t>2014</w:t>
            </w:r>
          </w:p>
        </w:tc>
        <w:tc>
          <w:tcPr>
            <w:tcW w:w="1134" w:type="dxa"/>
            <w:shd w:val="clear" w:color="000000" w:fill="2F75B5"/>
            <w:noWrap/>
            <w:hideMark/>
          </w:tcPr>
          <w:p w:rsidR="00081D6E" w:rsidRPr="002C04A0" w:rsidRDefault="00081D6E" w:rsidP="00BE6EEC">
            <w:pPr>
              <w:spacing w:line="240" w:lineRule="auto"/>
              <w:jc w:val="center"/>
              <w:rPr>
                <w:rFonts w:asciiTheme="minorHAnsi" w:eastAsiaTheme="minorHAnsi" w:hAnsiTheme="minorHAnsi" w:cstheme="minorBidi"/>
                <w:b/>
                <w:color w:val="FFFFFF" w:themeColor="background1"/>
                <w:sz w:val="22"/>
              </w:rPr>
            </w:pPr>
            <w:r w:rsidRPr="002C04A0">
              <w:rPr>
                <w:rFonts w:asciiTheme="minorHAnsi" w:eastAsiaTheme="minorHAnsi" w:hAnsiTheme="minorHAnsi" w:cstheme="minorBidi"/>
                <w:b/>
                <w:color w:val="FFFFFF" w:themeColor="background1"/>
                <w:sz w:val="22"/>
              </w:rPr>
              <w:t>2015</w:t>
            </w:r>
          </w:p>
        </w:tc>
        <w:tc>
          <w:tcPr>
            <w:tcW w:w="1134" w:type="dxa"/>
            <w:shd w:val="clear" w:color="000000" w:fill="2F75B5"/>
            <w:noWrap/>
            <w:hideMark/>
          </w:tcPr>
          <w:p w:rsidR="00081D6E" w:rsidRPr="002C04A0" w:rsidRDefault="00081D6E" w:rsidP="00BE6EEC">
            <w:pPr>
              <w:spacing w:line="240" w:lineRule="auto"/>
              <w:jc w:val="center"/>
              <w:rPr>
                <w:rFonts w:asciiTheme="minorHAnsi" w:eastAsiaTheme="minorHAnsi" w:hAnsiTheme="minorHAnsi" w:cstheme="minorBidi"/>
                <w:b/>
                <w:color w:val="FFFFFF" w:themeColor="background1"/>
                <w:sz w:val="22"/>
              </w:rPr>
            </w:pPr>
            <w:r w:rsidRPr="002C04A0">
              <w:rPr>
                <w:rFonts w:asciiTheme="minorHAnsi" w:eastAsiaTheme="minorHAnsi" w:hAnsiTheme="minorHAnsi" w:cstheme="minorBidi"/>
                <w:b/>
                <w:color w:val="FFFFFF" w:themeColor="background1"/>
                <w:sz w:val="22"/>
              </w:rPr>
              <w:t xml:space="preserve">Cible pour 2020 </w:t>
            </w:r>
          </w:p>
        </w:tc>
        <w:tc>
          <w:tcPr>
            <w:tcW w:w="2797" w:type="dxa"/>
            <w:shd w:val="clear" w:color="000000" w:fill="2F75B5"/>
            <w:noWrap/>
            <w:hideMark/>
          </w:tcPr>
          <w:p w:rsidR="00081D6E" w:rsidRPr="002C04A0" w:rsidRDefault="00081D6E" w:rsidP="00BE6EEC">
            <w:pPr>
              <w:spacing w:line="240" w:lineRule="auto"/>
              <w:rPr>
                <w:rFonts w:asciiTheme="minorHAnsi" w:eastAsiaTheme="minorHAnsi" w:hAnsiTheme="minorHAnsi" w:cstheme="minorBidi"/>
                <w:b/>
                <w:color w:val="FFFFFF" w:themeColor="background1"/>
                <w:sz w:val="22"/>
              </w:rPr>
            </w:pPr>
            <w:r w:rsidRPr="002C04A0">
              <w:rPr>
                <w:rFonts w:asciiTheme="minorHAnsi" w:eastAsiaTheme="minorHAnsi" w:hAnsiTheme="minorHAnsi" w:cstheme="minorBidi"/>
                <w:b/>
                <w:color w:val="FFFFFF" w:themeColor="background1"/>
                <w:sz w:val="22"/>
              </w:rPr>
              <w:t xml:space="preserve">Source </w:t>
            </w:r>
          </w:p>
        </w:tc>
      </w:tr>
      <w:tr w:rsidR="00081D6E" w:rsidRPr="002C04A0" w:rsidTr="00081D6E">
        <w:trPr>
          <w:trHeight w:val="315"/>
        </w:trPr>
        <w:tc>
          <w:tcPr>
            <w:tcW w:w="3669" w:type="dxa"/>
            <w:vMerge w:val="restart"/>
            <w:tcBorders>
              <w:top w:val="single" w:sz="6" w:space="0" w:color="auto"/>
              <w:bottom w:val="single" w:sz="6" w:space="0" w:color="auto"/>
            </w:tcBorders>
            <w:shd w:val="clear" w:color="auto" w:fill="auto"/>
            <w:hideMark/>
          </w:tcPr>
          <w:p w:rsidR="00081D6E" w:rsidRPr="002C04A0" w:rsidRDefault="00081D6E" w:rsidP="00BE6EEC">
            <w:pPr>
              <w:pStyle w:val="Tabletext"/>
              <w:rPr>
                <w:rFonts w:asciiTheme="minorHAnsi" w:eastAsia="Calibri" w:hAnsiTheme="minorHAnsi" w:cs="Arial"/>
                <w:lang w:val="fr-CH"/>
              </w:rPr>
            </w:pPr>
            <w:r w:rsidRPr="002C04A0">
              <w:rPr>
                <w:rFonts w:asciiTheme="minorHAnsi" w:eastAsia="Calibri" w:hAnsiTheme="minorHAnsi" w:cs="Arial"/>
                <w:b/>
                <w:bCs/>
                <w:color w:val="4F81BD" w:themeColor="accent1"/>
                <w:lang w:val="fr-CH"/>
              </w:rPr>
              <w:t>R.3-1</w:t>
            </w:r>
            <w:r w:rsidRPr="002C04A0">
              <w:rPr>
                <w:rFonts w:asciiTheme="minorHAnsi" w:eastAsia="Calibri" w:hAnsiTheme="minorHAnsi" w:cs="Arial"/>
                <w:lang w:val="fr-CH"/>
              </w:rPr>
              <w:t xml:space="preserve">: </w:t>
            </w:r>
            <w:r w:rsidRPr="002C04A0">
              <w:rPr>
                <w:rFonts w:asciiTheme="minorHAnsi" w:hAnsiTheme="minorHAnsi"/>
                <w:lang w:val="fr-CH"/>
              </w:rPr>
              <w:t>Renforcement des connaissances et du savoir-faire en ce qui concerne le Règlement des radiocommunications, les Règles de procédure, les accords régionaux, les recommandations et les bonnes pratiques en matière d'utilisation du spectre</w:t>
            </w:r>
          </w:p>
        </w:tc>
        <w:tc>
          <w:tcPr>
            <w:tcW w:w="4264"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téléchargements de publications accessibles en ligne gratuitement</w:t>
            </w:r>
          </w:p>
        </w:tc>
        <w:tc>
          <w:tcPr>
            <w:tcW w:w="993"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 xml:space="preserve">1,8 </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2,5</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4,0</w:t>
            </w:r>
          </w:p>
        </w:tc>
        <w:tc>
          <w:tcPr>
            <w:tcW w:w="2797" w:type="dxa"/>
            <w:vMerge w:val="restart"/>
            <w:tcBorders>
              <w:top w:val="single" w:sz="6" w:space="0" w:color="auto"/>
              <w:bottom w:val="single" w:sz="6" w:space="0" w:color="auto"/>
            </w:tcBorders>
            <w:shd w:val="clear" w:color="auto" w:fill="auto"/>
            <w:noWrap/>
            <w:hideMark/>
          </w:tcPr>
          <w:p w:rsidR="00081D6E" w:rsidRPr="002C04A0" w:rsidRDefault="00081D6E" w:rsidP="00BE6EEC">
            <w:pPr>
              <w:pStyle w:val="Tabletext"/>
              <w:rPr>
                <w:rFonts w:asciiTheme="minorHAnsi" w:hAnsiTheme="minorHAnsi"/>
                <w:lang w:val="fr-CH"/>
              </w:rPr>
            </w:pPr>
            <w:r w:rsidRPr="002C04A0">
              <w:rPr>
                <w:rFonts w:asciiTheme="minorHAnsi" w:hAnsiTheme="minorHAnsi"/>
                <w:lang w:val="fr-CH"/>
              </w:rPr>
              <w:t>Base de données du registre des manifestations de l'UIT</w:t>
            </w:r>
            <w:r w:rsidRPr="002C04A0">
              <w:rPr>
                <w:rFonts w:asciiTheme="minorHAnsi" w:hAnsiTheme="minorHAnsi"/>
                <w:lang w:val="fr-CH"/>
              </w:rPr>
              <w:noBreakHyphen/>
              <w:t>R</w:t>
            </w:r>
          </w:p>
        </w:tc>
      </w:tr>
      <w:tr w:rsidR="00081D6E" w:rsidRPr="002C04A0" w:rsidTr="00081D6E">
        <w:trPr>
          <w:trHeight w:val="320"/>
        </w:trPr>
        <w:tc>
          <w:tcPr>
            <w:tcW w:w="3669" w:type="dxa"/>
            <w:vMerge/>
            <w:tcBorders>
              <w:top w:val="single" w:sz="6" w:space="0" w:color="auto"/>
              <w:bottom w:val="single" w:sz="6" w:space="0" w:color="auto"/>
            </w:tcBorders>
            <w:shd w:val="clear" w:color="auto" w:fill="auto"/>
            <w:hideMark/>
          </w:tcPr>
          <w:p w:rsidR="00081D6E" w:rsidRPr="002C04A0" w:rsidRDefault="00081D6E" w:rsidP="00BE6EEC">
            <w:pPr>
              <w:spacing w:before="40" w:after="40" w:line="240" w:lineRule="auto"/>
              <w:rPr>
                <w:rFonts w:asciiTheme="minorHAnsi" w:hAnsiTheme="minorHAnsi"/>
                <w:b/>
                <w:bCs/>
                <w:color w:val="000000"/>
                <w:sz w:val="20"/>
                <w:lang w:val="fr-CH" w:eastAsia="fr-FR"/>
              </w:rPr>
            </w:pPr>
          </w:p>
        </w:tc>
        <w:tc>
          <w:tcPr>
            <w:tcW w:w="4264"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manifestations sur le renforcement des capacités organisées par le BR ou avec son appui (sur place ou à distance)</w:t>
            </w:r>
          </w:p>
        </w:tc>
        <w:tc>
          <w:tcPr>
            <w:tcW w:w="993"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29</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32</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36</w:t>
            </w:r>
          </w:p>
        </w:tc>
        <w:tc>
          <w:tcPr>
            <w:tcW w:w="2797" w:type="dxa"/>
            <w:vMerge/>
            <w:tcBorders>
              <w:top w:val="single" w:sz="6" w:space="0" w:color="auto"/>
              <w:bottom w:val="single" w:sz="6" w:space="0" w:color="auto"/>
            </w:tcBorders>
            <w:shd w:val="clear" w:color="auto" w:fill="auto"/>
            <w:hideMark/>
          </w:tcPr>
          <w:p w:rsidR="00081D6E" w:rsidRPr="002C04A0" w:rsidRDefault="00081D6E" w:rsidP="00BE6EEC">
            <w:pPr>
              <w:spacing w:before="40" w:after="40" w:line="240" w:lineRule="auto"/>
              <w:rPr>
                <w:rFonts w:asciiTheme="minorHAnsi" w:hAnsiTheme="minorHAnsi"/>
                <w:color w:val="000000"/>
                <w:sz w:val="20"/>
                <w:lang w:eastAsia="fr-FR"/>
              </w:rPr>
            </w:pPr>
          </w:p>
        </w:tc>
      </w:tr>
      <w:tr w:rsidR="00081D6E" w:rsidRPr="002C04A0" w:rsidTr="00081D6E">
        <w:trPr>
          <w:trHeight w:val="598"/>
        </w:trPr>
        <w:tc>
          <w:tcPr>
            <w:tcW w:w="3669" w:type="dxa"/>
            <w:vMerge/>
            <w:tcBorders>
              <w:top w:val="single" w:sz="6" w:space="0" w:color="auto"/>
              <w:bottom w:val="single" w:sz="6" w:space="0" w:color="auto"/>
            </w:tcBorders>
            <w:shd w:val="clear" w:color="auto" w:fill="auto"/>
            <w:hideMark/>
          </w:tcPr>
          <w:p w:rsidR="00081D6E" w:rsidRPr="002C04A0" w:rsidRDefault="00081D6E" w:rsidP="00BE6EEC">
            <w:pPr>
              <w:spacing w:before="40" w:after="40" w:line="240" w:lineRule="auto"/>
              <w:rPr>
                <w:rFonts w:asciiTheme="minorHAnsi" w:hAnsiTheme="minorHAnsi"/>
                <w:b/>
                <w:bCs/>
                <w:color w:val="000000"/>
                <w:sz w:val="20"/>
                <w:lang w:eastAsia="fr-FR"/>
              </w:rPr>
            </w:pPr>
          </w:p>
        </w:tc>
        <w:tc>
          <w:tcPr>
            <w:tcW w:w="4264" w:type="dxa"/>
            <w:tcBorders>
              <w:top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 xml:space="preserve">Nombre de participants aux manifestations sur le renforcement des capacités organisées par l'UIT et le BR ou avec leur </w:t>
            </w:r>
            <w:r w:rsidR="00BA16FB">
              <w:rPr>
                <w:rFonts w:asciiTheme="minorHAnsi" w:hAnsiTheme="minorHAnsi"/>
                <w:sz w:val="20"/>
                <w:lang w:val="fr-CH"/>
              </w:rPr>
              <w:t>appui (pendant la période de la </w:t>
            </w:r>
            <w:r w:rsidRPr="002C04A0">
              <w:rPr>
                <w:rFonts w:asciiTheme="minorHAnsi" w:hAnsiTheme="minorHAnsi"/>
                <w:sz w:val="20"/>
                <w:lang w:val="fr-CH"/>
              </w:rPr>
              <w:t>CMR)</w:t>
            </w:r>
          </w:p>
        </w:tc>
        <w:tc>
          <w:tcPr>
            <w:tcW w:w="993" w:type="dxa"/>
            <w:tcBorders>
              <w:top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1 261</w:t>
            </w:r>
          </w:p>
        </w:tc>
        <w:tc>
          <w:tcPr>
            <w:tcW w:w="1134" w:type="dxa"/>
            <w:tcBorders>
              <w:top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1 518</w:t>
            </w:r>
          </w:p>
        </w:tc>
        <w:tc>
          <w:tcPr>
            <w:tcW w:w="1134" w:type="dxa"/>
            <w:tcBorders>
              <w:top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2 000</w:t>
            </w:r>
          </w:p>
        </w:tc>
        <w:tc>
          <w:tcPr>
            <w:tcW w:w="2797" w:type="dxa"/>
            <w:vMerge/>
            <w:tcBorders>
              <w:top w:val="single" w:sz="6" w:space="0" w:color="auto"/>
              <w:bottom w:val="single" w:sz="6" w:space="0" w:color="auto"/>
            </w:tcBorders>
            <w:shd w:val="clear" w:color="auto" w:fill="auto"/>
            <w:hideMark/>
          </w:tcPr>
          <w:p w:rsidR="00081D6E" w:rsidRPr="002C04A0" w:rsidRDefault="00081D6E" w:rsidP="00BE6EEC">
            <w:pPr>
              <w:spacing w:before="40" w:after="40" w:line="240" w:lineRule="auto"/>
              <w:rPr>
                <w:rFonts w:asciiTheme="minorHAnsi" w:hAnsiTheme="minorHAnsi"/>
                <w:color w:val="000000"/>
                <w:sz w:val="20"/>
                <w:lang w:eastAsia="fr-FR"/>
              </w:rPr>
            </w:pPr>
          </w:p>
        </w:tc>
      </w:tr>
      <w:tr w:rsidR="00081D6E" w:rsidRPr="002C04A0" w:rsidTr="00081D6E">
        <w:trPr>
          <w:trHeight w:val="320"/>
        </w:trPr>
        <w:tc>
          <w:tcPr>
            <w:tcW w:w="3669" w:type="dxa"/>
            <w:vMerge w:val="restart"/>
            <w:tcBorders>
              <w:top w:val="single" w:sz="6" w:space="0" w:color="auto"/>
            </w:tcBorders>
            <w:shd w:val="clear" w:color="auto" w:fill="auto"/>
          </w:tcPr>
          <w:p w:rsidR="00081D6E" w:rsidRPr="002C04A0" w:rsidRDefault="00081D6E" w:rsidP="00BE6EEC">
            <w:pPr>
              <w:pStyle w:val="Tabletext"/>
              <w:rPr>
                <w:rFonts w:asciiTheme="minorHAnsi" w:hAnsiTheme="minorHAnsi"/>
                <w:lang w:val="fr-CH"/>
              </w:rPr>
            </w:pPr>
            <w:r w:rsidRPr="002C04A0">
              <w:rPr>
                <w:rFonts w:asciiTheme="minorHAnsi" w:eastAsia="Calibri" w:hAnsiTheme="minorHAnsi" w:cs="Arial"/>
                <w:b/>
                <w:bCs/>
                <w:color w:val="4F81BD" w:themeColor="accent1"/>
                <w:lang w:val="fr-CH"/>
              </w:rPr>
              <w:t>R.3-2</w:t>
            </w:r>
            <w:r w:rsidRPr="002C04A0">
              <w:rPr>
                <w:rFonts w:asciiTheme="minorHAnsi" w:eastAsia="Calibri" w:hAnsiTheme="minorHAnsi" w:cs="Arial"/>
                <w:lang w:val="fr-CH"/>
              </w:rPr>
              <w:t xml:space="preserve">: </w:t>
            </w:r>
            <w:r w:rsidRPr="002C04A0">
              <w:rPr>
                <w:rFonts w:asciiTheme="minorHAnsi" w:hAnsiTheme="minorHAnsi"/>
                <w:lang w:val="fr-CH"/>
              </w:rPr>
              <w:t>Renforcement de la participation, en particulier des pays en développement, aux activités de l'UIT-R (y compris par la participation à distance)</w:t>
            </w:r>
          </w:p>
        </w:tc>
        <w:tc>
          <w:tcPr>
            <w:tcW w:w="4264" w:type="dxa"/>
            <w:tcBorders>
              <w:top w:val="single" w:sz="6" w:space="0" w:color="auto"/>
              <w:bottom w:val="single" w:sz="6" w:space="0" w:color="auto"/>
            </w:tcBorders>
            <w:shd w:val="clear" w:color="auto" w:fill="auto"/>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d'activités d'assistance technique et de manifestations connexes</w:t>
            </w:r>
            <w:r w:rsidR="00BA16FB">
              <w:rPr>
                <w:rFonts w:asciiTheme="minorHAnsi" w:hAnsiTheme="minorHAnsi"/>
                <w:sz w:val="20"/>
                <w:lang w:val="fr-CH"/>
              </w:rPr>
              <w:t xml:space="preserve"> auxquelles participe le </w:t>
            </w:r>
            <w:r w:rsidRPr="002C04A0">
              <w:rPr>
                <w:rFonts w:asciiTheme="minorHAnsi" w:hAnsiTheme="minorHAnsi"/>
                <w:sz w:val="20"/>
                <w:lang w:val="fr-CH"/>
              </w:rPr>
              <w:t>BR</w:t>
            </w:r>
          </w:p>
        </w:tc>
        <w:tc>
          <w:tcPr>
            <w:tcW w:w="993"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78</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93</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100</w:t>
            </w:r>
          </w:p>
        </w:tc>
        <w:tc>
          <w:tcPr>
            <w:tcW w:w="2797"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rPr>
                <w:rFonts w:asciiTheme="minorHAnsi" w:hAnsiTheme="minorHAnsi"/>
                <w:color w:val="000000"/>
                <w:sz w:val="20"/>
                <w:lang w:val="fr-CH" w:eastAsia="fr-FR"/>
              </w:rPr>
            </w:pPr>
            <w:r w:rsidRPr="002C04A0">
              <w:rPr>
                <w:rFonts w:asciiTheme="minorHAnsi" w:hAnsiTheme="minorHAnsi"/>
                <w:sz w:val="20"/>
                <w:lang w:val="fr-CH"/>
              </w:rPr>
              <w:t>Base de données du registre des manifestations de l'UIT</w:t>
            </w:r>
            <w:r w:rsidRPr="002C04A0">
              <w:rPr>
                <w:rFonts w:asciiTheme="minorHAnsi" w:hAnsiTheme="minorHAnsi"/>
                <w:sz w:val="20"/>
                <w:lang w:val="fr-CH"/>
              </w:rPr>
              <w:noBreakHyphen/>
              <w:t>R</w:t>
            </w:r>
          </w:p>
        </w:tc>
      </w:tr>
      <w:tr w:rsidR="00081D6E" w:rsidRPr="002C04A0" w:rsidTr="00081D6E">
        <w:trPr>
          <w:trHeight w:val="320"/>
        </w:trPr>
        <w:tc>
          <w:tcPr>
            <w:tcW w:w="3669" w:type="dxa"/>
            <w:vMerge/>
            <w:shd w:val="clear" w:color="auto" w:fill="auto"/>
          </w:tcPr>
          <w:p w:rsidR="00081D6E" w:rsidRPr="002C04A0" w:rsidRDefault="00081D6E" w:rsidP="00BE6EEC">
            <w:pPr>
              <w:spacing w:before="40" w:after="40" w:line="240" w:lineRule="auto"/>
              <w:jc w:val="center"/>
              <w:rPr>
                <w:rFonts w:asciiTheme="minorHAnsi" w:hAnsiTheme="minorHAnsi"/>
                <w:b/>
                <w:bCs/>
                <w:color w:val="5B9BD5"/>
                <w:sz w:val="20"/>
                <w:lang w:val="fr-CH"/>
              </w:rPr>
            </w:pPr>
          </w:p>
        </w:tc>
        <w:tc>
          <w:tcPr>
            <w:tcW w:w="4264" w:type="dxa"/>
            <w:tcBorders>
              <w:top w:val="single" w:sz="6" w:space="0" w:color="auto"/>
              <w:bottom w:val="single" w:sz="6" w:space="0" w:color="auto"/>
            </w:tcBorders>
            <w:shd w:val="clear" w:color="auto" w:fill="auto"/>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pays recevant une assistance technique de la part du BR ou participant à des manifestations techniques du BR</w:t>
            </w:r>
          </w:p>
        </w:tc>
        <w:tc>
          <w:tcPr>
            <w:tcW w:w="993"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57</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78</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80</w:t>
            </w:r>
          </w:p>
        </w:tc>
        <w:tc>
          <w:tcPr>
            <w:tcW w:w="2797"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rPr>
                <w:rFonts w:asciiTheme="minorHAnsi" w:hAnsiTheme="minorHAnsi"/>
                <w:color w:val="000000"/>
                <w:sz w:val="20"/>
                <w:lang w:val="fr-CH" w:eastAsia="fr-FR"/>
              </w:rPr>
            </w:pPr>
            <w:r w:rsidRPr="002C04A0">
              <w:rPr>
                <w:rFonts w:asciiTheme="minorHAnsi" w:hAnsiTheme="minorHAnsi"/>
                <w:sz w:val="20"/>
                <w:lang w:val="fr-CH"/>
              </w:rPr>
              <w:t>Base de données du registre des manifestations de l'UIT</w:t>
            </w:r>
            <w:r w:rsidRPr="002C04A0">
              <w:rPr>
                <w:rFonts w:asciiTheme="minorHAnsi" w:hAnsiTheme="minorHAnsi"/>
                <w:sz w:val="20"/>
                <w:lang w:val="fr-CH"/>
              </w:rPr>
              <w:noBreakHyphen/>
              <w:t>R</w:t>
            </w:r>
          </w:p>
        </w:tc>
      </w:tr>
      <w:tr w:rsidR="00081D6E" w:rsidRPr="002C04A0" w:rsidTr="00081D6E">
        <w:trPr>
          <w:trHeight w:val="320"/>
        </w:trPr>
        <w:tc>
          <w:tcPr>
            <w:tcW w:w="3669" w:type="dxa"/>
            <w:vMerge/>
            <w:shd w:val="clear" w:color="auto" w:fill="auto"/>
            <w:hideMark/>
          </w:tcPr>
          <w:p w:rsidR="00081D6E" w:rsidRPr="002C04A0" w:rsidRDefault="00081D6E" w:rsidP="00BE6EEC">
            <w:pPr>
              <w:spacing w:before="40" w:after="40" w:line="240" w:lineRule="auto"/>
              <w:jc w:val="center"/>
              <w:rPr>
                <w:rFonts w:asciiTheme="minorHAnsi" w:hAnsiTheme="minorHAnsi"/>
                <w:b/>
                <w:bCs/>
                <w:color w:val="000000"/>
                <w:sz w:val="20"/>
                <w:lang w:val="fr-CH" w:eastAsia="fr-FR"/>
              </w:rPr>
            </w:pPr>
          </w:p>
        </w:tc>
        <w:tc>
          <w:tcPr>
            <w:tcW w:w="4264" w:type="dxa"/>
            <w:tcBorders>
              <w:top w:val="single" w:sz="6" w:space="0" w:color="auto"/>
              <w:bottom w:val="single" w:sz="6"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participants aux conférences et assemblées de l'UIT-R et aux réunions connexes des commissions d'études de l'UIT-R (sur place ou à distance)/manifestations connexes</w:t>
            </w:r>
          </w:p>
        </w:tc>
        <w:tc>
          <w:tcPr>
            <w:tcW w:w="993"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6 385/47</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9 031/45</w:t>
            </w:r>
          </w:p>
        </w:tc>
        <w:tc>
          <w:tcPr>
            <w:tcW w:w="1134" w:type="dxa"/>
            <w:tcBorders>
              <w:top w:val="single" w:sz="6" w:space="0" w:color="auto"/>
              <w:bottom w:val="single" w:sz="6"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p>
        </w:tc>
        <w:tc>
          <w:tcPr>
            <w:tcW w:w="2797" w:type="dxa"/>
            <w:tcBorders>
              <w:top w:val="single" w:sz="6" w:space="0" w:color="auto"/>
              <w:bottom w:val="single" w:sz="6" w:space="0" w:color="auto"/>
            </w:tcBorders>
            <w:shd w:val="clear" w:color="auto" w:fill="auto"/>
            <w:noWrap/>
            <w:hideMark/>
          </w:tcPr>
          <w:p w:rsidR="00081D6E" w:rsidRPr="002C04A0" w:rsidRDefault="00081D6E" w:rsidP="00BE6EEC">
            <w:pPr>
              <w:spacing w:before="40" w:after="40" w:line="240" w:lineRule="auto"/>
              <w:rPr>
                <w:rFonts w:asciiTheme="minorHAnsi" w:hAnsiTheme="minorHAnsi"/>
                <w:color w:val="000000"/>
                <w:sz w:val="20"/>
                <w:lang w:val="fr-CH" w:eastAsia="fr-FR"/>
              </w:rPr>
            </w:pPr>
            <w:r w:rsidRPr="002C04A0">
              <w:rPr>
                <w:rFonts w:asciiTheme="minorHAnsi" w:hAnsiTheme="minorHAnsi"/>
                <w:sz w:val="20"/>
                <w:lang w:val="fr-CH"/>
              </w:rPr>
              <w:t>Base de données du registre des manifestations de l'UIT</w:t>
            </w:r>
            <w:r w:rsidRPr="002C04A0">
              <w:rPr>
                <w:rFonts w:asciiTheme="minorHAnsi" w:hAnsiTheme="minorHAnsi"/>
                <w:sz w:val="20"/>
                <w:lang w:val="fr-CH"/>
              </w:rPr>
              <w:noBreakHyphen/>
              <w:t>R</w:t>
            </w:r>
          </w:p>
        </w:tc>
      </w:tr>
      <w:tr w:rsidR="00081D6E" w:rsidRPr="002C04A0" w:rsidTr="00081D6E">
        <w:trPr>
          <w:trHeight w:val="340"/>
        </w:trPr>
        <w:tc>
          <w:tcPr>
            <w:tcW w:w="3669" w:type="dxa"/>
            <w:vMerge/>
            <w:tcBorders>
              <w:bottom w:val="single" w:sz="4" w:space="0" w:color="auto"/>
            </w:tcBorders>
            <w:shd w:val="clear" w:color="auto" w:fill="auto"/>
            <w:hideMark/>
          </w:tcPr>
          <w:p w:rsidR="00081D6E" w:rsidRPr="002C04A0" w:rsidRDefault="00081D6E" w:rsidP="00BE6EEC">
            <w:pPr>
              <w:spacing w:before="40" w:after="40" w:line="240" w:lineRule="auto"/>
              <w:rPr>
                <w:rFonts w:asciiTheme="minorHAnsi" w:hAnsiTheme="minorHAnsi"/>
                <w:b/>
                <w:bCs/>
                <w:color w:val="000000"/>
                <w:sz w:val="20"/>
                <w:lang w:val="fr-CH" w:eastAsia="fr-FR"/>
              </w:rPr>
            </w:pPr>
          </w:p>
        </w:tc>
        <w:tc>
          <w:tcPr>
            <w:tcW w:w="4264" w:type="dxa"/>
            <w:tcBorders>
              <w:top w:val="single" w:sz="6" w:space="0" w:color="auto"/>
              <w:bottom w:val="single" w:sz="4" w:space="0" w:color="auto"/>
            </w:tcBorders>
            <w:shd w:val="clear" w:color="auto" w:fill="auto"/>
            <w:hideMark/>
          </w:tcPr>
          <w:p w:rsidR="00081D6E" w:rsidRPr="002C04A0" w:rsidRDefault="00081D6E" w:rsidP="00BA16FB">
            <w:pPr>
              <w:spacing w:before="40" w:after="40" w:line="240" w:lineRule="auto"/>
              <w:jc w:val="left"/>
              <w:rPr>
                <w:rFonts w:asciiTheme="minorHAnsi" w:hAnsiTheme="minorHAnsi"/>
                <w:color w:val="000000"/>
                <w:sz w:val="20"/>
                <w:lang w:val="fr-CH" w:eastAsia="fr-FR"/>
              </w:rPr>
            </w:pPr>
            <w:r w:rsidRPr="002C04A0">
              <w:rPr>
                <w:rFonts w:asciiTheme="minorHAnsi" w:hAnsiTheme="minorHAnsi"/>
                <w:sz w:val="20"/>
                <w:lang w:val="fr-CH"/>
              </w:rPr>
              <w:t>Nombre de pays participant aux séminaires et ateliers, aux réunions des commissions d'études et des groupes de travail et à des manifestations connexes de l'UIT-R (sur place ou à distance)</w:t>
            </w:r>
          </w:p>
        </w:tc>
        <w:tc>
          <w:tcPr>
            <w:tcW w:w="993" w:type="dxa"/>
            <w:tcBorders>
              <w:top w:val="single" w:sz="6" w:space="0" w:color="auto"/>
              <w:bottom w:val="single" w:sz="4"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103</w:t>
            </w:r>
          </w:p>
        </w:tc>
        <w:tc>
          <w:tcPr>
            <w:tcW w:w="1134" w:type="dxa"/>
            <w:tcBorders>
              <w:top w:val="single" w:sz="6" w:space="0" w:color="auto"/>
              <w:bottom w:val="single" w:sz="4"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158</w:t>
            </w:r>
          </w:p>
        </w:tc>
        <w:tc>
          <w:tcPr>
            <w:tcW w:w="1134" w:type="dxa"/>
            <w:tcBorders>
              <w:top w:val="single" w:sz="6" w:space="0" w:color="auto"/>
              <w:bottom w:val="single" w:sz="4" w:space="0" w:color="auto"/>
            </w:tcBorders>
            <w:shd w:val="clear" w:color="auto" w:fill="auto"/>
            <w:noWrap/>
          </w:tcPr>
          <w:p w:rsidR="00081D6E" w:rsidRPr="002C04A0" w:rsidRDefault="00081D6E" w:rsidP="00BE6EEC">
            <w:pPr>
              <w:spacing w:before="40" w:after="40" w:line="240" w:lineRule="auto"/>
              <w:jc w:val="center"/>
              <w:rPr>
                <w:rFonts w:asciiTheme="minorHAnsi" w:hAnsiTheme="minorHAnsi"/>
                <w:sz w:val="20"/>
                <w:lang w:val="fr-CH"/>
              </w:rPr>
            </w:pPr>
            <w:r w:rsidRPr="002C04A0">
              <w:rPr>
                <w:rFonts w:asciiTheme="minorHAnsi" w:hAnsiTheme="minorHAnsi"/>
                <w:sz w:val="20"/>
                <w:lang w:val="fr-CH"/>
              </w:rPr>
              <w:t>193</w:t>
            </w:r>
          </w:p>
        </w:tc>
        <w:tc>
          <w:tcPr>
            <w:tcW w:w="2797" w:type="dxa"/>
            <w:tcBorders>
              <w:top w:val="single" w:sz="6" w:space="0" w:color="auto"/>
              <w:bottom w:val="single" w:sz="4" w:space="0" w:color="auto"/>
            </w:tcBorders>
            <w:shd w:val="clear" w:color="auto" w:fill="auto"/>
            <w:noWrap/>
            <w:hideMark/>
          </w:tcPr>
          <w:p w:rsidR="00081D6E" w:rsidRPr="002C04A0" w:rsidRDefault="00081D6E" w:rsidP="00BE6EEC">
            <w:pPr>
              <w:spacing w:before="40" w:after="40" w:line="240" w:lineRule="auto"/>
              <w:rPr>
                <w:rFonts w:asciiTheme="minorHAnsi" w:hAnsiTheme="minorHAnsi"/>
                <w:color w:val="000000"/>
                <w:sz w:val="20"/>
                <w:lang w:val="fr-CH" w:eastAsia="fr-FR"/>
              </w:rPr>
            </w:pPr>
            <w:r w:rsidRPr="002C04A0">
              <w:rPr>
                <w:rFonts w:asciiTheme="minorHAnsi" w:hAnsiTheme="minorHAnsi"/>
                <w:sz w:val="20"/>
                <w:lang w:val="fr-CH"/>
              </w:rPr>
              <w:t>Base de données du registre des manifestations de l'UIT</w:t>
            </w:r>
            <w:r w:rsidRPr="002C04A0">
              <w:rPr>
                <w:rFonts w:asciiTheme="minorHAnsi" w:hAnsiTheme="minorHAnsi"/>
                <w:sz w:val="20"/>
                <w:lang w:val="fr-CH"/>
              </w:rPr>
              <w:noBreakHyphen/>
              <w:t>R</w:t>
            </w:r>
          </w:p>
        </w:tc>
      </w:tr>
    </w:tbl>
    <w:p w:rsidR="00081D6E" w:rsidRPr="002C04A0" w:rsidRDefault="00081D6E" w:rsidP="00BE6EEC">
      <w:pPr>
        <w:pStyle w:val="enumlev1"/>
        <w:spacing w:line="240" w:lineRule="auto"/>
        <w:rPr>
          <w:rFonts w:asciiTheme="minorHAnsi" w:hAnsiTheme="minorHAnsi"/>
          <w:lang w:val="fr-CH"/>
        </w:rPr>
      </w:pPr>
    </w:p>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lang w:val="fr-CH"/>
        </w:rPr>
      </w:pPr>
      <w:r w:rsidRPr="002C04A0">
        <w:rPr>
          <w:rFonts w:asciiTheme="minorHAnsi" w:hAnsiTheme="minorHAnsi"/>
          <w:lang w:val="fr-CH"/>
        </w:rPr>
        <w:br w:type="page"/>
      </w:r>
    </w:p>
    <w:p w:rsidR="00081D6E" w:rsidRPr="002C04A0" w:rsidRDefault="00081D6E" w:rsidP="00BE6EEC">
      <w:pPr>
        <w:pStyle w:val="enumlev1"/>
        <w:spacing w:line="240" w:lineRule="auto"/>
        <w:rPr>
          <w:rFonts w:asciiTheme="minorHAnsi" w:hAnsiTheme="minorHAnsi"/>
          <w:lang w:val="fr-CH"/>
        </w:rPr>
      </w:pPr>
    </w:p>
    <w:tbl>
      <w:tblPr>
        <w:tblStyle w:val="GridTable4-Accent12"/>
        <w:tblW w:w="14629" w:type="dxa"/>
        <w:tblLayout w:type="fixed"/>
        <w:tblLook w:val="0620" w:firstRow="1" w:lastRow="0" w:firstColumn="0" w:lastColumn="0" w:noHBand="1" w:noVBand="1"/>
      </w:tblPr>
      <w:tblGrid>
        <w:gridCol w:w="7933"/>
        <w:gridCol w:w="1674"/>
        <w:gridCol w:w="1674"/>
        <w:gridCol w:w="1674"/>
        <w:gridCol w:w="1674"/>
      </w:tblGrid>
      <w:tr w:rsidR="00081D6E" w:rsidRPr="002C04A0" w:rsidTr="00081D6E">
        <w:trPr>
          <w:cnfStyle w:val="100000000000" w:firstRow="1" w:lastRow="0" w:firstColumn="0" w:lastColumn="0" w:oddVBand="0" w:evenVBand="0" w:oddHBand="0" w:evenHBand="0" w:firstRowFirstColumn="0" w:firstRowLastColumn="0" w:lastRowFirstColumn="0" w:lastRowLastColumn="0"/>
        </w:trPr>
        <w:tc>
          <w:tcPr>
            <w:tcW w:w="7933" w:type="dxa"/>
          </w:tcPr>
          <w:p w:rsidR="00081D6E" w:rsidRPr="002C04A0" w:rsidRDefault="00081D6E" w:rsidP="00BE6EEC">
            <w:pPr>
              <w:pStyle w:val="Tablehead"/>
              <w:jc w:val="left"/>
              <w:rPr>
                <w:b/>
                <w:bCs w:val="0"/>
              </w:rPr>
            </w:pPr>
            <w:r w:rsidRPr="002C04A0">
              <w:rPr>
                <w:b/>
                <w:bCs w:val="0"/>
              </w:rPr>
              <w:t>Produit</w:t>
            </w:r>
          </w:p>
        </w:tc>
        <w:tc>
          <w:tcPr>
            <w:tcW w:w="6696" w:type="dxa"/>
            <w:gridSpan w:val="4"/>
          </w:tcPr>
          <w:p w:rsidR="00081D6E" w:rsidRPr="002C04A0" w:rsidRDefault="00081D6E" w:rsidP="00BE6EEC">
            <w:pPr>
              <w:pStyle w:val="Tablehead"/>
              <w:rPr>
                <w:b/>
                <w:bCs w:val="0"/>
                <w:lang w:val="fr-CH"/>
              </w:rPr>
            </w:pPr>
            <w:r w:rsidRPr="002C04A0">
              <w:rPr>
                <w:b/>
                <w:bCs w:val="0"/>
                <w:lang w:val="fr-CH"/>
              </w:rPr>
              <w:t>Ressources financières</w:t>
            </w:r>
            <w:r w:rsidRPr="002C04A0">
              <w:rPr>
                <w:rStyle w:val="FootnoteReference"/>
                <w:b/>
                <w:bCs w:val="0"/>
              </w:rPr>
              <w:footnoteReference w:id="9"/>
            </w:r>
            <w:r w:rsidRPr="002C04A0">
              <w:rPr>
                <w:b/>
                <w:bCs w:val="0"/>
                <w:lang w:val="fr-CH"/>
              </w:rPr>
              <w:t xml:space="preserve"> (en milliers CHF)</w:t>
            </w:r>
          </w:p>
        </w:tc>
      </w:tr>
      <w:tr w:rsidR="00081D6E" w:rsidRPr="002C04A0" w:rsidTr="00081D6E">
        <w:tc>
          <w:tcPr>
            <w:tcW w:w="7933" w:type="dxa"/>
          </w:tcPr>
          <w:p w:rsidR="00081D6E" w:rsidRPr="002C04A0" w:rsidRDefault="00081D6E" w:rsidP="00BE6EEC">
            <w:pPr>
              <w:pStyle w:val="Tabletext"/>
              <w:rPr>
                <w:lang w:val="fr-CH"/>
              </w:rPr>
            </w:pPr>
          </w:p>
        </w:tc>
        <w:tc>
          <w:tcPr>
            <w:tcW w:w="1674" w:type="dxa"/>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b/>
                <w:bCs/>
                <w:noProof/>
                <w:color w:val="4F81BD" w:themeColor="accent1"/>
                <w:sz w:val="20"/>
                <w:szCs w:val="20"/>
                <w:lang w:val="fr-CH" w:eastAsia="zh-CN"/>
              </w:rPr>
            </w:pPr>
            <w:r w:rsidRPr="002C04A0">
              <w:rPr>
                <w:b/>
                <w:bCs/>
                <w:noProof/>
                <w:color w:val="4F81BD" w:themeColor="accent1"/>
                <w:sz w:val="20"/>
                <w:szCs w:val="20"/>
                <w:lang w:val="fr-CH" w:eastAsia="zh-CN"/>
              </w:rPr>
              <w:t>2017</w:t>
            </w:r>
          </w:p>
        </w:tc>
        <w:tc>
          <w:tcPr>
            <w:tcW w:w="1674" w:type="dxa"/>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b/>
                <w:bCs/>
                <w:noProof/>
                <w:color w:val="4F81BD" w:themeColor="accent1"/>
                <w:sz w:val="20"/>
                <w:szCs w:val="20"/>
                <w:lang w:val="fr-CH" w:eastAsia="zh-CN"/>
              </w:rPr>
            </w:pPr>
            <w:r w:rsidRPr="002C04A0">
              <w:rPr>
                <w:b/>
                <w:bCs/>
                <w:noProof/>
                <w:color w:val="4F81BD" w:themeColor="accent1"/>
                <w:sz w:val="20"/>
                <w:szCs w:val="20"/>
                <w:lang w:val="fr-CH" w:eastAsia="zh-CN"/>
              </w:rPr>
              <w:t>2018</w:t>
            </w:r>
          </w:p>
        </w:tc>
        <w:tc>
          <w:tcPr>
            <w:tcW w:w="1674" w:type="dxa"/>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b/>
                <w:bCs/>
                <w:noProof/>
                <w:color w:val="4F81BD" w:themeColor="accent1"/>
                <w:sz w:val="20"/>
                <w:szCs w:val="20"/>
                <w:lang w:val="fr-CH" w:eastAsia="zh-CN"/>
              </w:rPr>
            </w:pPr>
            <w:r w:rsidRPr="002C04A0">
              <w:rPr>
                <w:b/>
                <w:bCs/>
                <w:noProof/>
                <w:color w:val="4F81BD" w:themeColor="accent1"/>
                <w:sz w:val="20"/>
                <w:szCs w:val="20"/>
                <w:lang w:val="fr-CH" w:eastAsia="zh-CN"/>
              </w:rPr>
              <w:t>2019</w:t>
            </w:r>
          </w:p>
        </w:tc>
        <w:tc>
          <w:tcPr>
            <w:tcW w:w="1674" w:type="dxa"/>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b/>
                <w:bCs/>
                <w:noProof/>
                <w:color w:val="4F81BD" w:themeColor="accent1"/>
                <w:sz w:val="20"/>
                <w:szCs w:val="20"/>
                <w:lang w:val="fr-CH" w:eastAsia="zh-CN"/>
              </w:rPr>
            </w:pPr>
            <w:r w:rsidRPr="002C04A0">
              <w:rPr>
                <w:b/>
                <w:bCs/>
                <w:noProof/>
                <w:color w:val="4F81BD" w:themeColor="accent1"/>
                <w:sz w:val="20"/>
                <w:szCs w:val="20"/>
                <w:lang w:val="fr-CH" w:eastAsia="zh-CN"/>
              </w:rPr>
              <w:t>2020</w:t>
            </w:r>
          </w:p>
        </w:tc>
      </w:tr>
      <w:tr w:rsidR="00081D6E" w:rsidRPr="002C04A0" w:rsidTr="00081D6E">
        <w:tc>
          <w:tcPr>
            <w:tcW w:w="7933" w:type="dxa"/>
          </w:tcPr>
          <w:p w:rsidR="00081D6E" w:rsidRPr="002C04A0" w:rsidRDefault="00081D6E" w:rsidP="00BE6EEC">
            <w:pPr>
              <w:pStyle w:val="Tabletext"/>
              <w:rPr>
                <w:noProof/>
                <w:szCs w:val="20"/>
                <w:lang w:val="fr-CH"/>
              </w:rPr>
            </w:pPr>
            <w:r w:rsidRPr="002C04A0">
              <w:rPr>
                <w:b/>
                <w:bCs/>
                <w:noProof/>
                <w:color w:val="4F81BD" w:themeColor="accent1"/>
                <w:szCs w:val="20"/>
                <w:lang w:val="fr-CH" w:eastAsia="zh-CN"/>
              </w:rPr>
              <w:t xml:space="preserve">R.3-1: </w:t>
            </w:r>
            <w:r w:rsidRPr="002C04A0">
              <w:t>Publications UIT-R</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9 014</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sz w:val="20"/>
              </w:rPr>
            </w:pPr>
            <w:r w:rsidRPr="002C04A0">
              <w:rPr>
                <w:sz w:val="20"/>
              </w:rPr>
              <w:t>8 489</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7 983</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8 771</w:t>
            </w:r>
          </w:p>
        </w:tc>
      </w:tr>
      <w:tr w:rsidR="00081D6E" w:rsidRPr="002C04A0" w:rsidTr="00081D6E">
        <w:tc>
          <w:tcPr>
            <w:tcW w:w="7933" w:type="dxa"/>
          </w:tcPr>
          <w:p w:rsidR="00081D6E" w:rsidRPr="002C04A0" w:rsidRDefault="00081D6E" w:rsidP="00BE6EEC">
            <w:pPr>
              <w:pStyle w:val="Tabletext"/>
              <w:rPr>
                <w:noProof/>
                <w:szCs w:val="20"/>
                <w:lang w:val="fr-CH"/>
              </w:rPr>
            </w:pPr>
            <w:r w:rsidRPr="002C04A0">
              <w:rPr>
                <w:b/>
                <w:bCs/>
                <w:noProof/>
                <w:color w:val="4F81BD" w:themeColor="accent1"/>
                <w:szCs w:val="20"/>
                <w:lang w:val="fr-CH" w:eastAsia="zh-CN"/>
              </w:rPr>
              <w:t xml:space="preserve">R.3-2: </w:t>
            </w:r>
            <w:r w:rsidRPr="002C04A0">
              <w:rPr>
                <w:lang w:val="fr-CH"/>
              </w:rPr>
              <w:t>Assistance aux membres, en particulier ceux des pays en développement et des PMA</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2 348</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0" w:line="240" w:lineRule="auto"/>
              <w:jc w:val="center"/>
              <w:textAlignment w:val="auto"/>
              <w:rPr>
                <w:sz w:val="20"/>
              </w:rPr>
            </w:pPr>
            <w:r w:rsidRPr="002C04A0">
              <w:rPr>
                <w:sz w:val="20"/>
              </w:rPr>
              <w:t>2 332</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2 305</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2 292</w:t>
            </w:r>
          </w:p>
        </w:tc>
      </w:tr>
      <w:tr w:rsidR="00081D6E" w:rsidRPr="002C04A0" w:rsidTr="00081D6E">
        <w:tc>
          <w:tcPr>
            <w:tcW w:w="7933" w:type="dxa"/>
          </w:tcPr>
          <w:p w:rsidR="00081D6E" w:rsidRPr="002C04A0" w:rsidRDefault="00081D6E" w:rsidP="00BE6EEC">
            <w:pPr>
              <w:pStyle w:val="Tabletext"/>
              <w:rPr>
                <w:noProof/>
                <w:szCs w:val="20"/>
                <w:lang w:val="fr-CH"/>
              </w:rPr>
            </w:pPr>
            <w:r w:rsidRPr="002C04A0">
              <w:rPr>
                <w:b/>
                <w:bCs/>
                <w:noProof/>
                <w:color w:val="4F81BD" w:themeColor="accent1"/>
                <w:szCs w:val="20"/>
                <w:lang w:val="fr-CH" w:eastAsia="zh-CN"/>
              </w:rPr>
              <w:t xml:space="preserve">R.3-3: </w:t>
            </w:r>
            <w:r w:rsidRPr="002C04A0">
              <w:rPr>
                <w:lang w:val="fr-CH"/>
              </w:rPr>
              <w:t>Liaison/Appui concernant les activités de développement</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1 337</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1 314</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1 244</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1 306</w:t>
            </w:r>
          </w:p>
        </w:tc>
      </w:tr>
      <w:tr w:rsidR="00081D6E" w:rsidRPr="002C04A0" w:rsidTr="00081D6E">
        <w:tc>
          <w:tcPr>
            <w:tcW w:w="7933" w:type="dxa"/>
          </w:tcPr>
          <w:p w:rsidR="00081D6E" w:rsidRPr="002C04A0" w:rsidRDefault="00081D6E" w:rsidP="00BE6EEC">
            <w:pPr>
              <w:pStyle w:val="Tabletext"/>
              <w:rPr>
                <w:lang w:val="fr-CH"/>
              </w:rPr>
            </w:pPr>
            <w:r w:rsidRPr="002C04A0">
              <w:rPr>
                <w:b/>
                <w:bCs/>
                <w:noProof/>
                <w:color w:val="4F81BD" w:themeColor="accent1"/>
                <w:szCs w:val="20"/>
                <w:lang w:val="fr-CH" w:eastAsia="zh-CN"/>
              </w:rPr>
              <w:t xml:space="preserve">R.3-4: </w:t>
            </w:r>
            <w:r w:rsidRPr="002C04A0">
              <w:rPr>
                <w:lang w:val="fr-CH"/>
              </w:rPr>
              <w:t>Séminaires, ateliers et autres</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3 355</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3 424</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3 199</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3 283</w:t>
            </w:r>
          </w:p>
        </w:tc>
      </w:tr>
      <w:tr w:rsidR="00081D6E" w:rsidRPr="002C04A0" w:rsidTr="00081D6E">
        <w:tc>
          <w:tcPr>
            <w:tcW w:w="7933" w:type="dxa"/>
            <w:vAlign w:val="center"/>
          </w:tcPr>
          <w:p w:rsidR="00081D6E" w:rsidRPr="002C04A0" w:rsidRDefault="00081D6E" w:rsidP="00BE6EEC">
            <w:pPr>
              <w:pStyle w:val="Tabletext"/>
              <w:rPr>
                <w:b/>
                <w:bCs/>
                <w:color w:val="5B9BD5"/>
                <w:szCs w:val="20"/>
                <w:lang w:val="fr-CH"/>
              </w:rPr>
            </w:pPr>
            <w:r w:rsidRPr="002C04A0">
              <w:rPr>
                <w:rFonts w:eastAsia="Calibri" w:cs="Arial"/>
                <w:szCs w:val="20"/>
                <w:lang w:val="fr-CH"/>
              </w:rPr>
              <w:t>Ventilation des coûts entre la Conférence de plénipotentiaires et les activités du Conseil (</w:t>
            </w:r>
            <w:r w:rsidRPr="002C04A0">
              <w:rPr>
                <w:rFonts w:eastAsia="Calibri" w:cs="Arial"/>
                <w:b/>
                <w:bCs/>
                <w:color w:val="4F81BD" w:themeColor="accent1"/>
                <w:szCs w:val="20"/>
                <w:lang w:val="fr-CH"/>
              </w:rPr>
              <w:t>PP</w:t>
            </w:r>
            <w:r w:rsidRPr="002C04A0">
              <w:rPr>
                <w:rFonts w:eastAsia="Calibri" w:cs="Arial"/>
                <w:szCs w:val="20"/>
                <w:lang w:val="fr-CH"/>
              </w:rPr>
              <w:t>, </w:t>
            </w:r>
            <w:r w:rsidRPr="002C04A0">
              <w:rPr>
                <w:rFonts w:eastAsia="Calibri" w:cs="Arial"/>
                <w:b/>
                <w:bCs/>
                <w:color w:val="4F81BD" w:themeColor="accent1"/>
                <w:szCs w:val="20"/>
                <w:lang w:val="fr-CH"/>
              </w:rPr>
              <w:t>Conseil/GTC</w:t>
            </w:r>
            <w:r w:rsidRPr="002C04A0">
              <w:rPr>
                <w:rFonts w:eastAsia="Calibri" w:cs="Arial"/>
                <w:szCs w:val="20"/>
                <w:lang w:val="fr-CH"/>
              </w:rPr>
              <w:t>)</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563</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914</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476</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line="240" w:lineRule="auto"/>
              <w:jc w:val="center"/>
              <w:textAlignment w:val="auto"/>
              <w:rPr>
                <w:sz w:val="20"/>
              </w:rPr>
            </w:pPr>
            <w:r w:rsidRPr="002C04A0">
              <w:rPr>
                <w:sz w:val="20"/>
              </w:rPr>
              <w:t>512</w:t>
            </w:r>
          </w:p>
        </w:tc>
      </w:tr>
      <w:tr w:rsidR="00081D6E" w:rsidRPr="002C04A0" w:rsidTr="00081D6E">
        <w:tc>
          <w:tcPr>
            <w:tcW w:w="7933" w:type="dxa"/>
            <w:vAlign w:val="center"/>
          </w:tcPr>
          <w:p w:rsidR="00081D6E" w:rsidRPr="002C04A0" w:rsidRDefault="00081D6E" w:rsidP="00BE6EEC">
            <w:pPr>
              <w:pStyle w:val="Tabletext"/>
              <w:rPr>
                <w:b/>
                <w:bCs/>
                <w:noProof/>
                <w:color w:val="4F81BD" w:themeColor="accent1"/>
                <w:szCs w:val="20"/>
                <w:lang w:eastAsia="zh-CN"/>
              </w:rPr>
            </w:pPr>
            <w:r w:rsidRPr="002C04A0">
              <w:rPr>
                <w:b/>
                <w:bCs/>
                <w:color w:val="5B9BD5"/>
                <w:szCs w:val="20"/>
              </w:rPr>
              <w:t>Total pour l'Objectif R.3</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rPr>
            </w:pPr>
            <w:r w:rsidRPr="002C04A0">
              <w:rPr>
                <w:b/>
                <w:bCs/>
                <w:sz w:val="20"/>
              </w:rPr>
              <w:t>16 617</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b/>
                <w:bCs/>
                <w:sz w:val="20"/>
              </w:rPr>
            </w:pPr>
            <w:r w:rsidRPr="002C04A0">
              <w:rPr>
                <w:b/>
                <w:bCs/>
                <w:sz w:val="20"/>
              </w:rPr>
              <w:t>16 473</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sz w:val="20"/>
              </w:rPr>
            </w:pPr>
            <w:r w:rsidRPr="002C04A0">
              <w:rPr>
                <w:sz w:val="20"/>
              </w:rPr>
              <w:t>15 207</w:t>
            </w:r>
          </w:p>
        </w:tc>
        <w:tc>
          <w:tcPr>
            <w:tcW w:w="1674" w:type="dxa"/>
            <w:vAlign w:val="center"/>
          </w:tcPr>
          <w:p w:rsidR="00081D6E" w:rsidRPr="002C04A0" w:rsidRDefault="00081D6E" w:rsidP="00BE6EEC">
            <w:pPr>
              <w:tabs>
                <w:tab w:val="clear" w:pos="794"/>
                <w:tab w:val="clear" w:pos="1191"/>
                <w:tab w:val="clear" w:pos="1588"/>
                <w:tab w:val="clear" w:pos="1985"/>
              </w:tabs>
              <w:overflowPunct/>
              <w:autoSpaceDE/>
              <w:autoSpaceDN/>
              <w:adjustRightInd/>
              <w:spacing w:beforeLines="40" w:before="96" w:after="60" w:line="240" w:lineRule="auto"/>
              <w:jc w:val="center"/>
              <w:textAlignment w:val="auto"/>
              <w:rPr>
                <w:sz w:val="20"/>
              </w:rPr>
            </w:pPr>
            <w:r w:rsidRPr="002C04A0">
              <w:rPr>
                <w:sz w:val="20"/>
              </w:rPr>
              <w:t>16 164</w:t>
            </w:r>
          </w:p>
        </w:tc>
      </w:tr>
    </w:tbl>
    <w:p w:rsidR="00081D6E" w:rsidRPr="002C04A0" w:rsidRDefault="00081D6E" w:rsidP="00BE6EEC">
      <w:pPr>
        <w:pStyle w:val="Heading1"/>
        <w:spacing w:line="240" w:lineRule="auto"/>
        <w:rPr>
          <w:rFonts w:asciiTheme="minorHAnsi" w:hAnsiTheme="minorHAnsi"/>
          <w:sz w:val="28"/>
          <w:szCs w:val="28"/>
          <w:lang w:val="fr-CH"/>
        </w:rPr>
      </w:pPr>
      <w:r w:rsidRPr="002C04A0">
        <w:rPr>
          <w:rFonts w:asciiTheme="minorHAnsi" w:hAnsiTheme="minorHAnsi"/>
          <w:sz w:val="28"/>
          <w:szCs w:val="28"/>
          <w:lang w:val="fr-CH"/>
        </w:rPr>
        <w:t>6</w:t>
      </w:r>
      <w:r w:rsidRPr="002C04A0">
        <w:rPr>
          <w:rFonts w:asciiTheme="minorHAnsi" w:hAnsiTheme="minorHAnsi"/>
          <w:sz w:val="28"/>
          <w:szCs w:val="28"/>
          <w:lang w:val="fr-CH"/>
        </w:rPr>
        <w:tab/>
        <w:t>Mise en oeuvre du Plan opérationnel</w:t>
      </w:r>
    </w:p>
    <w:p w:rsidR="00081D6E" w:rsidRPr="002C04A0" w:rsidRDefault="00081D6E" w:rsidP="00BE6EEC">
      <w:pPr>
        <w:spacing w:line="240" w:lineRule="auto"/>
        <w:rPr>
          <w:rFonts w:asciiTheme="minorHAnsi" w:hAnsiTheme="minorHAnsi"/>
          <w:lang w:val="fr-CH"/>
        </w:rPr>
      </w:pPr>
      <w:r w:rsidRPr="002C04A0">
        <w:rPr>
          <w:rFonts w:asciiTheme="minorHAnsi" w:hAnsiTheme="minorHAnsi"/>
          <w:lang w:val="fr-CH"/>
        </w:rPr>
        <w:t>Les produits définis dans le présent Plan opérationnel seront coordonnés par les Départements concernés du Bureau des radiocommunications, dans le cadre de la mise en oeuvre des activités des programmes de travail internes du Bureau et de chaque Département. Les services d'appui administratif sont fournis en partie par le Bureau des radiocommunications, mais principalement par le Secrétariat général, selon des accords de niveau de service (pour la fourniture de services internes) préalablement définis et convenus entre les deux parties. Les services d'appui fournis par le Secrétariat général sont décrits dans le Plan opérationnel du Secrétariat général. La fourniture des produits et des services d'appui est planifiée, suivie et évaluée par la direction de l'UIT compte tenu des objectifs de l'UIT figurant dans le Plan stratégique. Le rapport annuel sur la mise en oeuvre du Plan stratégique rendra compte des progrès accomplis en vue d'atteindre ces objectifs ainsi que les buts généraux. En ce qui concerne la gestion des risques, outre l'analyse des risques figurant dans le présent Plan opérationnel devant donner lieu à un examen périodique par la haute direction, chaque Bureau/Département continuera d'assurer de façon systématique l'identification, l'évaluation et la gestion des risques liés à la fourniture de ses produits et services d'appui, dans le cadre d'une approche de gestion des risques multi-niveaux.</w:t>
      </w:r>
      <w:r w:rsidRPr="002C04A0">
        <w:rPr>
          <w:rFonts w:asciiTheme="minorHAnsi" w:hAnsiTheme="minorHAnsi"/>
          <w:lang w:val="fr-CH"/>
        </w:rPr>
        <w:br w:type="page"/>
      </w:r>
    </w:p>
    <w:p w:rsidR="00081D6E" w:rsidRPr="002C04A0" w:rsidRDefault="00081D6E" w:rsidP="00BE6EEC">
      <w:pPr>
        <w:pStyle w:val="Annextitle"/>
        <w:rPr>
          <w:rFonts w:asciiTheme="minorHAnsi" w:hAnsiTheme="minorHAnsi"/>
        </w:rPr>
      </w:pPr>
      <w:r w:rsidRPr="002C04A0">
        <w:rPr>
          <w:rFonts w:asciiTheme="minorHAnsi" w:hAnsiTheme="minorHAnsi"/>
        </w:rPr>
        <w:lastRenderedPageBreak/>
        <w:t>Annexe 1: Ventilation des ressources entre les objectifs de l'UIT-R et les buts stratégiques de l'UIT</w:t>
      </w:r>
    </w:p>
    <w:p w:rsidR="00081D6E" w:rsidRPr="002C04A0" w:rsidRDefault="00081D6E" w:rsidP="00BE6EEC">
      <w:pPr>
        <w:spacing w:after="40" w:line="240" w:lineRule="auto"/>
        <w:jc w:val="right"/>
        <w:rPr>
          <w:rFonts w:asciiTheme="minorHAnsi" w:hAnsiTheme="minorHAnsi"/>
          <w:lang w:val="fr-CH"/>
        </w:rPr>
      </w:pPr>
      <w:r w:rsidRPr="002C04A0">
        <w:rPr>
          <w:rFonts w:asciiTheme="minorHAnsi" w:hAnsiTheme="minorHAnsi"/>
          <w:b/>
          <w:bCs/>
          <w:color w:val="000000"/>
          <w:sz w:val="16"/>
          <w:szCs w:val="16"/>
          <w:lang w:val="fr-CH" w:eastAsia="zh-CN"/>
        </w:rPr>
        <w:t>CHF 000</w:t>
      </w:r>
    </w:p>
    <w:tbl>
      <w:tblPr>
        <w:tblW w:w="14567" w:type="dxa"/>
        <w:tblLayout w:type="fixed"/>
        <w:tblLook w:val="04A0" w:firstRow="1" w:lastRow="0" w:firstColumn="1" w:lastColumn="0" w:noHBand="0" w:noVBand="1"/>
      </w:tblPr>
      <w:tblGrid>
        <w:gridCol w:w="414"/>
        <w:gridCol w:w="1515"/>
        <w:gridCol w:w="964"/>
        <w:gridCol w:w="966"/>
        <w:gridCol w:w="1022"/>
        <w:gridCol w:w="993"/>
        <w:gridCol w:w="236"/>
        <w:gridCol w:w="940"/>
        <w:gridCol w:w="980"/>
        <w:gridCol w:w="1078"/>
        <w:gridCol w:w="1078"/>
        <w:gridCol w:w="238"/>
        <w:gridCol w:w="937"/>
        <w:gridCol w:w="994"/>
        <w:gridCol w:w="1078"/>
        <w:gridCol w:w="1134"/>
      </w:tblGrid>
      <w:tr w:rsidR="00081D6E" w:rsidRPr="002C04A0" w:rsidTr="00081D6E">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81D6E" w:rsidRPr="002C04A0" w:rsidRDefault="00081D6E" w:rsidP="00BE6EEC">
            <w:pPr>
              <w:pStyle w:val="Tablehead"/>
              <w:rPr>
                <w:rFonts w:asciiTheme="minorHAnsi" w:hAnsiTheme="minorHAnsi"/>
                <w:sz w:val="16"/>
                <w:szCs w:val="16"/>
                <w:lang w:val="fr-CH" w:eastAsia="zh-CN"/>
              </w:rPr>
            </w:pPr>
            <w:r w:rsidRPr="002C04A0">
              <w:rPr>
                <w:rFonts w:asciiTheme="minorHAnsi" w:hAnsiTheme="minorHAnsi"/>
                <w:sz w:val="16"/>
                <w:szCs w:val="16"/>
                <w:lang w:val="fr-CH" w:eastAsia="zh-CN"/>
              </w:rPr>
              <w:t>Objectifs stratégiques de l'UIT pour 2016</w:t>
            </w:r>
          </w:p>
        </w:tc>
        <w:tc>
          <w:tcPr>
            <w:tcW w:w="96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81D6E" w:rsidRPr="002C04A0" w:rsidRDefault="00081D6E" w:rsidP="00BE6EEC">
            <w:pPr>
              <w:pStyle w:val="Tablehead"/>
              <w:rPr>
                <w:rFonts w:asciiTheme="minorHAnsi" w:hAnsiTheme="minorHAnsi"/>
                <w:sz w:val="16"/>
                <w:szCs w:val="16"/>
                <w:lang w:eastAsia="zh-CN"/>
              </w:rPr>
            </w:pPr>
            <w:r w:rsidRPr="002C04A0">
              <w:rPr>
                <w:rFonts w:asciiTheme="minorHAnsi" w:hAnsiTheme="minorHAnsi"/>
                <w:sz w:val="16"/>
                <w:szCs w:val="16"/>
                <w:lang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81D6E" w:rsidRPr="002C04A0" w:rsidRDefault="00081D6E" w:rsidP="00BE6EEC">
            <w:pPr>
              <w:pStyle w:val="Tablehead"/>
              <w:rPr>
                <w:rFonts w:asciiTheme="minorHAnsi" w:hAnsiTheme="minorHAnsi"/>
                <w:sz w:val="16"/>
                <w:szCs w:val="16"/>
                <w:lang w:val="fr-CH" w:eastAsia="zh-CN"/>
              </w:rPr>
            </w:pPr>
            <w:r w:rsidRPr="002C04A0">
              <w:rPr>
                <w:rFonts w:asciiTheme="minorHAnsi" w:hAnsiTheme="minorHAnsi"/>
                <w:sz w:val="16"/>
                <w:szCs w:val="16"/>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081D6E" w:rsidRPr="002C04A0" w:rsidRDefault="00081D6E" w:rsidP="00BE6EEC">
            <w:pPr>
              <w:pStyle w:val="Tablehead"/>
              <w:rPr>
                <w:rFonts w:asciiTheme="minorHAnsi" w:hAnsiTheme="minorHAnsi"/>
                <w:sz w:val="16"/>
                <w:szCs w:val="16"/>
                <w:lang w:val="fr-CH" w:eastAsia="zh-CN"/>
              </w:rPr>
            </w:pPr>
            <w:r w:rsidRPr="002C04A0">
              <w:rPr>
                <w:rFonts w:asciiTheme="minorHAnsi" w:hAnsiTheme="minorHAnsi"/>
                <w:sz w:val="16"/>
                <w:szCs w:val="16"/>
                <w:lang w:val="fr-CH"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81D6E" w:rsidRPr="002C04A0" w:rsidRDefault="00081D6E" w:rsidP="00BE6EEC">
            <w:pPr>
              <w:pStyle w:val="Tablehead"/>
              <w:rPr>
                <w:rFonts w:asciiTheme="minorHAnsi" w:hAnsiTheme="minorHAnsi"/>
                <w:sz w:val="16"/>
                <w:szCs w:val="16"/>
                <w:lang w:val="fr-CH" w:eastAsia="zh-CN"/>
              </w:rPr>
            </w:pPr>
            <w:r w:rsidRPr="002C04A0">
              <w:rPr>
                <w:rFonts w:asciiTheme="minorHAnsi" w:hAnsiTheme="minorHAnsi"/>
                <w:sz w:val="16"/>
                <w:szCs w:val="16"/>
                <w:lang w:val="fr-CH" w:eastAsia="zh-CN"/>
              </w:rPr>
              <w:t>Coûts imputés par le TSB et le BDT</w:t>
            </w:r>
          </w:p>
        </w:tc>
        <w:tc>
          <w:tcPr>
            <w:tcW w:w="236"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ind w:left="-57" w:right="-57"/>
              <w:rPr>
                <w:rFonts w:asciiTheme="minorHAnsi" w:hAnsiTheme="minorHAnsi"/>
                <w:color w:val="000000"/>
                <w:sz w:val="16"/>
                <w:szCs w:val="16"/>
                <w:lang w:val="fr-CH" w:eastAsia="zh-CN"/>
              </w:rPr>
            </w:pPr>
          </w:p>
        </w:tc>
        <w:tc>
          <w:tcPr>
            <w:tcW w:w="940" w:type="dxa"/>
            <w:vMerge w:val="restart"/>
            <w:tcBorders>
              <w:top w:val="single" w:sz="4" w:space="0" w:color="auto"/>
              <w:left w:val="single" w:sz="4" w:space="0" w:color="auto"/>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1</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2</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Inclusio</w:t>
            </w:r>
            <w:r w:rsidRPr="002C04A0">
              <w:rPr>
                <w:rFonts w:asciiTheme="minorHAnsi" w:hAnsiTheme="minorHAnsi"/>
                <w:b/>
                <w:bCs/>
                <w:sz w:val="18"/>
                <w:szCs w:val="18"/>
                <w:lang w:eastAsia="zh-CN"/>
              </w:rPr>
              <w:t>n</w:t>
            </w:r>
          </w:p>
        </w:tc>
        <w:tc>
          <w:tcPr>
            <w:tcW w:w="1078" w:type="dxa"/>
            <w:vMerge w:val="restart"/>
            <w:tcBorders>
              <w:top w:val="single" w:sz="4" w:space="0" w:color="auto"/>
              <w:left w:val="nil"/>
              <w:right w:val="nil"/>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3</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4</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Innovation</w:t>
            </w:r>
            <w:r w:rsidRPr="002C04A0">
              <w:rPr>
                <w:rFonts w:asciiTheme="minorHAnsi" w:hAnsiTheme="minorHAnsi"/>
                <w:sz w:val="16"/>
                <w:szCs w:val="16"/>
                <w:lang w:eastAsia="zh-CN"/>
              </w:rPr>
              <w:t xml:space="preserve"> </w:t>
            </w:r>
            <w:r w:rsidRPr="002C04A0">
              <w:rPr>
                <w:rFonts w:asciiTheme="minorHAnsi" w:hAnsiTheme="minorHAnsi"/>
                <w:b/>
                <w:bCs/>
                <w:sz w:val="16"/>
                <w:szCs w:val="16"/>
                <w:lang w:eastAsia="zh-CN"/>
              </w:rPr>
              <w:t>et</w:t>
            </w:r>
            <w:r w:rsidRPr="002C04A0">
              <w:rPr>
                <w:rFonts w:asciiTheme="minorHAnsi" w:hAnsiTheme="minorHAnsi"/>
                <w:sz w:val="16"/>
                <w:szCs w:val="16"/>
                <w:lang w:eastAsia="zh-CN"/>
              </w:rPr>
              <w:t xml:space="preserve"> </w:t>
            </w:r>
            <w:r w:rsidRPr="002C04A0">
              <w:rPr>
                <w:rFonts w:asciiTheme="minorHAnsi" w:hAnsiTheme="minorHAnsi"/>
                <w:b/>
                <w:bCs/>
                <w:sz w:val="16"/>
                <w:szCs w:val="16"/>
                <w:lang w:eastAsia="zh-CN"/>
              </w:rPr>
              <w:t>partenariat</w:t>
            </w:r>
          </w:p>
        </w:tc>
        <w:tc>
          <w:tcPr>
            <w:tcW w:w="238" w:type="dxa"/>
            <w:tcBorders>
              <w:top w:val="nil"/>
              <w:left w:val="nil"/>
              <w:bottom w:val="nil"/>
              <w:right w:val="single" w:sz="4" w:space="0" w:color="auto"/>
            </w:tcBorders>
            <w:shd w:val="clear" w:color="000000" w:fill="FFFFFF"/>
            <w:noWrap/>
            <w:vAlign w:val="center"/>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1</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2</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Inclusio</w:t>
            </w:r>
            <w:r w:rsidRPr="002C04A0">
              <w:rPr>
                <w:rFonts w:asciiTheme="minorHAnsi" w:hAnsiTheme="minorHAnsi"/>
                <w:b/>
                <w:bCs/>
                <w:sz w:val="18"/>
                <w:szCs w:val="18"/>
                <w:lang w:eastAsia="zh-CN"/>
              </w:rPr>
              <w:t>n</w:t>
            </w:r>
          </w:p>
        </w:tc>
        <w:tc>
          <w:tcPr>
            <w:tcW w:w="1078" w:type="dxa"/>
            <w:vMerge w:val="restart"/>
            <w:tcBorders>
              <w:top w:val="single" w:sz="4" w:space="0" w:color="auto"/>
              <w:left w:val="nil"/>
              <w:right w:val="nil"/>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3</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Durabilité</w:t>
            </w:r>
          </w:p>
        </w:tc>
        <w:tc>
          <w:tcPr>
            <w:tcW w:w="1134" w:type="dxa"/>
            <w:vMerge w:val="restart"/>
            <w:tcBorders>
              <w:top w:val="single" w:sz="4" w:space="0" w:color="auto"/>
              <w:left w:val="single" w:sz="4" w:space="0" w:color="auto"/>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4</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Innovation</w:t>
            </w:r>
            <w:r w:rsidRPr="002C04A0">
              <w:rPr>
                <w:rFonts w:asciiTheme="minorHAnsi" w:hAnsiTheme="minorHAnsi"/>
                <w:sz w:val="16"/>
                <w:szCs w:val="16"/>
                <w:lang w:eastAsia="zh-CN"/>
              </w:rPr>
              <w:t xml:space="preserve"> </w:t>
            </w:r>
            <w:r w:rsidRPr="002C04A0">
              <w:rPr>
                <w:rFonts w:asciiTheme="minorHAnsi" w:hAnsiTheme="minorHAnsi"/>
                <w:b/>
                <w:bCs/>
                <w:sz w:val="16"/>
                <w:szCs w:val="16"/>
                <w:lang w:eastAsia="zh-CN"/>
              </w:rPr>
              <w:t>et</w:t>
            </w:r>
            <w:r w:rsidRPr="002C04A0">
              <w:rPr>
                <w:rFonts w:asciiTheme="minorHAnsi" w:hAnsiTheme="minorHAnsi"/>
                <w:sz w:val="16"/>
                <w:szCs w:val="16"/>
                <w:lang w:eastAsia="zh-CN"/>
              </w:rPr>
              <w:t xml:space="preserve"> </w:t>
            </w:r>
            <w:r w:rsidRPr="002C04A0">
              <w:rPr>
                <w:rFonts w:asciiTheme="minorHAnsi" w:hAnsiTheme="minorHAnsi"/>
                <w:b/>
                <w:bCs/>
                <w:sz w:val="16"/>
                <w:szCs w:val="16"/>
                <w:lang w:eastAsia="zh-CN"/>
              </w:rPr>
              <w:t>partenariat</w:t>
            </w:r>
          </w:p>
        </w:tc>
      </w:tr>
      <w:tr w:rsidR="00081D6E" w:rsidRPr="002C04A0" w:rsidTr="00081D6E">
        <w:trPr>
          <w:trHeight w:val="501"/>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p>
        </w:tc>
        <w:tc>
          <w:tcPr>
            <w:tcW w:w="964" w:type="dxa"/>
            <w:vMerge/>
            <w:tcBorders>
              <w:top w:val="single" w:sz="4" w:space="0" w:color="auto"/>
              <w:left w:val="single" w:sz="4" w:space="0" w:color="auto"/>
              <w:bottom w:val="single" w:sz="4" w:space="0" w:color="000000"/>
              <w:right w:val="single" w:sz="4" w:space="0" w:color="auto"/>
            </w:tcBorders>
            <w:vAlign w:val="center"/>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p>
        </w:tc>
        <w:tc>
          <w:tcPr>
            <w:tcW w:w="1022" w:type="dxa"/>
            <w:vMerge/>
            <w:tcBorders>
              <w:left w:val="single" w:sz="4" w:space="0" w:color="auto"/>
              <w:bottom w:val="single" w:sz="4" w:space="0" w:color="000000"/>
              <w:right w:val="single" w:sz="4" w:space="0" w:color="auto"/>
            </w:tcBorders>
            <w:vAlign w:val="center"/>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p>
        </w:tc>
        <w:tc>
          <w:tcPr>
            <w:tcW w:w="236"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rPr>
                <w:rFonts w:asciiTheme="minorHAnsi" w:hAnsiTheme="minorHAnsi"/>
                <w:color w:val="000000"/>
                <w:sz w:val="16"/>
                <w:szCs w:val="16"/>
                <w:lang w:val="ru-RU" w:eastAsia="zh-CN"/>
              </w:rPr>
            </w:pPr>
          </w:p>
        </w:tc>
        <w:tc>
          <w:tcPr>
            <w:tcW w:w="940" w:type="dxa"/>
            <w:vMerge/>
            <w:tcBorders>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rPr>
                <w:rFonts w:asciiTheme="minorHAnsi" w:hAnsiTheme="minorHAnsi"/>
                <w:color w:val="000000"/>
                <w:sz w:val="16"/>
                <w:szCs w:val="16"/>
                <w:lang w:val="ru-RU" w:eastAsia="zh-CN"/>
              </w:rPr>
            </w:pPr>
          </w:p>
        </w:tc>
        <w:tc>
          <w:tcPr>
            <w:tcW w:w="980" w:type="dxa"/>
            <w:vMerge/>
            <w:tcBorders>
              <w:left w:val="nil"/>
              <w:bottom w:val="nil"/>
              <w:right w:val="single" w:sz="4" w:space="0" w:color="auto"/>
            </w:tcBorders>
            <w:shd w:val="clear" w:color="000000" w:fill="BDD7EE"/>
            <w:noWrap/>
            <w:vAlign w:val="center"/>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1078" w:type="dxa"/>
            <w:vMerge/>
            <w:tcBorders>
              <w:left w:val="nil"/>
              <w:bottom w:val="nil"/>
              <w:right w:val="nil"/>
            </w:tcBorders>
            <w:shd w:val="clear" w:color="000000" w:fill="BDD7EE"/>
            <w:noWrap/>
            <w:vAlign w:val="center"/>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238" w:type="dxa"/>
            <w:tcBorders>
              <w:top w:val="nil"/>
              <w:left w:val="nil"/>
              <w:bottom w:val="nil"/>
              <w:right w:val="single" w:sz="4" w:space="0" w:color="auto"/>
            </w:tcBorders>
            <w:shd w:val="clear" w:color="000000" w:fill="FFFFFF"/>
            <w:noWrap/>
            <w:vAlign w:val="bottom"/>
          </w:tcPr>
          <w:p w:rsidR="00081D6E" w:rsidRPr="002C04A0" w:rsidRDefault="00081D6E" w:rsidP="00BE6EEC">
            <w:pPr>
              <w:spacing w:before="40" w:after="40" w:line="240" w:lineRule="auto"/>
              <w:rPr>
                <w:rFonts w:asciiTheme="minorHAnsi" w:hAnsiTheme="minorHAnsi"/>
                <w:color w:val="000000"/>
                <w:sz w:val="16"/>
                <w:szCs w:val="16"/>
                <w:lang w:val="ru-RU"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1078" w:type="dxa"/>
            <w:vMerge/>
            <w:tcBorders>
              <w:left w:val="nil"/>
              <w:bottom w:val="single" w:sz="4" w:space="0" w:color="auto"/>
              <w:right w:val="nil"/>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1134" w:type="dxa"/>
            <w:vMerge/>
            <w:tcBorders>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r>
      <w:tr w:rsidR="00081D6E" w:rsidRPr="002C04A0" w:rsidTr="00081D6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Objectif 1 de l'UIT</w:t>
            </w:r>
            <w:r w:rsidRPr="002C04A0">
              <w:rPr>
                <w:rFonts w:asciiTheme="minorHAnsi" w:hAnsiTheme="minorHAnsi"/>
                <w:b/>
                <w:bCs/>
                <w:sz w:val="16"/>
                <w:szCs w:val="16"/>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35 945</w:t>
            </w:r>
          </w:p>
        </w:tc>
        <w:tc>
          <w:tcPr>
            <w:tcW w:w="966" w:type="dxa"/>
            <w:tcBorders>
              <w:top w:val="nil"/>
              <w:left w:val="nil"/>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19 580</w:t>
            </w:r>
          </w:p>
        </w:tc>
        <w:tc>
          <w:tcPr>
            <w:tcW w:w="1022" w:type="dxa"/>
            <w:tcBorders>
              <w:top w:val="nil"/>
              <w:left w:val="nil"/>
              <w:bottom w:val="single" w:sz="4" w:space="0" w:color="auto"/>
              <w:right w:val="single" w:sz="4" w:space="0" w:color="auto"/>
            </w:tcBorders>
            <w:shd w:val="clear" w:color="000000" w:fill="FFFFFF"/>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16 344</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22</w:t>
            </w:r>
          </w:p>
        </w:tc>
        <w:tc>
          <w:tcPr>
            <w:tcW w:w="236"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10%</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17 972</w:t>
            </w:r>
          </w:p>
        </w:tc>
        <w:tc>
          <w:tcPr>
            <w:tcW w:w="99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10 783</w:t>
            </w:r>
          </w:p>
        </w:tc>
        <w:tc>
          <w:tcPr>
            <w:tcW w:w="1078"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3 594</w:t>
            </w:r>
          </w:p>
        </w:tc>
        <w:tc>
          <w:tcPr>
            <w:tcW w:w="113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3 594</w:t>
            </w:r>
          </w:p>
        </w:tc>
      </w:tr>
      <w:tr w:rsidR="00081D6E" w:rsidRPr="002C04A0" w:rsidTr="00081D6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Objectif 2 de l'UIT</w:t>
            </w:r>
            <w:r w:rsidRPr="002C04A0">
              <w:rPr>
                <w:rFonts w:asciiTheme="minorHAnsi" w:hAnsiTheme="minorHAnsi"/>
                <w:b/>
                <w:bCs/>
                <w:sz w:val="16"/>
                <w:szCs w:val="16"/>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8 714</w:t>
            </w:r>
          </w:p>
        </w:tc>
        <w:tc>
          <w:tcPr>
            <w:tcW w:w="966" w:type="dxa"/>
            <w:tcBorders>
              <w:top w:val="nil"/>
              <w:left w:val="nil"/>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5 688</w:t>
            </w:r>
          </w:p>
        </w:tc>
        <w:tc>
          <w:tcPr>
            <w:tcW w:w="1022" w:type="dxa"/>
            <w:tcBorders>
              <w:top w:val="nil"/>
              <w:left w:val="nil"/>
              <w:bottom w:val="single" w:sz="4" w:space="0" w:color="auto"/>
              <w:right w:val="single" w:sz="4" w:space="0" w:color="auto"/>
            </w:tcBorders>
            <w:shd w:val="clear" w:color="000000" w:fill="FFFFFF"/>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3 021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5</w:t>
            </w:r>
          </w:p>
        </w:tc>
        <w:tc>
          <w:tcPr>
            <w:tcW w:w="236"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10%</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4 357</w:t>
            </w:r>
          </w:p>
        </w:tc>
        <w:tc>
          <w:tcPr>
            <w:tcW w:w="99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2 614</w:t>
            </w:r>
          </w:p>
        </w:tc>
        <w:tc>
          <w:tcPr>
            <w:tcW w:w="1078"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871</w:t>
            </w:r>
          </w:p>
        </w:tc>
        <w:tc>
          <w:tcPr>
            <w:tcW w:w="113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871</w:t>
            </w:r>
          </w:p>
        </w:tc>
      </w:tr>
      <w:tr w:rsidR="00081D6E" w:rsidRPr="002C04A0" w:rsidTr="00081D6E">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Objectif 3 de l'UIT</w:t>
            </w:r>
            <w:r w:rsidRPr="002C04A0">
              <w:rPr>
                <w:rFonts w:asciiTheme="minorHAnsi" w:hAnsiTheme="minorHAnsi"/>
                <w:b/>
                <w:bCs/>
                <w:sz w:val="16"/>
                <w:szCs w:val="16"/>
                <w:lang w:eastAsia="zh-CN"/>
              </w:rPr>
              <w:noBreakHyphen/>
              <w:t>R</w:t>
            </w:r>
          </w:p>
        </w:tc>
        <w:tc>
          <w:tcPr>
            <w:tcW w:w="964" w:type="dxa"/>
            <w:tcBorders>
              <w:top w:val="nil"/>
              <w:left w:val="nil"/>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16 617</w:t>
            </w:r>
          </w:p>
        </w:tc>
        <w:tc>
          <w:tcPr>
            <w:tcW w:w="966" w:type="dxa"/>
            <w:tcBorders>
              <w:top w:val="nil"/>
              <w:left w:val="nil"/>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10 800</w:t>
            </w:r>
          </w:p>
        </w:tc>
        <w:tc>
          <w:tcPr>
            <w:tcW w:w="1022" w:type="dxa"/>
            <w:tcBorders>
              <w:top w:val="nil"/>
              <w:left w:val="nil"/>
              <w:bottom w:val="single" w:sz="4" w:space="0" w:color="auto"/>
              <w:right w:val="single" w:sz="4" w:space="0" w:color="auto"/>
            </w:tcBorders>
            <w:shd w:val="clear" w:color="000000" w:fill="FFFFFF"/>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5 807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10</w:t>
            </w:r>
          </w:p>
        </w:tc>
        <w:tc>
          <w:tcPr>
            <w:tcW w:w="236"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0%</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0</w:t>
            </w:r>
          </w:p>
        </w:tc>
        <w:tc>
          <w:tcPr>
            <w:tcW w:w="99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16 617</w:t>
            </w:r>
          </w:p>
        </w:tc>
        <w:tc>
          <w:tcPr>
            <w:tcW w:w="1078"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0</w:t>
            </w:r>
          </w:p>
        </w:tc>
        <w:tc>
          <w:tcPr>
            <w:tcW w:w="113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color w:val="000000"/>
                <w:sz w:val="16"/>
                <w:szCs w:val="16"/>
                <w:lang w:val="ru-RU" w:eastAsia="zh-CN"/>
              </w:rPr>
            </w:pPr>
            <w:r w:rsidRPr="002C04A0">
              <w:rPr>
                <w:rFonts w:asciiTheme="minorHAnsi" w:hAnsiTheme="minorHAnsi"/>
                <w:color w:val="000000"/>
                <w:sz w:val="16"/>
                <w:szCs w:val="16"/>
                <w:lang w:val="ru-RU" w:eastAsia="zh-CN"/>
              </w:rPr>
              <w:t>0</w:t>
            </w:r>
          </w:p>
        </w:tc>
      </w:tr>
      <w:tr w:rsidR="00081D6E" w:rsidRPr="002C04A0" w:rsidTr="00081D6E">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sz w:val="18"/>
                <w:szCs w:val="18"/>
                <w:lang w:eastAsia="zh-CN"/>
              </w:rPr>
              <w:t>Coût total</w:t>
            </w:r>
          </w:p>
        </w:tc>
        <w:tc>
          <w:tcPr>
            <w:tcW w:w="964" w:type="dxa"/>
            <w:tcBorders>
              <w:top w:val="nil"/>
              <w:left w:val="nil"/>
              <w:bottom w:val="single" w:sz="4" w:space="0" w:color="auto"/>
              <w:right w:val="single" w:sz="4" w:space="0" w:color="auto"/>
            </w:tcBorders>
            <w:shd w:val="clear" w:color="000000" w:fill="BDD7EE"/>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61 276</w:t>
            </w:r>
          </w:p>
        </w:tc>
        <w:tc>
          <w:tcPr>
            <w:tcW w:w="966" w:type="dxa"/>
            <w:tcBorders>
              <w:top w:val="nil"/>
              <w:left w:val="nil"/>
              <w:bottom w:val="single" w:sz="4" w:space="0" w:color="auto"/>
              <w:right w:val="single" w:sz="4" w:space="0" w:color="auto"/>
            </w:tcBorders>
            <w:shd w:val="clear" w:color="000000" w:fill="BDD7EE"/>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36 068</w:t>
            </w:r>
          </w:p>
        </w:tc>
        <w:tc>
          <w:tcPr>
            <w:tcW w:w="1022" w:type="dxa"/>
            <w:tcBorders>
              <w:top w:val="nil"/>
              <w:left w:val="nil"/>
              <w:bottom w:val="single" w:sz="4" w:space="0" w:color="auto"/>
              <w:right w:val="single" w:sz="4" w:space="0" w:color="auto"/>
            </w:tcBorders>
            <w:shd w:val="clear" w:color="000000" w:fill="BDD7EE"/>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25 172</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37</w:t>
            </w:r>
          </w:p>
        </w:tc>
        <w:tc>
          <w:tcPr>
            <w:tcW w:w="236" w:type="dxa"/>
            <w:tcBorders>
              <w:top w:val="nil"/>
              <w:left w:val="nil"/>
              <w:bottom w:val="nil"/>
              <w:right w:val="nil"/>
            </w:tcBorders>
            <w:shd w:val="clear" w:color="auto" w:fill="auto"/>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40" w:type="dxa"/>
            <w:tcBorders>
              <w:top w:val="nil"/>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p>
        </w:tc>
        <w:tc>
          <w:tcPr>
            <w:tcW w:w="980"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p>
        </w:tc>
        <w:tc>
          <w:tcPr>
            <w:tcW w:w="238" w:type="dxa"/>
            <w:tcBorders>
              <w:top w:val="nil"/>
              <w:left w:val="nil"/>
              <w:bottom w:val="nil"/>
              <w:right w:val="nil"/>
            </w:tcBorders>
            <w:shd w:val="clear" w:color="auto" w:fill="auto"/>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22 329</w:t>
            </w:r>
          </w:p>
        </w:tc>
        <w:tc>
          <w:tcPr>
            <w:tcW w:w="994"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30 014</w:t>
            </w:r>
          </w:p>
        </w:tc>
        <w:tc>
          <w:tcPr>
            <w:tcW w:w="1078"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4 465</w:t>
            </w:r>
          </w:p>
        </w:tc>
        <w:tc>
          <w:tcPr>
            <w:tcW w:w="1134"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4 465</w:t>
            </w:r>
          </w:p>
        </w:tc>
      </w:tr>
      <w:tr w:rsidR="00081D6E" w:rsidRPr="002C04A0" w:rsidTr="00081D6E">
        <w:trPr>
          <w:trHeight w:val="288"/>
        </w:trPr>
        <w:tc>
          <w:tcPr>
            <w:tcW w:w="414"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rPr>
                <w:rFonts w:asciiTheme="minorHAnsi" w:hAnsiTheme="minorHAnsi"/>
                <w:color w:val="000000"/>
                <w:sz w:val="16"/>
                <w:szCs w:val="16"/>
                <w:lang w:val="ru-RU" w:eastAsia="zh-CN"/>
              </w:rPr>
            </w:pPr>
          </w:p>
        </w:tc>
        <w:tc>
          <w:tcPr>
            <w:tcW w:w="1515"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rPr>
                <w:rFonts w:asciiTheme="minorHAnsi" w:hAnsiTheme="minorHAnsi"/>
                <w:color w:val="000000"/>
                <w:sz w:val="16"/>
                <w:szCs w:val="16"/>
                <w:lang w:val="ru-RU" w:eastAsia="zh-CN"/>
              </w:rPr>
            </w:pPr>
          </w:p>
        </w:tc>
        <w:tc>
          <w:tcPr>
            <w:tcW w:w="964"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66"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1022" w:type="dxa"/>
            <w:tcBorders>
              <w:top w:val="nil"/>
              <w:left w:val="nil"/>
              <w:bottom w:val="nil"/>
              <w:right w:val="nil"/>
            </w:tcBorders>
            <w:shd w:val="clear" w:color="000000" w:fill="FFFFFF"/>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93"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236"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40" w:type="dxa"/>
            <w:tcBorders>
              <w:top w:val="nil"/>
              <w:left w:val="nil"/>
              <w:bottom w:val="nil"/>
              <w:right w:val="nil"/>
            </w:tcBorders>
            <w:shd w:val="clear" w:color="000000" w:fill="FFFFFF"/>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80" w:type="dxa"/>
            <w:tcBorders>
              <w:top w:val="nil"/>
              <w:left w:val="nil"/>
              <w:bottom w:val="nil"/>
              <w:right w:val="nil"/>
            </w:tcBorders>
            <w:shd w:val="clear" w:color="000000" w:fill="FFFFFF"/>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1078" w:type="dxa"/>
            <w:tcBorders>
              <w:top w:val="nil"/>
              <w:left w:val="nil"/>
              <w:bottom w:val="nil"/>
              <w:right w:val="nil"/>
            </w:tcBorders>
            <w:shd w:val="clear" w:color="000000" w:fill="FFFFFF"/>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1078" w:type="dxa"/>
            <w:tcBorders>
              <w:top w:val="nil"/>
              <w:left w:val="nil"/>
              <w:bottom w:val="nil"/>
              <w:right w:val="nil"/>
            </w:tcBorders>
            <w:shd w:val="clear" w:color="000000" w:fill="FFFFFF"/>
            <w:noWrap/>
            <w:vAlign w:val="bottom"/>
            <w:hideMark/>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36,4%</w:t>
            </w:r>
          </w:p>
        </w:tc>
        <w:tc>
          <w:tcPr>
            <w:tcW w:w="994"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49%</w:t>
            </w:r>
          </w:p>
        </w:tc>
        <w:tc>
          <w:tcPr>
            <w:tcW w:w="1078"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7,3%</w:t>
            </w:r>
          </w:p>
        </w:tc>
        <w:tc>
          <w:tcPr>
            <w:tcW w:w="1134"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7,3%</w:t>
            </w:r>
          </w:p>
        </w:tc>
      </w:tr>
    </w:tbl>
    <w:p w:rsidR="00081D6E" w:rsidRPr="002C04A0" w:rsidRDefault="00081D6E" w:rsidP="00BE6EEC">
      <w:pPr>
        <w:spacing w:line="240" w:lineRule="auto"/>
        <w:rPr>
          <w:rFonts w:asciiTheme="minorHAnsi" w:hAnsiTheme="minorHAnsi"/>
          <w:lang w:val="ru-RU"/>
        </w:rPr>
      </w:pPr>
    </w:p>
    <w:tbl>
      <w:tblPr>
        <w:tblW w:w="14553" w:type="dxa"/>
        <w:tblLayout w:type="fixed"/>
        <w:tblLook w:val="04A0" w:firstRow="1" w:lastRow="0" w:firstColumn="1" w:lastColumn="0" w:noHBand="0" w:noVBand="1"/>
      </w:tblPr>
      <w:tblGrid>
        <w:gridCol w:w="415"/>
        <w:gridCol w:w="1484"/>
        <w:gridCol w:w="994"/>
        <w:gridCol w:w="966"/>
        <w:gridCol w:w="1022"/>
        <w:gridCol w:w="993"/>
        <w:gridCol w:w="238"/>
        <w:gridCol w:w="938"/>
        <w:gridCol w:w="980"/>
        <w:gridCol w:w="1078"/>
        <w:gridCol w:w="1078"/>
        <w:gridCol w:w="238"/>
        <w:gridCol w:w="937"/>
        <w:gridCol w:w="994"/>
        <w:gridCol w:w="1078"/>
        <w:gridCol w:w="1120"/>
      </w:tblGrid>
      <w:tr w:rsidR="00081D6E" w:rsidRPr="002C04A0" w:rsidTr="00081D6E">
        <w:trPr>
          <w:trHeight w:val="288"/>
        </w:trPr>
        <w:tc>
          <w:tcPr>
            <w:tcW w:w="189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081D6E" w:rsidRPr="002C04A0" w:rsidRDefault="00081D6E" w:rsidP="00BE6EEC">
            <w:pPr>
              <w:pStyle w:val="Tablehead"/>
              <w:rPr>
                <w:rFonts w:asciiTheme="minorHAnsi" w:hAnsiTheme="minorHAnsi"/>
                <w:sz w:val="16"/>
                <w:szCs w:val="16"/>
                <w:lang w:val="fr-CH" w:eastAsia="zh-CN"/>
              </w:rPr>
            </w:pPr>
            <w:r w:rsidRPr="002C04A0">
              <w:rPr>
                <w:rFonts w:asciiTheme="minorHAnsi" w:hAnsiTheme="minorHAnsi"/>
                <w:sz w:val="16"/>
                <w:szCs w:val="16"/>
                <w:lang w:val="fr-CH" w:eastAsia="zh-CN"/>
              </w:rPr>
              <w:t>Objectifs stratégiques de l'UIT pour 2017</w:t>
            </w:r>
          </w:p>
        </w:tc>
        <w:tc>
          <w:tcPr>
            <w:tcW w:w="994"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81D6E" w:rsidRPr="002C04A0" w:rsidRDefault="00081D6E" w:rsidP="00BE6EEC">
            <w:pPr>
              <w:pStyle w:val="Tablehead"/>
              <w:rPr>
                <w:rFonts w:asciiTheme="minorHAnsi" w:hAnsiTheme="minorHAnsi"/>
                <w:sz w:val="16"/>
                <w:szCs w:val="16"/>
                <w:lang w:eastAsia="zh-CN"/>
              </w:rPr>
            </w:pPr>
            <w:r w:rsidRPr="002C04A0">
              <w:rPr>
                <w:rFonts w:asciiTheme="minorHAnsi" w:hAnsiTheme="minorHAnsi"/>
                <w:sz w:val="16"/>
                <w:szCs w:val="16"/>
                <w:lang w:eastAsia="zh-CN"/>
              </w:rPr>
              <w:t>Coût total</w:t>
            </w:r>
          </w:p>
        </w:tc>
        <w:tc>
          <w:tcPr>
            <w:tcW w:w="96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081D6E" w:rsidRPr="002C04A0" w:rsidRDefault="00081D6E" w:rsidP="00BE6EEC">
            <w:pPr>
              <w:pStyle w:val="Tablehead"/>
              <w:rPr>
                <w:rFonts w:asciiTheme="minorHAnsi" w:hAnsiTheme="minorHAnsi"/>
                <w:sz w:val="16"/>
                <w:szCs w:val="16"/>
                <w:lang w:val="fr-CH" w:eastAsia="zh-CN"/>
              </w:rPr>
            </w:pPr>
            <w:r w:rsidRPr="002C04A0">
              <w:rPr>
                <w:rFonts w:asciiTheme="minorHAnsi" w:hAnsiTheme="minorHAnsi"/>
                <w:sz w:val="16"/>
                <w:szCs w:val="16"/>
                <w:lang w:val="fr-CH" w:eastAsia="zh-CN"/>
              </w:rPr>
              <w:t>Coûts du BR/Coûts directs</w:t>
            </w:r>
          </w:p>
        </w:tc>
        <w:tc>
          <w:tcPr>
            <w:tcW w:w="1022" w:type="dxa"/>
            <w:vMerge w:val="restart"/>
            <w:tcBorders>
              <w:top w:val="single" w:sz="4" w:space="0" w:color="auto"/>
              <w:left w:val="single" w:sz="4" w:space="0" w:color="auto"/>
              <w:right w:val="single" w:sz="4" w:space="0" w:color="auto"/>
            </w:tcBorders>
            <w:shd w:val="clear" w:color="000000" w:fill="BDD7EE"/>
            <w:vAlign w:val="center"/>
          </w:tcPr>
          <w:p w:rsidR="00081D6E" w:rsidRPr="002C04A0" w:rsidRDefault="00081D6E" w:rsidP="00BE6EEC">
            <w:pPr>
              <w:pStyle w:val="Tablehead"/>
              <w:rPr>
                <w:rFonts w:asciiTheme="minorHAnsi" w:hAnsiTheme="minorHAnsi"/>
                <w:sz w:val="16"/>
                <w:szCs w:val="16"/>
                <w:lang w:val="fr-CH" w:eastAsia="zh-CN"/>
              </w:rPr>
            </w:pPr>
            <w:r w:rsidRPr="002C04A0">
              <w:rPr>
                <w:rFonts w:asciiTheme="minorHAnsi" w:hAnsiTheme="minorHAnsi"/>
                <w:sz w:val="16"/>
                <w:szCs w:val="16"/>
                <w:lang w:val="fr-CH" w:eastAsia="zh-CN"/>
              </w:rPr>
              <w:t>Coûts réimputés à partir du Secrétariat général</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081D6E" w:rsidRPr="002C04A0" w:rsidRDefault="00081D6E" w:rsidP="00BE6EEC">
            <w:pPr>
              <w:pStyle w:val="Tablehead"/>
              <w:rPr>
                <w:rFonts w:asciiTheme="minorHAnsi" w:hAnsiTheme="minorHAnsi"/>
                <w:sz w:val="16"/>
                <w:szCs w:val="16"/>
                <w:lang w:val="fr-CH" w:eastAsia="zh-CN"/>
              </w:rPr>
            </w:pPr>
            <w:r w:rsidRPr="002C04A0">
              <w:rPr>
                <w:rFonts w:asciiTheme="minorHAnsi" w:hAnsiTheme="minorHAnsi"/>
                <w:sz w:val="16"/>
                <w:szCs w:val="16"/>
                <w:lang w:val="fr-CH" w:eastAsia="zh-CN"/>
              </w:rPr>
              <w:t>Coûts imputés par le TSB et le BDT</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ind w:left="-57" w:right="-57"/>
              <w:rPr>
                <w:rFonts w:asciiTheme="minorHAnsi" w:hAnsiTheme="minorHAnsi"/>
                <w:b/>
                <w:bCs/>
                <w:color w:val="000000"/>
                <w:sz w:val="16"/>
                <w:szCs w:val="16"/>
                <w:lang w:val="fr-CH" w:eastAsia="zh-CN"/>
              </w:rPr>
            </w:pPr>
          </w:p>
        </w:tc>
        <w:tc>
          <w:tcPr>
            <w:tcW w:w="938" w:type="dxa"/>
            <w:vMerge w:val="restart"/>
            <w:tcBorders>
              <w:top w:val="single" w:sz="4" w:space="0" w:color="auto"/>
              <w:left w:val="single" w:sz="4" w:space="0" w:color="auto"/>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1</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Croissance</w:t>
            </w:r>
          </w:p>
        </w:tc>
        <w:tc>
          <w:tcPr>
            <w:tcW w:w="980" w:type="dxa"/>
            <w:vMerge w:val="restart"/>
            <w:tcBorders>
              <w:top w:val="single" w:sz="4" w:space="0" w:color="auto"/>
              <w:left w:val="nil"/>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2</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Inclusio</w:t>
            </w:r>
            <w:r w:rsidRPr="002C04A0">
              <w:rPr>
                <w:rFonts w:asciiTheme="minorHAnsi" w:hAnsiTheme="minorHAnsi"/>
                <w:b/>
                <w:bCs/>
                <w:sz w:val="18"/>
                <w:szCs w:val="18"/>
                <w:lang w:eastAsia="zh-CN"/>
              </w:rPr>
              <w:t>n</w:t>
            </w:r>
          </w:p>
        </w:tc>
        <w:tc>
          <w:tcPr>
            <w:tcW w:w="1078" w:type="dxa"/>
            <w:vMerge w:val="restart"/>
            <w:tcBorders>
              <w:top w:val="single" w:sz="4" w:space="0" w:color="auto"/>
              <w:left w:val="nil"/>
              <w:right w:val="nil"/>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3</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Durabilité</w:t>
            </w:r>
          </w:p>
        </w:tc>
        <w:tc>
          <w:tcPr>
            <w:tcW w:w="1078" w:type="dxa"/>
            <w:vMerge w:val="restart"/>
            <w:tcBorders>
              <w:top w:val="single" w:sz="4" w:space="0" w:color="auto"/>
              <w:left w:val="single" w:sz="4" w:space="0" w:color="auto"/>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4</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Innovation</w:t>
            </w:r>
            <w:r w:rsidRPr="002C04A0">
              <w:rPr>
                <w:rFonts w:asciiTheme="minorHAnsi" w:hAnsiTheme="minorHAnsi"/>
                <w:sz w:val="16"/>
                <w:szCs w:val="16"/>
                <w:lang w:eastAsia="zh-CN"/>
              </w:rPr>
              <w:t xml:space="preserve"> </w:t>
            </w:r>
            <w:r w:rsidRPr="002C04A0">
              <w:rPr>
                <w:rFonts w:asciiTheme="minorHAnsi" w:hAnsiTheme="minorHAnsi"/>
                <w:b/>
                <w:bCs/>
                <w:sz w:val="16"/>
                <w:szCs w:val="16"/>
                <w:lang w:eastAsia="zh-CN"/>
              </w:rPr>
              <w:t>et</w:t>
            </w:r>
            <w:r w:rsidRPr="002C04A0">
              <w:rPr>
                <w:rFonts w:asciiTheme="minorHAnsi" w:hAnsiTheme="minorHAnsi"/>
                <w:sz w:val="16"/>
                <w:szCs w:val="16"/>
                <w:lang w:eastAsia="zh-CN"/>
              </w:rPr>
              <w:t xml:space="preserve"> </w:t>
            </w:r>
            <w:r w:rsidRPr="002C04A0">
              <w:rPr>
                <w:rFonts w:asciiTheme="minorHAnsi" w:hAnsiTheme="minorHAnsi"/>
                <w:b/>
                <w:bCs/>
                <w:sz w:val="16"/>
                <w:szCs w:val="16"/>
                <w:lang w:eastAsia="zh-CN"/>
              </w:rPr>
              <w:t>partenariat</w:t>
            </w:r>
          </w:p>
        </w:tc>
        <w:tc>
          <w:tcPr>
            <w:tcW w:w="238" w:type="dxa"/>
            <w:tcBorders>
              <w:top w:val="nil"/>
              <w:left w:val="nil"/>
              <w:bottom w:val="nil"/>
              <w:right w:val="single" w:sz="4" w:space="0" w:color="auto"/>
            </w:tcBorders>
            <w:shd w:val="clear" w:color="000000" w:fill="FFFFFF"/>
            <w:noWrap/>
            <w:vAlign w:val="center"/>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p>
        </w:tc>
        <w:tc>
          <w:tcPr>
            <w:tcW w:w="937" w:type="dxa"/>
            <w:vMerge w:val="restart"/>
            <w:tcBorders>
              <w:top w:val="single" w:sz="4" w:space="0" w:color="auto"/>
              <w:left w:val="single" w:sz="4" w:space="0" w:color="auto"/>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1</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Croissance</w:t>
            </w:r>
          </w:p>
        </w:tc>
        <w:tc>
          <w:tcPr>
            <w:tcW w:w="994" w:type="dxa"/>
            <w:vMerge w:val="restart"/>
            <w:tcBorders>
              <w:top w:val="single" w:sz="4" w:space="0" w:color="auto"/>
              <w:left w:val="nil"/>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2</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Inclusio</w:t>
            </w:r>
            <w:r w:rsidRPr="002C04A0">
              <w:rPr>
                <w:rFonts w:asciiTheme="minorHAnsi" w:hAnsiTheme="minorHAnsi"/>
                <w:b/>
                <w:bCs/>
                <w:sz w:val="18"/>
                <w:szCs w:val="18"/>
                <w:lang w:eastAsia="zh-CN"/>
              </w:rPr>
              <w:t>n</w:t>
            </w:r>
          </w:p>
        </w:tc>
        <w:tc>
          <w:tcPr>
            <w:tcW w:w="1078" w:type="dxa"/>
            <w:vMerge w:val="restart"/>
            <w:tcBorders>
              <w:top w:val="single" w:sz="4" w:space="0" w:color="auto"/>
              <w:left w:val="nil"/>
              <w:right w:val="nil"/>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3</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Durabilité</w:t>
            </w:r>
          </w:p>
        </w:tc>
        <w:tc>
          <w:tcPr>
            <w:tcW w:w="1120" w:type="dxa"/>
            <w:vMerge w:val="restart"/>
            <w:tcBorders>
              <w:top w:val="single" w:sz="4" w:space="0" w:color="auto"/>
              <w:left w:val="single" w:sz="4" w:space="0" w:color="auto"/>
              <w:right w:val="single" w:sz="4" w:space="0" w:color="auto"/>
            </w:tcBorders>
            <w:shd w:val="clear" w:color="000000" w:fill="BDD7EE"/>
            <w:noWrap/>
            <w:vAlign w:val="center"/>
            <w:hideMark/>
          </w:tcPr>
          <w:p w:rsidR="00081D6E" w:rsidRPr="002C04A0" w:rsidRDefault="00081D6E" w:rsidP="00BE6EEC">
            <w:pPr>
              <w:spacing w:before="40" w:after="40" w:line="240" w:lineRule="auto"/>
              <w:ind w:left="-57" w:right="-57"/>
              <w:jc w:val="center"/>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But</w:t>
            </w:r>
            <w:r w:rsidRPr="002C04A0">
              <w:rPr>
                <w:rFonts w:asciiTheme="minorHAnsi" w:hAnsiTheme="minorHAnsi"/>
                <w:b/>
                <w:bCs/>
                <w:color w:val="000000"/>
                <w:sz w:val="16"/>
                <w:szCs w:val="16"/>
                <w:lang w:val="ru-RU" w:eastAsia="zh-CN"/>
              </w:rPr>
              <w:t xml:space="preserve"> 4</w:t>
            </w:r>
            <w:r w:rsidRPr="002C04A0">
              <w:rPr>
                <w:rFonts w:asciiTheme="minorHAnsi" w:hAnsiTheme="minorHAnsi"/>
                <w:b/>
                <w:bCs/>
                <w:color w:val="000000"/>
                <w:sz w:val="16"/>
                <w:szCs w:val="16"/>
                <w:lang w:val="ru-RU" w:eastAsia="zh-CN"/>
              </w:rPr>
              <w:br/>
            </w:r>
            <w:r w:rsidRPr="002C04A0">
              <w:rPr>
                <w:rFonts w:asciiTheme="minorHAnsi" w:hAnsiTheme="minorHAnsi"/>
                <w:b/>
                <w:bCs/>
                <w:sz w:val="16"/>
                <w:szCs w:val="16"/>
                <w:lang w:eastAsia="zh-CN"/>
              </w:rPr>
              <w:t>Innovation</w:t>
            </w:r>
            <w:r w:rsidRPr="002C04A0">
              <w:rPr>
                <w:rFonts w:asciiTheme="minorHAnsi" w:hAnsiTheme="minorHAnsi"/>
                <w:sz w:val="16"/>
                <w:szCs w:val="16"/>
                <w:lang w:eastAsia="zh-CN"/>
              </w:rPr>
              <w:t xml:space="preserve"> </w:t>
            </w:r>
            <w:r w:rsidRPr="002C04A0">
              <w:rPr>
                <w:rFonts w:asciiTheme="minorHAnsi" w:hAnsiTheme="minorHAnsi"/>
                <w:b/>
                <w:bCs/>
                <w:sz w:val="16"/>
                <w:szCs w:val="16"/>
                <w:lang w:eastAsia="zh-CN"/>
              </w:rPr>
              <w:t>et</w:t>
            </w:r>
            <w:r w:rsidRPr="002C04A0">
              <w:rPr>
                <w:rFonts w:asciiTheme="minorHAnsi" w:hAnsiTheme="minorHAnsi"/>
                <w:sz w:val="16"/>
                <w:szCs w:val="16"/>
                <w:lang w:eastAsia="zh-CN"/>
              </w:rPr>
              <w:t xml:space="preserve"> </w:t>
            </w:r>
            <w:r w:rsidRPr="002C04A0">
              <w:rPr>
                <w:rFonts w:asciiTheme="minorHAnsi" w:hAnsiTheme="minorHAnsi"/>
                <w:b/>
                <w:bCs/>
                <w:sz w:val="16"/>
                <w:szCs w:val="16"/>
                <w:lang w:eastAsia="zh-CN"/>
              </w:rPr>
              <w:t>partenariat</w:t>
            </w:r>
          </w:p>
        </w:tc>
      </w:tr>
      <w:tr w:rsidR="00081D6E" w:rsidRPr="002C04A0" w:rsidTr="00081D6E">
        <w:trPr>
          <w:trHeight w:val="288"/>
        </w:trPr>
        <w:tc>
          <w:tcPr>
            <w:tcW w:w="1899" w:type="dxa"/>
            <w:gridSpan w:val="2"/>
            <w:vMerge/>
            <w:tcBorders>
              <w:top w:val="single" w:sz="4" w:space="0" w:color="auto"/>
              <w:left w:val="single" w:sz="4" w:space="0" w:color="auto"/>
              <w:bottom w:val="single" w:sz="4" w:space="0" w:color="000000"/>
              <w:right w:val="single" w:sz="4" w:space="0" w:color="000000"/>
            </w:tcBorders>
            <w:vAlign w:val="center"/>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94" w:type="dxa"/>
            <w:vMerge/>
            <w:tcBorders>
              <w:top w:val="single" w:sz="4" w:space="0" w:color="auto"/>
              <w:left w:val="single" w:sz="4" w:space="0" w:color="auto"/>
              <w:bottom w:val="single" w:sz="4" w:space="0" w:color="000000"/>
              <w:right w:val="single" w:sz="4" w:space="0" w:color="auto"/>
            </w:tcBorders>
            <w:vAlign w:val="center"/>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022" w:type="dxa"/>
            <w:vMerge/>
            <w:tcBorders>
              <w:left w:val="single" w:sz="4" w:space="0" w:color="auto"/>
              <w:bottom w:val="single" w:sz="4" w:space="0" w:color="000000"/>
              <w:right w:val="single" w:sz="4" w:space="0" w:color="auto"/>
            </w:tcBorders>
            <w:vAlign w:val="center"/>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8" w:type="dxa"/>
            <w:vMerge/>
            <w:tcBorders>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80" w:type="dxa"/>
            <w:vMerge/>
            <w:tcBorders>
              <w:left w:val="nil"/>
              <w:bottom w:val="nil"/>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078" w:type="dxa"/>
            <w:vMerge/>
            <w:tcBorders>
              <w:left w:val="nil"/>
              <w:bottom w:val="nil"/>
              <w:right w:val="nil"/>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078" w:type="dxa"/>
            <w:vMerge/>
            <w:tcBorders>
              <w:left w:val="single" w:sz="4" w:space="0" w:color="auto"/>
              <w:bottom w:val="nil"/>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238" w:type="dxa"/>
            <w:tcBorders>
              <w:top w:val="nil"/>
              <w:left w:val="nil"/>
              <w:bottom w:val="nil"/>
              <w:right w:val="single" w:sz="4" w:space="0" w:color="auto"/>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7" w:type="dxa"/>
            <w:vMerge/>
            <w:tcBorders>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94" w:type="dxa"/>
            <w:vMerge/>
            <w:tcBorders>
              <w:left w:val="nil"/>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078" w:type="dxa"/>
            <w:vMerge/>
            <w:tcBorders>
              <w:left w:val="nil"/>
              <w:bottom w:val="single" w:sz="4" w:space="0" w:color="auto"/>
              <w:right w:val="nil"/>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120" w:type="dxa"/>
            <w:vMerge/>
            <w:tcBorders>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r>
      <w:tr w:rsidR="00081D6E" w:rsidRPr="002C04A0" w:rsidTr="00081D6E">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R1</w:t>
            </w:r>
          </w:p>
        </w:tc>
        <w:tc>
          <w:tcPr>
            <w:tcW w:w="148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Objectif 1 de l'UIT</w:t>
            </w:r>
            <w:r w:rsidRPr="002C04A0">
              <w:rPr>
                <w:rFonts w:asciiTheme="minorHAnsi" w:hAnsiTheme="minorHAnsi"/>
                <w:b/>
                <w:bCs/>
                <w:sz w:val="16"/>
                <w:szCs w:val="16"/>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36 027</w:t>
            </w:r>
          </w:p>
        </w:tc>
        <w:tc>
          <w:tcPr>
            <w:tcW w:w="966" w:type="dxa"/>
            <w:tcBorders>
              <w:top w:val="nil"/>
              <w:left w:val="nil"/>
              <w:bottom w:val="single" w:sz="4" w:space="0" w:color="auto"/>
              <w:right w:val="single" w:sz="4" w:space="0" w:color="auto"/>
            </w:tcBorders>
            <w:shd w:val="clear" w:color="000000" w:fill="FFFFFF"/>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19 898</w:t>
            </w:r>
          </w:p>
        </w:tc>
        <w:tc>
          <w:tcPr>
            <w:tcW w:w="1022" w:type="dxa"/>
            <w:tcBorders>
              <w:top w:val="nil"/>
              <w:left w:val="nil"/>
              <w:bottom w:val="single" w:sz="4" w:space="0" w:color="auto"/>
              <w:right w:val="single" w:sz="4" w:space="0" w:color="auto"/>
            </w:tcBorders>
            <w:shd w:val="clear" w:color="000000" w:fill="FFFFFF"/>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16 107</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21</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50%</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10%</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18 013</w:t>
            </w:r>
          </w:p>
        </w:tc>
        <w:tc>
          <w:tcPr>
            <w:tcW w:w="99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10 808</w:t>
            </w:r>
          </w:p>
        </w:tc>
        <w:tc>
          <w:tcPr>
            <w:tcW w:w="1078"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3 603</w:t>
            </w:r>
          </w:p>
        </w:tc>
        <w:tc>
          <w:tcPr>
            <w:tcW w:w="1120"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3 603</w:t>
            </w:r>
          </w:p>
        </w:tc>
      </w:tr>
      <w:tr w:rsidR="00081D6E" w:rsidRPr="002C04A0" w:rsidTr="00081D6E">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R2</w:t>
            </w:r>
          </w:p>
        </w:tc>
        <w:tc>
          <w:tcPr>
            <w:tcW w:w="148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Objectif 2 de l'UIT</w:t>
            </w:r>
            <w:r w:rsidRPr="002C04A0">
              <w:rPr>
                <w:rFonts w:asciiTheme="minorHAnsi" w:hAnsiTheme="minorHAnsi"/>
                <w:b/>
                <w:bCs/>
                <w:sz w:val="16"/>
                <w:szCs w:val="16"/>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9 686</w:t>
            </w:r>
          </w:p>
        </w:tc>
        <w:tc>
          <w:tcPr>
            <w:tcW w:w="966" w:type="dxa"/>
            <w:tcBorders>
              <w:top w:val="nil"/>
              <w:left w:val="nil"/>
              <w:bottom w:val="single" w:sz="4" w:space="0" w:color="auto"/>
              <w:right w:val="single" w:sz="4" w:space="0" w:color="auto"/>
            </w:tcBorders>
            <w:shd w:val="clear" w:color="000000" w:fill="FFFFFF"/>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6 685</w:t>
            </w:r>
          </w:p>
        </w:tc>
        <w:tc>
          <w:tcPr>
            <w:tcW w:w="1022" w:type="dxa"/>
            <w:tcBorders>
              <w:top w:val="nil"/>
              <w:left w:val="nil"/>
              <w:bottom w:val="single" w:sz="4" w:space="0" w:color="auto"/>
              <w:right w:val="single" w:sz="4" w:space="0" w:color="auto"/>
            </w:tcBorders>
            <w:shd w:val="clear" w:color="000000" w:fill="FFFFFF"/>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2 996</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6</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50%</w:t>
            </w:r>
          </w:p>
        </w:tc>
        <w:tc>
          <w:tcPr>
            <w:tcW w:w="980"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30%</w:t>
            </w:r>
          </w:p>
        </w:tc>
        <w:tc>
          <w:tcPr>
            <w:tcW w:w="1078"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10%</w:t>
            </w:r>
          </w:p>
        </w:tc>
        <w:tc>
          <w:tcPr>
            <w:tcW w:w="1078"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10%</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4 843</w:t>
            </w:r>
          </w:p>
        </w:tc>
        <w:tc>
          <w:tcPr>
            <w:tcW w:w="99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2 906</w:t>
            </w:r>
          </w:p>
        </w:tc>
        <w:tc>
          <w:tcPr>
            <w:tcW w:w="1078"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969</w:t>
            </w:r>
          </w:p>
        </w:tc>
        <w:tc>
          <w:tcPr>
            <w:tcW w:w="1120"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969</w:t>
            </w:r>
          </w:p>
        </w:tc>
      </w:tr>
      <w:tr w:rsidR="00081D6E" w:rsidRPr="002C04A0" w:rsidTr="00081D6E">
        <w:trPr>
          <w:trHeight w:val="288"/>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R3</w:t>
            </w:r>
          </w:p>
        </w:tc>
        <w:tc>
          <w:tcPr>
            <w:tcW w:w="148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sz w:val="16"/>
                <w:szCs w:val="16"/>
                <w:lang w:eastAsia="zh-CN"/>
              </w:rPr>
              <w:t>Objectif 3 de l'UIT</w:t>
            </w:r>
            <w:r w:rsidRPr="002C04A0">
              <w:rPr>
                <w:rFonts w:asciiTheme="minorHAnsi" w:hAnsiTheme="minorHAnsi"/>
                <w:b/>
                <w:bCs/>
                <w:sz w:val="16"/>
                <w:szCs w:val="16"/>
                <w:lang w:eastAsia="zh-CN"/>
              </w:rPr>
              <w:noBreakHyphen/>
              <w:t>R</w:t>
            </w:r>
          </w:p>
        </w:tc>
        <w:tc>
          <w:tcPr>
            <w:tcW w:w="994" w:type="dxa"/>
            <w:tcBorders>
              <w:top w:val="nil"/>
              <w:left w:val="nil"/>
              <w:bottom w:val="single" w:sz="4" w:space="0" w:color="auto"/>
              <w:right w:val="single" w:sz="4" w:space="0" w:color="auto"/>
            </w:tcBorders>
            <w:shd w:val="clear" w:color="000000" w:fill="FFFFFF"/>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16 473</w:t>
            </w:r>
          </w:p>
        </w:tc>
        <w:tc>
          <w:tcPr>
            <w:tcW w:w="966" w:type="dxa"/>
            <w:tcBorders>
              <w:top w:val="nil"/>
              <w:left w:val="nil"/>
              <w:bottom w:val="single" w:sz="4" w:space="0" w:color="auto"/>
              <w:right w:val="single" w:sz="4" w:space="0" w:color="auto"/>
            </w:tcBorders>
            <w:shd w:val="clear" w:color="000000" w:fill="FFFFFF"/>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10 571</w:t>
            </w:r>
          </w:p>
        </w:tc>
        <w:tc>
          <w:tcPr>
            <w:tcW w:w="1022" w:type="dxa"/>
            <w:tcBorders>
              <w:top w:val="nil"/>
              <w:left w:val="nil"/>
              <w:bottom w:val="single" w:sz="4" w:space="0" w:color="auto"/>
              <w:right w:val="single" w:sz="4" w:space="0" w:color="auto"/>
            </w:tcBorders>
            <w:shd w:val="clear" w:color="000000" w:fill="FFFFFF"/>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5 892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eastAsia="Calibri" w:hAnsiTheme="minorHAnsi" w:cs="Arial"/>
                <w:color w:val="000000"/>
                <w:sz w:val="16"/>
                <w:szCs w:val="16"/>
                <w:lang w:val="ru-RU"/>
              </w:rPr>
            </w:pPr>
            <w:r w:rsidRPr="002C04A0">
              <w:rPr>
                <w:rFonts w:asciiTheme="minorHAnsi" w:eastAsia="Calibri" w:hAnsiTheme="minorHAnsi" w:cs="Arial"/>
                <w:color w:val="000000"/>
                <w:sz w:val="16"/>
                <w:szCs w:val="16"/>
                <w:lang w:val="ru-RU"/>
              </w:rPr>
              <w:t>10</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0%</w:t>
            </w:r>
          </w:p>
        </w:tc>
        <w:tc>
          <w:tcPr>
            <w:tcW w:w="980"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100%</w:t>
            </w:r>
          </w:p>
        </w:tc>
        <w:tc>
          <w:tcPr>
            <w:tcW w:w="1078"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0%</w:t>
            </w:r>
          </w:p>
        </w:tc>
        <w:tc>
          <w:tcPr>
            <w:tcW w:w="1078" w:type="dxa"/>
            <w:tcBorders>
              <w:top w:val="nil"/>
              <w:left w:val="nil"/>
              <w:bottom w:val="single" w:sz="4" w:space="0" w:color="auto"/>
              <w:right w:val="single" w:sz="4" w:space="0" w:color="auto"/>
            </w:tcBorders>
            <w:shd w:val="clear" w:color="auto" w:fill="auto"/>
            <w:noWrap/>
            <w:vAlign w:val="center"/>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0%</w:t>
            </w: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0</w:t>
            </w:r>
          </w:p>
        </w:tc>
        <w:tc>
          <w:tcPr>
            <w:tcW w:w="994"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16 473</w:t>
            </w:r>
          </w:p>
        </w:tc>
        <w:tc>
          <w:tcPr>
            <w:tcW w:w="1078"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0</w:t>
            </w:r>
          </w:p>
        </w:tc>
        <w:tc>
          <w:tcPr>
            <w:tcW w:w="1120" w:type="dxa"/>
            <w:tcBorders>
              <w:top w:val="nil"/>
              <w:left w:val="nil"/>
              <w:bottom w:val="single" w:sz="4" w:space="0" w:color="auto"/>
              <w:right w:val="single" w:sz="4" w:space="0" w:color="auto"/>
            </w:tcBorders>
            <w:shd w:val="clear" w:color="auto" w:fill="auto"/>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p>
        </w:tc>
      </w:tr>
      <w:tr w:rsidR="00081D6E" w:rsidRPr="002C04A0" w:rsidTr="00081D6E">
        <w:trPr>
          <w:trHeight w:val="288"/>
        </w:trPr>
        <w:tc>
          <w:tcPr>
            <w:tcW w:w="189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081D6E" w:rsidRPr="002C04A0" w:rsidRDefault="00081D6E" w:rsidP="00BE6EEC">
            <w:pPr>
              <w:spacing w:before="40" w:after="40" w:line="240" w:lineRule="auto"/>
              <w:rPr>
                <w:rFonts w:asciiTheme="minorHAnsi" w:hAnsiTheme="minorHAnsi"/>
                <w:b/>
                <w:bCs/>
                <w:color w:val="000000"/>
                <w:sz w:val="16"/>
                <w:szCs w:val="16"/>
                <w:lang w:val="ru-RU" w:eastAsia="zh-CN"/>
              </w:rPr>
            </w:pPr>
            <w:r w:rsidRPr="002C04A0">
              <w:rPr>
                <w:rFonts w:asciiTheme="minorHAnsi" w:hAnsiTheme="minorHAnsi"/>
                <w:b/>
                <w:bCs/>
                <w:sz w:val="18"/>
                <w:szCs w:val="18"/>
                <w:lang w:eastAsia="zh-CN"/>
              </w:rPr>
              <w:t>Coût total</w:t>
            </w:r>
          </w:p>
        </w:tc>
        <w:tc>
          <w:tcPr>
            <w:tcW w:w="994"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62 186</w:t>
            </w:r>
          </w:p>
        </w:tc>
        <w:tc>
          <w:tcPr>
            <w:tcW w:w="966"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37 154</w:t>
            </w:r>
          </w:p>
        </w:tc>
        <w:tc>
          <w:tcPr>
            <w:tcW w:w="1022" w:type="dxa"/>
            <w:tcBorders>
              <w:top w:val="nil"/>
              <w:left w:val="nil"/>
              <w:bottom w:val="single" w:sz="4" w:space="0" w:color="auto"/>
              <w:right w:val="single" w:sz="4" w:space="0" w:color="auto"/>
            </w:tcBorders>
            <w:shd w:val="clear" w:color="000000" w:fill="BDD7EE"/>
            <w:vAlign w:val="bottom"/>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center"/>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24 995</w:t>
            </w:r>
          </w:p>
        </w:tc>
        <w:tc>
          <w:tcPr>
            <w:tcW w:w="993"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081D6E" w:rsidRPr="002C04A0" w:rsidRDefault="00081D6E" w:rsidP="00BE6EEC">
            <w:pPr>
              <w:spacing w:before="40" w:after="40" w:line="240" w:lineRule="auto"/>
              <w:ind w:right="340"/>
              <w:jc w:val="right"/>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37</w:t>
            </w:r>
          </w:p>
        </w:tc>
        <w:tc>
          <w:tcPr>
            <w:tcW w:w="238" w:type="dxa"/>
            <w:tcBorders>
              <w:top w:val="nil"/>
              <w:left w:val="nil"/>
              <w:bottom w:val="nil"/>
              <w:right w:val="nil"/>
            </w:tcBorders>
            <w:shd w:val="clear" w:color="auto" w:fill="auto"/>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8" w:type="dxa"/>
            <w:tcBorders>
              <w:top w:val="nil"/>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p>
        </w:tc>
        <w:tc>
          <w:tcPr>
            <w:tcW w:w="980"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ind w:right="170"/>
              <w:jc w:val="right"/>
              <w:rPr>
                <w:rFonts w:asciiTheme="minorHAnsi" w:hAnsiTheme="minorHAnsi"/>
                <w:b/>
                <w:bCs/>
                <w:color w:val="000000"/>
                <w:sz w:val="16"/>
                <w:szCs w:val="16"/>
                <w:lang w:val="ru-RU"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p>
        </w:tc>
        <w:tc>
          <w:tcPr>
            <w:tcW w:w="1078"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spacing w:before="40" w:after="40" w:line="240" w:lineRule="auto"/>
              <w:ind w:right="227"/>
              <w:jc w:val="right"/>
              <w:rPr>
                <w:rFonts w:asciiTheme="minorHAnsi" w:hAnsiTheme="minorHAnsi"/>
                <w:b/>
                <w:bCs/>
                <w:color w:val="000000"/>
                <w:sz w:val="16"/>
                <w:szCs w:val="16"/>
                <w:lang w:val="ru-RU" w:eastAsia="zh-CN"/>
              </w:rPr>
            </w:pPr>
          </w:p>
        </w:tc>
        <w:tc>
          <w:tcPr>
            <w:tcW w:w="238" w:type="dxa"/>
            <w:tcBorders>
              <w:top w:val="nil"/>
              <w:left w:val="nil"/>
              <w:bottom w:val="nil"/>
              <w:right w:val="nil"/>
            </w:tcBorders>
            <w:shd w:val="clear" w:color="auto" w:fill="auto"/>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22 856</w:t>
            </w:r>
          </w:p>
        </w:tc>
        <w:tc>
          <w:tcPr>
            <w:tcW w:w="994"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30 187</w:t>
            </w:r>
          </w:p>
        </w:tc>
        <w:tc>
          <w:tcPr>
            <w:tcW w:w="1078"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4 572</w:t>
            </w:r>
          </w:p>
        </w:tc>
        <w:tc>
          <w:tcPr>
            <w:tcW w:w="1120"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p>
        </w:tc>
      </w:tr>
      <w:tr w:rsidR="00081D6E" w:rsidRPr="002C04A0" w:rsidTr="00081D6E">
        <w:trPr>
          <w:trHeight w:val="288"/>
        </w:trPr>
        <w:tc>
          <w:tcPr>
            <w:tcW w:w="415"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484"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94"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66"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022" w:type="dxa"/>
            <w:tcBorders>
              <w:top w:val="nil"/>
              <w:left w:val="nil"/>
              <w:bottom w:val="nil"/>
              <w:right w:val="nil"/>
            </w:tcBorders>
            <w:shd w:val="clear" w:color="000000" w:fill="FFFFFF"/>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93"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8" w:type="dxa"/>
            <w:tcBorders>
              <w:top w:val="nil"/>
              <w:left w:val="nil"/>
              <w:bottom w:val="nil"/>
              <w:right w:val="nil"/>
            </w:tcBorders>
            <w:shd w:val="clear" w:color="000000" w:fill="FFFFFF"/>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80" w:type="dxa"/>
            <w:tcBorders>
              <w:top w:val="nil"/>
              <w:left w:val="nil"/>
              <w:bottom w:val="nil"/>
              <w:right w:val="nil"/>
            </w:tcBorders>
            <w:shd w:val="clear" w:color="000000" w:fill="FFFFFF"/>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078" w:type="dxa"/>
            <w:tcBorders>
              <w:top w:val="nil"/>
              <w:left w:val="nil"/>
              <w:bottom w:val="nil"/>
              <w:right w:val="nil"/>
            </w:tcBorders>
            <w:shd w:val="clear" w:color="000000" w:fill="FFFFFF"/>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1078" w:type="dxa"/>
            <w:tcBorders>
              <w:top w:val="nil"/>
              <w:left w:val="nil"/>
              <w:bottom w:val="nil"/>
              <w:right w:val="nil"/>
            </w:tcBorders>
            <w:shd w:val="clear" w:color="000000" w:fill="FFFFFF"/>
            <w:noWrap/>
            <w:vAlign w:val="bottom"/>
            <w:hideMark/>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238" w:type="dxa"/>
            <w:tcBorders>
              <w:top w:val="nil"/>
              <w:left w:val="nil"/>
              <w:bottom w:val="nil"/>
              <w:right w:val="nil"/>
            </w:tcBorders>
            <w:shd w:val="clear" w:color="000000" w:fill="FFFFFF"/>
            <w:noWrap/>
            <w:vAlign w:val="bottom"/>
          </w:tcPr>
          <w:p w:rsidR="00081D6E" w:rsidRPr="002C04A0" w:rsidRDefault="00081D6E" w:rsidP="00BE6EEC">
            <w:pPr>
              <w:spacing w:before="40" w:after="40" w:line="240" w:lineRule="auto"/>
              <w:jc w:val="center"/>
              <w:rPr>
                <w:rFonts w:asciiTheme="minorHAnsi" w:hAnsiTheme="minorHAnsi"/>
                <w:b/>
                <w:bCs/>
                <w:color w:val="000000"/>
                <w:sz w:val="16"/>
                <w:szCs w:val="16"/>
                <w:lang w:val="ru-RU" w:eastAsia="zh-CN"/>
              </w:rPr>
            </w:pPr>
          </w:p>
        </w:tc>
        <w:tc>
          <w:tcPr>
            <w:tcW w:w="937" w:type="dxa"/>
            <w:tcBorders>
              <w:top w:val="nil"/>
              <w:left w:val="single" w:sz="4" w:space="0" w:color="auto"/>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36,8%</w:t>
            </w:r>
          </w:p>
        </w:tc>
        <w:tc>
          <w:tcPr>
            <w:tcW w:w="994"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48,5%</w:t>
            </w:r>
          </w:p>
        </w:tc>
        <w:tc>
          <w:tcPr>
            <w:tcW w:w="1078"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r w:rsidRPr="002C04A0">
              <w:rPr>
                <w:rFonts w:asciiTheme="minorHAnsi" w:hAnsiTheme="minorHAnsi"/>
                <w:b/>
                <w:bCs/>
                <w:color w:val="000000"/>
                <w:sz w:val="16"/>
                <w:szCs w:val="16"/>
                <w:lang w:val="ru-RU" w:eastAsia="zh-CN"/>
              </w:rPr>
              <w:t>7,4%</w:t>
            </w:r>
          </w:p>
        </w:tc>
        <w:tc>
          <w:tcPr>
            <w:tcW w:w="1120" w:type="dxa"/>
            <w:tcBorders>
              <w:top w:val="nil"/>
              <w:left w:val="nil"/>
              <w:bottom w:val="single" w:sz="4" w:space="0" w:color="auto"/>
              <w:right w:val="single" w:sz="4" w:space="0" w:color="auto"/>
            </w:tcBorders>
            <w:shd w:val="clear" w:color="000000" w:fill="BDD7EE"/>
            <w:noWrap/>
            <w:vAlign w:val="bottom"/>
            <w:hideMark/>
          </w:tcPr>
          <w:p w:rsidR="00081D6E" w:rsidRPr="002C04A0" w:rsidRDefault="00081D6E" w:rsidP="00BE6EEC">
            <w:pPr>
              <w:tabs>
                <w:tab w:val="clear" w:pos="794"/>
                <w:tab w:val="clear" w:pos="1191"/>
                <w:tab w:val="clear" w:pos="1588"/>
                <w:tab w:val="clear" w:pos="1985"/>
              </w:tabs>
              <w:overflowPunct/>
              <w:autoSpaceDE/>
              <w:autoSpaceDN/>
              <w:adjustRightInd/>
              <w:spacing w:before="40" w:after="40" w:line="240" w:lineRule="auto"/>
              <w:jc w:val="right"/>
              <w:textAlignment w:val="auto"/>
              <w:rPr>
                <w:rFonts w:asciiTheme="minorHAnsi" w:hAnsiTheme="minorHAnsi"/>
                <w:b/>
                <w:bCs/>
                <w:color w:val="000000"/>
                <w:sz w:val="16"/>
                <w:szCs w:val="16"/>
                <w:lang w:val="ru-RU" w:eastAsia="zh-CN"/>
              </w:rPr>
            </w:pPr>
          </w:p>
        </w:tc>
      </w:tr>
    </w:tbl>
    <w:p w:rsidR="00081D6E" w:rsidRPr="002C04A0" w:rsidRDefault="00081D6E" w:rsidP="00BE6EEC">
      <w:pPr>
        <w:pStyle w:val="Reasons"/>
        <w:rPr>
          <w:rFonts w:asciiTheme="minorHAnsi" w:hAnsiTheme="minorHAnsi"/>
          <w:lang w:val="ru-RU"/>
        </w:rPr>
      </w:pPr>
    </w:p>
    <w:p w:rsidR="00081D6E" w:rsidRPr="002C04A0" w:rsidRDefault="00081D6E" w:rsidP="00BE6EEC">
      <w:pPr>
        <w:tabs>
          <w:tab w:val="left" w:pos="284"/>
          <w:tab w:val="left" w:pos="568"/>
        </w:tabs>
        <w:spacing w:before="0" w:line="240" w:lineRule="auto"/>
        <w:ind w:left="284" w:hanging="284"/>
        <w:jc w:val="center"/>
        <w:rPr>
          <w:rFonts w:asciiTheme="minorHAnsi" w:hAnsiTheme="minorHAnsi"/>
          <w:szCs w:val="24"/>
          <w:lang w:val="fr-FR"/>
        </w:rPr>
      </w:pPr>
      <w:r w:rsidRPr="002C04A0">
        <w:rPr>
          <w:rFonts w:asciiTheme="minorHAnsi" w:hAnsiTheme="minorHAnsi"/>
        </w:rPr>
        <w:t>______________</w:t>
      </w:r>
    </w:p>
    <w:sectPr w:rsidR="00081D6E" w:rsidRPr="002C04A0" w:rsidSect="002C04A0">
      <w:headerReference w:type="even" r:id="rId42"/>
      <w:headerReference w:type="first" r:id="rId43"/>
      <w:footerReference w:type="first" r:id="rId44"/>
      <w:pgSz w:w="16834" w:h="11907" w:orient="landscape" w:code="9"/>
      <w:pgMar w:top="1134" w:right="1134" w:bottom="1134" w:left="992"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D6E" w:rsidRDefault="00081D6E">
      <w:r>
        <w:separator/>
      </w:r>
    </w:p>
  </w:endnote>
  <w:endnote w:type="continuationSeparator" w:id="0">
    <w:p w:rsidR="00081D6E" w:rsidRDefault="0008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2F5AA5" w:rsidRDefault="00081D6E" w:rsidP="0088443B">
    <w:pPr>
      <w:pStyle w:val="FirstFooter"/>
      <w:spacing w:line="240" w:lineRule="auto"/>
      <w:ind w:left="-397" w:right="-397"/>
      <w:jc w:val="center"/>
      <w:rPr>
        <w:sz w:val="18"/>
        <w:szCs w:val="18"/>
        <w:lang w:val="fr-CH"/>
      </w:rPr>
    </w:pPr>
    <w:r w:rsidRPr="00081D6E">
      <w:rPr>
        <w:color w:val="3E8EDE"/>
        <w:sz w:val="18"/>
        <w:szCs w:val="18"/>
        <w:lang w:val="fr-CH"/>
      </w:rPr>
      <w:t>Union internationale des télécommunications • Place des Nations • CH</w:t>
    </w:r>
    <w:r w:rsidRPr="00081D6E">
      <w:rPr>
        <w:color w:val="3E8EDE"/>
        <w:sz w:val="18"/>
        <w:szCs w:val="18"/>
        <w:lang w:val="fr-CH"/>
      </w:rPr>
      <w:noBreakHyphen/>
      <w:t xml:space="preserve">1211 Genève 20 • Suisse </w:t>
    </w:r>
    <w:r w:rsidRPr="00081D6E">
      <w:rPr>
        <w:color w:val="3E8EDE"/>
        <w:sz w:val="18"/>
        <w:szCs w:val="18"/>
        <w:lang w:val="fr-CH"/>
      </w:rPr>
      <w:br/>
      <w:t>Tél</w:t>
    </w:r>
    <w:r>
      <w:rPr>
        <w:color w:val="3E8EDE"/>
        <w:sz w:val="18"/>
        <w:szCs w:val="18"/>
        <w:lang w:val="fr-CH"/>
      </w:rPr>
      <w:t>.</w:t>
    </w:r>
    <w:r w:rsidRPr="00081D6E">
      <w:rPr>
        <w:color w:val="3E8EDE"/>
        <w:sz w:val="18"/>
        <w:szCs w:val="18"/>
        <w:lang w:val="fr-CH"/>
      </w:rPr>
      <w:t xml:space="preserve">: +41 22 730 5111 • Fax: +41 22 733 7256 • </w:t>
    </w:r>
    <w:r w:rsidRPr="00081D6E">
      <w:rPr>
        <w:color w:val="3E8EDE"/>
        <w:sz w:val="18"/>
        <w:szCs w:val="18"/>
        <w:lang w:val="fr-CH"/>
      </w:rPr>
      <w:br/>
      <w:t>Courriel:</w:t>
    </w:r>
    <w:r w:rsidRPr="00E53DCE">
      <w:rPr>
        <w:sz w:val="18"/>
        <w:szCs w:val="18"/>
        <w:lang w:val="fr-FR"/>
      </w:rPr>
      <w:t xml:space="preserve"> </w:t>
    </w:r>
    <w:hyperlink r:id="rId1" w:history="1">
      <w:r w:rsidRPr="00081D6E">
        <w:rPr>
          <w:rStyle w:val="Hyperlink"/>
          <w:color w:val="3E8EDE"/>
          <w:sz w:val="18"/>
          <w:szCs w:val="18"/>
          <w:lang w:val="fr-CH"/>
        </w:rPr>
        <w:t>itumail@itu.int</w:t>
      </w:r>
    </w:hyperlink>
    <w:r w:rsidRPr="00081D6E">
      <w:rPr>
        <w:color w:val="3E8EDE"/>
        <w:sz w:val="18"/>
        <w:szCs w:val="18"/>
        <w:lang w:val="fr-CH"/>
      </w:rPr>
      <w:t xml:space="preserve"> • </w:t>
    </w:r>
    <w:hyperlink r:id="rId2" w:history="1">
      <w:r w:rsidRPr="00081D6E">
        <w:rPr>
          <w:rStyle w:val="Hyperlink"/>
          <w:color w:val="3E8EDE"/>
          <w:sz w:val="18"/>
          <w:szCs w:val="18"/>
          <w:lang w:val="fr-CH"/>
        </w:rPr>
        <w:t>www.itu.int</w:t>
      </w:r>
    </w:hyperlink>
    <w:r w:rsidRPr="00081D6E">
      <w:rPr>
        <w:color w:val="3E8EDE"/>
        <w:sz w:val="18"/>
        <w:szCs w:val="18"/>
        <w:lang w:val="fr-CH"/>
      </w:rPr>
      <w:t xml:space="preserve"> • </w:t>
    </w:r>
    <w:hyperlink r:id="rId3" w:history="1">
      <w:r w:rsidRPr="00081D6E">
        <w:rPr>
          <w:rStyle w:val="Hyperlink"/>
          <w:color w:val="3E8EDE"/>
          <w:sz w:val="18"/>
          <w:szCs w:val="18"/>
          <w:lang w:val="fr-CH"/>
        </w:rPr>
        <w:t>www.itu.int/go/RR110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081D6E" w:rsidRDefault="00081D6E">
    <w:pPr>
      <w:pStyle w:val="Footer"/>
      <w:rPr>
        <w:sz w:val="16"/>
        <w:szCs w:val="16"/>
        <w:lang w:val="es-ES_tradnl"/>
      </w:rPr>
    </w:pPr>
    <w:r w:rsidRPr="00081D6E">
      <w:rPr>
        <w:sz w:val="16"/>
        <w:szCs w:val="16"/>
        <w:lang w:val="fr-FR"/>
      </w:rPr>
      <w:fldChar w:fldCharType="begin"/>
    </w:r>
    <w:r w:rsidRPr="00081D6E">
      <w:rPr>
        <w:sz w:val="16"/>
        <w:szCs w:val="16"/>
        <w:lang w:val="es-ES_tradnl"/>
      </w:rPr>
      <w:instrText xml:space="preserve"> FILENAME \p \* MERGEFORMAT </w:instrText>
    </w:r>
    <w:r w:rsidRPr="00081D6E">
      <w:rPr>
        <w:sz w:val="16"/>
        <w:szCs w:val="16"/>
        <w:lang w:val="fr-FR"/>
      </w:rPr>
      <w:fldChar w:fldCharType="separate"/>
    </w:r>
    <w:r w:rsidR="00FB43AD">
      <w:rPr>
        <w:noProof/>
        <w:sz w:val="16"/>
        <w:szCs w:val="16"/>
        <w:lang w:val="es-ES_tradnl"/>
      </w:rPr>
      <w:t>Y:\APP\BR\CIRCS_DMS\CA\200\229\229F.DOCX</w:t>
    </w:r>
    <w:r w:rsidRPr="00081D6E">
      <w:rPr>
        <w:sz w:val="16"/>
        <w:szCs w:val="16"/>
      </w:rPr>
      <w:fldChar w:fldCharType="end"/>
    </w:r>
    <w:r w:rsidRPr="00081D6E">
      <w:rPr>
        <w:sz w:val="16"/>
        <w:szCs w:val="16"/>
        <w:lang w:val="es-ES_tradnl"/>
      </w:rPr>
      <w:t xml:space="preserve"> (</w:t>
    </w:r>
    <w:r>
      <w:rPr>
        <w:sz w:val="16"/>
        <w:szCs w:val="16"/>
        <w:lang w:val="es-ES_tradnl"/>
      </w:rPr>
      <w:t>400530)</w:t>
    </w:r>
    <w:r w:rsidRPr="00081D6E">
      <w:rPr>
        <w:sz w:val="16"/>
        <w:szCs w:val="16"/>
        <w:lang w:val="es-ES_tradnl"/>
      </w:rPr>
      <w:tab/>
    </w:r>
    <w:r w:rsidRPr="00081D6E">
      <w:rPr>
        <w:sz w:val="16"/>
        <w:szCs w:val="16"/>
      </w:rPr>
      <w:fldChar w:fldCharType="begin"/>
    </w:r>
    <w:r w:rsidRPr="00081D6E">
      <w:rPr>
        <w:sz w:val="16"/>
        <w:szCs w:val="16"/>
      </w:rPr>
      <w:instrText xml:space="preserve"> savedate \@ dd.MM.yy </w:instrText>
    </w:r>
    <w:r w:rsidRPr="00081D6E">
      <w:rPr>
        <w:sz w:val="16"/>
        <w:szCs w:val="16"/>
      </w:rPr>
      <w:fldChar w:fldCharType="separate"/>
    </w:r>
    <w:r w:rsidR="00FB43AD">
      <w:rPr>
        <w:noProof/>
        <w:sz w:val="16"/>
        <w:szCs w:val="16"/>
      </w:rPr>
      <w:t>24.06.16</w:t>
    </w:r>
    <w:r w:rsidRPr="00081D6E">
      <w:rPr>
        <w:sz w:val="16"/>
        <w:szCs w:val="16"/>
      </w:rPr>
      <w:fldChar w:fldCharType="end"/>
    </w:r>
    <w:r w:rsidRPr="00081D6E">
      <w:rPr>
        <w:sz w:val="16"/>
        <w:szCs w:val="16"/>
        <w:lang w:val="es-ES_tradnl"/>
      </w:rPr>
      <w:tab/>
    </w:r>
    <w:r w:rsidRPr="00081D6E">
      <w:rPr>
        <w:sz w:val="16"/>
        <w:szCs w:val="16"/>
      </w:rPr>
      <w:fldChar w:fldCharType="begin"/>
    </w:r>
    <w:r w:rsidRPr="00081D6E">
      <w:rPr>
        <w:sz w:val="16"/>
        <w:szCs w:val="16"/>
      </w:rPr>
      <w:instrText xml:space="preserve"> printdate \@ dd.MM.yy </w:instrText>
    </w:r>
    <w:r w:rsidRPr="00081D6E">
      <w:rPr>
        <w:sz w:val="16"/>
        <w:szCs w:val="16"/>
      </w:rPr>
      <w:fldChar w:fldCharType="separate"/>
    </w:r>
    <w:r w:rsidR="00FB43AD">
      <w:rPr>
        <w:noProof/>
        <w:sz w:val="16"/>
        <w:szCs w:val="16"/>
      </w:rPr>
      <w:t>24.06.16</w:t>
    </w:r>
    <w:r w:rsidRPr="00081D6E">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081D6E" w:rsidRDefault="00081D6E" w:rsidP="00D930CF">
    <w:pPr>
      <w:pStyle w:val="Footer"/>
      <w:tabs>
        <w:tab w:val="clear" w:pos="4320"/>
        <w:tab w:val="center" w:pos="7088"/>
        <w:tab w:val="left" w:pos="9781"/>
      </w:tabs>
      <w:rPr>
        <w:sz w:val="16"/>
        <w:szCs w:val="16"/>
        <w:lang w:val="es-ES_tradnl"/>
      </w:rPr>
    </w:pPr>
    <w:r w:rsidRPr="00081D6E">
      <w:rPr>
        <w:sz w:val="16"/>
        <w:szCs w:val="16"/>
        <w:lang w:val="fr-FR"/>
      </w:rPr>
      <w:fldChar w:fldCharType="begin"/>
    </w:r>
    <w:r w:rsidRPr="00081D6E">
      <w:rPr>
        <w:sz w:val="16"/>
        <w:szCs w:val="16"/>
        <w:lang w:val="es-ES_tradnl"/>
      </w:rPr>
      <w:instrText xml:space="preserve"> FILENAME \p \* MERGEFORMAT </w:instrText>
    </w:r>
    <w:r w:rsidRPr="00081D6E">
      <w:rPr>
        <w:sz w:val="16"/>
        <w:szCs w:val="16"/>
        <w:lang w:val="fr-FR"/>
      </w:rPr>
      <w:fldChar w:fldCharType="separate"/>
    </w:r>
    <w:r w:rsidR="00FB43AD">
      <w:rPr>
        <w:noProof/>
        <w:sz w:val="16"/>
        <w:szCs w:val="16"/>
        <w:lang w:val="es-ES_tradnl"/>
      </w:rPr>
      <w:t>Y:\APP\BR\CIRCS_DMS\CA\200\229\229F.DOCX</w:t>
    </w:r>
    <w:r w:rsidRPr="00081D6E">
      <w:rPr>
        <w:sz w:val="16"/>
        <w:szCs w:val="16"/>
      </w:rPr>
      <w:fldChar w:fldCharType="end"/>
    </w:r>
    <w:r w:rsidRPr="00081D6E">
      <w:rPr>
        <w:sz w:val="16"/>
        <w:szCs w:val="16"/>
        <w:lang w:val="es-ES_tradnl"/>
      </w:rPr>
      <w:t xml:space="preserve"> (</w:t>
    </w:r>
    <w:r>
      <w:rPr>
        <w:sz w:val="16"/>
        <w:szCs w:val="16"/>
        <w:lang w:val="es-ES_tradnl"/>
      </w:rPr>
      <w:t>400530)</w:t>
    </w:r>
    <w:r w:rsidRPr="00081D6E">
      <w:rPr>
        <w:sz w:val="16"/>
        <w:szCs w:val="16"/>
        <w:lang w:val="es-ES_tradnl"/>
      </w:rPr>
      <w:tab/>
    </w:r>
    <w:r w:rsidRPr="00081D6E">
      <w:rPr>
        <w:sz w:val="16"/>
        <w:szCs w:val="16"/>
      </w:rPr>
      <w:fldChar w:fldCharType="begin"/>
    </w:r>
    <w:r w:rsidRPr="00081D6E">
      <w:rPr>
        <w:sz w:val="16"/>
        <w:szCs w:val="16"/>
      </w:rPr>
      <w:instrText xml:space="preserve"> savedate \@ dd.MM.yy </w:instrText>
    </w:r>
    <w:r w:rsidRPr="00081D6E">
      <w:rPr>
        <w:sz w:val="16"/>
        <w:szCs w:val="16"/>
      </w:rPr>
      <w:fldChar w:fldCharType="separate"/>
    </w:r>
    <w:r w:rsidR="00FB43AD">
      <w:rPr>
        <w:noProof/>
        <w:sz w:val="16"/>
        <w:szCs w:val="16"/>
      </w:rPr>
      <w:t>24.06.16</w:t>
    </w:r>
    <w:r w:rsidRPr="00081D6E">
      <w:rPr>
        <w:sz w:val="16"/>
        <w:szCs w:val="16"/>
      </w:rPr>
      <w:fldChar w:fldCharType="end"/>
    </w:r>
    <w:r w:rsidRPr="00081D6E">
      <w:rPr>
        <w:sz w:val="16"/>
        <w:szCs w:val="16"/>
        <w:lang w:val="es-ES_tradnl"/>
      </w:rPr>
      <w:tab/>
    </w:r>
    <w:r w:rsidR="00D930CF">
      <w:rPr>
        <w:sz w:val="16"/>
        <w:szCs w:val="16"/>
        <w:lang w:val="es-ES_tradnl"/>
      </w:rPr>
      <w:tab/>
    </w:r>
    <w:r w:rsidR="00D930CF">
      <w:rPr>
        <w:sz w:val="16"/>
        <w:szCs w:val="16"/>
        <w:lang w:val="es-ES_tradnl"/>
      </w:rPr>
      <w:tab/>
    </w:r>
    <w:r w:rsidR="00D930CF">
      <w:rPr>
        <w:sz w:val="16"/>
        <w:szCs w:val="16"/>
        <w:lang w:val="es-ES_tradnl"/>
      </w:rPr>
      <w:tab/>
    </w:r>
    <w:r w:rsidRPr="00081D6E">
      <w:rPr>
        <w:sz w:val="16"/>
        <w:szCs w:val="16"/>
      </w:rPr>
      <w:fldChar w:fldCharType="begin"/>
    </w:r>
    <w:r w:rsidRPr="00081D6E">
      <w:rPr>
        <w:sz w:val="16"/>
        <w:szCs w:val="16"/>
      </w:rPr>
      <w:instrText xml:space="preserve"> printdate \@ dd.MM.yy </w:instrText>
    </w:r>
    <w:r w:rsidRPr="00081D6E">
      <w:rPr>
        <w:sz w:val="16"/>
        <w:szCs w:val="16"/>
      </w:rPr>
      <w:fldChar w:fldCharType="separate"/>
    </w:r>
    <w:r w:rsidR="00FB43AD">
      <w:rPr>
        <w:noProof/>
        <w:sz w:val="16"/>
        <w:szCs w:val="16"/>
      </w:rPr>
      <w:t>24.06.16</w:t>
    </w:r>
    <w:r w:rsidRPr="00081D6E">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F75790" w:rsidRDefault="00F75790" w:rsidP="00F75790">
    <w:pPr>
      <w:pStyle w:val="Footer"/>
      <w:tabs>
        <w:tab w:val="clear" w:pos="4320"/>
        <w:tab w:val="center" w:pos="5812"/>
      </w:tabs>
      <w:rPr>
        <w:sz w:val="16"/>
        <w:szCs w:val="16"/>
        <w:lang w:val="es-ES_tradnl"/>
      </w:rPr>
    </w:pPr>
    <w:r w:rsidRPr="00F75790">
      <w:rPr>
        <w:sz w:val="16"/>
        <w:szCs w:val="16"/>
      </w:rPr>
      <w:fldChar w:fldCharType="begin"/>
    </w:r>
    <w:r w:rsidRPr="00F75790">
      <w:rPr>
        <w:sz w:val="16"/>
        <w:szCs w:val="16"/>
        <w:lang w:val="es-ES_tradnl"/>
      </w:rPr>
      <w:instrText xml:space="preserve"> FILENAME \p  \* MERGEFORMAT </w:instrText>
    </w:r>
    <w:r w:rsidRPr="00F75790">
      <w:rPr>
        <w:sz w:val="16"/>
        <w:szCs w:val="16"/>
      </w:rPr>
      <w:fldChar w:fldCharType="separate"/>
    </w:r>
    <w:r w:rsidR="00FB43AD">
      <w:rPr>
        <w:noProof/>
        <w:sz w:val="16"/>
        <w:szCs w:val="16"/>
        <w:lang w:val="es-ES_tradnl"/>
      </w:rPr>
      <w:t>Y:\APP\BR\CIRCS_DMS\CA\200\229\229F.DOCX</w:t>
    </w:r>
    <w:r w:rsidRPr="00F75790">
      <w:rPr>
        <w:noProof/>
        <w:sz w:val="16"/>
        <w:szCs w:val="16"/>
      </w:rPr>
      <w:fldChar w:fldCharType="end"/>
    </w:r>
    <w:r w:rsidRPr="00F75790">
      <w:rPr>
        <w:noProof/>
        <w:sz w:val="16"/>
        <w:szCs w:val="16"/>
        <w:lang w:val="es-ES_tradnl"/>
      </w:rPr>
      <w:t xml:space="preserve"> (400530)</w:t>
    </w:r>
    <w:r w:rsidRPr="00F75790">
      <w:rPr>
        <w:noProof/>
        <w:sz w:val="16"/>
        <w:szCs w:val="16"/>
        <w:lang w:val="es-ES_tradnl"/>
      </w:rPr>
      <w:tab/>
    </w:r>
    <w:r w:rsidRPr="00F75790">
      <w:rPr>
        <w:sz w:val="16"/>
        <w:szCs w:val="16"/>
      </w:rPr>
      <w:fldChar w:fldCharType="begin"/>
    </w:r>
    <w:r w:rsidRPr="00F75790">
      <w:rPr>
        <w:sz w:val="16"/>
        <w:szCs w:val="16"/>
      </w:rPr>
      <w:instrText xml:space="preserve"> SAVEDATE \@ DD.MM.YY </w:instrText>
    </w:r>
    <w:r w:rsidRPr="00F75790">
      <w:rPr>
        <w:sz w:val="16"/>
        <w:szCs w:val="16"/>
      </w:rPr>
      <w:fldChar w:fldCharType="separate"/>
    </w:r>
    <w:r w:rsidR="00FB43AD">
      <w:rPr>
        <w:noProof/>
        <w:sz w:val="16"/>
        <w:szCs w:val="16"/>
      </w:rPr>
      <w:t>24.06.16</w:t>
    </w:r>
    <w:r w:rsidRPr="00F75790">
      <w:rPr>
        <w:sz w:val="16"/>
        <w:szCs w:val="16"/>
      </w:rPr>
      <w:fldChar w:fldCharType="end"/>
    </w:r>
    <w:r w:rsidRPr="00F75790">
      <w:rPr>
        <w:sz w:val="16"/>
        <w:szCs w:val="16"/>
        <w:lang w:val="es-ES_tradnl"/>
      </w:rPr>
      <w:tab/>
    </w:r>
    <w:r w:rsidRPr="00F75790">
      <w:rPr>
        <w:sz w:val="16"/>
        <w:szCs w:val="16"/>
      </w:rPr>
      <w:fldChar w:fldCharType="begin"/>
    </w:r>
    <w:r w:rsidRPr="00F75790">
      <w:rPr>
        <w:sz w:val="16"/>
        <w:szCs w:val="16"/>
      </w:rPr>
      <w:instrText xml:space="preserve"> PRINTDATE \@ DD.MM.YY </w:instrText>
    </w:r>
    <w:r w:rsidRPr="00F75790">
      <w:rPr>
        <w:sz w:val="16"/>
        <w:szCs w:val="16"/>
      </w:rPr>
      <w:fldChar w:fldCharType="separate"/>
    </w:r>
    <w:r w:rsidR="00FB43AD">
      <w:rPr>
        <w:noProof/>
        <w:sz w:val="16"/>
        <w:szCs w:val="16"/>
      </w:rPr>
      <w:t>24.06.16</w:t>
    </w:r>
    <w:r w:rsidRPr="00F75790">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4A0" w:rsidRPr="00081D6E" w:rsidRDefault="002C04A0">
    <w:pPr>
      <w:pStyle w:val="Footer"/>
      <w:rPr>
        <w:sz w:val="16"/>
        <w:szCs w:val="16"/>
        <w:lang w:val="es-ES_tradnl"/>
      </w:rPr>
    </w:pPr>
    <w:r w:rsidRPr="00081D6E">
      <w:rPr>
        <w:sz w:val="16"/>
        <w:szCs w:val="16"/>
        <w:lang w:val="fr-FR"/>
      </w:rPr>
      <w:fldChar w:fldCharType="begin"/>
    </w:r>
    <w:r w:rsidRPr="00081D6E">
      <w:rPr>
        <w:sz w:val="16"/>
        <w:szCs w:val="16"/>
        <w:lang w:val="es-ES_tradnl"/>
      </w:rPr>
      <w:instrText xml:space="preserve"> FILENAME \p \* MERGEFORMAT </w:instrText>
    </w:r>
    <w:r w:rsidRPr="00081D6E">
      <w:rPr>
        <w:sz w:val="16"/>
        <w:szCs w:val="16"/>
        <w:lang w:val="fr-FR"/>
      </w:rPr>
      <w:fldChar w:fldCharType="separate"/>
    </w:r>
    <w:r w:rsidR="00FB43AD">
      <w:rPr>
        <w:noProof/>
        <w:sz w:val="16"/>
        <w:szCs w:val="16"/>
        <w:lang w:val="es-ES_tradnl"/>
      </w:rPr>
      <w:t>Y:\APP\BR\CIRCS_DMS\CA\200\229\229F.DOCX</w:t>
    </w:r>
    <w:r w:rsidRPr="00081D6E">
      <w:rPr>
        <w:sz w:val="16"/>
        <w:szCs w:val="16"/>
      </w:rPr>
      <w:fldChar w:fldCharType="end"/>
    </w:r>
    <w:r w:rsidRPr="00081D6E">
      <w:rPr>
        <w:sz w:val="16"/>
        <w:szCs w:val="16"/>
        <w:lang w:val="es-ES_tradnl"/>
      </w:rPr>
      <w:t xml:space="preserve"> (</w:t>
    </w:r>
    <w:r>
      <w:rPr>
        <w:sz w:val="16"/>
        <w:szCs w:val="16"/>
        <w:lang w:val="es-ES_tradnl"/>
      </w:rPr>
      <w:t>400530)</w:t>
    </w:r>
    <w:r w:rsidRPr="00081D6E">
      <w:rPr>
        <w:sz w:val="16"/>
        <w:szCs w:val="16"/>
        <w:lang w:val="es-ES_tradnl"/>
      </w:rPr>
      <w:tab/>
    </w:r>
    <w:r w:rsidRPr="00081D6E">
      <w:rPr>
        <w:sz w:val="16"/>
        <w:szCs w:val="16"/>
      </w:rPr>
      <w:fldChar w:fldCharType="begin"/>
    </w:r>
    <w:r w:rsidRPr="00081D6E">
      <w:rPr>
        <w:sz w:val="16"/>
        <w:szCs w:val="16"/>
      </w:rPr>
      <w:instrText xml:space="preserve"> savedate \@ dd.MM.yy </w:instrText>
    </w:r>
    <w:r w:rsidRPr="00081D6E">
      <w:rPr>
        <w:sz w:val="16"/>
        <w:szCs w:val="16"/>
      </w:rPr>
      <w:fldChar w:fldCharType="separate"/>
    </w:r>
    <w:r w:rsidR="00FB43AD">
      <w:rPr>
        <w:noProof/>
        <w:sz w:val="16"/>
        <w:szCs w:val="16"/>
      </w:rPr>
      <w:t>24.06.16</w:t>
    </w:r>
    <w:r w:rsidRPr="00081D6E">
      <w:rPr>
        <w:sz w:val="16"/>
        <w:szCs w:val="16"/>
      </w:rPr>
      <w:fldChar w:fldCharType="end"/>
    </w:r>
    <w:r w:rsidRPr="00081D6E">
      <w:rPr>
        <w:sz w:val="16"/>
        <w:szCs w:val="16"/>
        <w:lang w:val="es-ES_tradnl"/>
      </w:rPr>
      <w:tab/>
    </w:r>
    <w:r w:rsidRPr="00081D6E">
      <w:rPr>
        <w:sz w:val="16"/>
        <w:szCs w:val="16"/>
      </w:rPr>
      <w:fldChar w:fldCharType="begin"/>
    </w:r>
    <w:r w:rsidRPr="00081D6E">
      <w:rPr>
        <w:sz w:val="16"/>
        <w:szCs w:val="16"/>
      </w:rPr>
      <w:instrText xml:space="preserve"> printdate \@ dd.MM.yy </w:instrText>
    </w:r>
    <w:r w:rsidRPr="00081D6E">
      <w:rPr>
        <w:sz w:val="16"/>
        <w:szCs w:val="16"/>
      </w:rPr>
      <w:fldChar w:fldCharType="separate"/>
    </w:r>
    <w:r w:rsidR="00FB43AD">
      <w:rPr>
        <w:noProof/>
        <w:sz w:val="16"/>
        <w:szCs w:val="16"/>
      </w:rPr>
      <w:t>24.06.16</w:t>
    </w:r>
    <w:r w:rsidRPr="00081D6E">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EEC" w:rsidRPr="00BE6EEC" w:rsidRDefault="00BE6EEC" w:rsidP="00BE6EEC">
    <w:pPr>
      <w:pStyle w:val="Footer"/>
      <w:rPr>
        <w:sz w:val="16"/>
        <w:szCs w:val="16"/>
        <w:lang w:val="es-ES_tradnl"/>
      </w:rPr>
    </w:pPr>
    <w:r w:rsidRPr="00081D6E">
      <w:rPr>
        <w:sz w:val="16"/>
        <w:szCs w:val="16"/>
        <w:lang w:val="fr-FR"/>
      </w:rPr>
      <w:fldChar w:fldCharType="begin"/>
    </w:r>
    <w:r w:rsidRPr="00081D6E">
      <w:rPr>
        <w:sz w:val="16"/>
        <w:szCs w:val="16"/>
        <w:lang w:val="es-ES_tradnl"/>
      </w:rPr>
      <w:instrText xml:space="preserve"> FILENAME \p \* MERGEFORMAT </w:instrText>
    </w:r>
    <w:r w:rsidRPr="00081D6E">
      <w:rPr>
        <w:sz w:val="16"/>
        <w:szCs w:val="16"/>
        <w:lang w:val="fr-FR"/>
      </w:rPr>
      <w:fldChar w:fldCharType="separate"/>
    </w:r>
    <w:r w:rsidR="00FB43AD">
      <w:rPr>
        <w:noProof/>
        <w:sz w:val="16"/>
        <w:szCs w:val="16"/>
        <w:lang w:val="es-ES_tradnl"/>
      </w:rPr>
      <w:t>Y:\APP\BR\CIRCS_DMS\CA\200\229\229F.DOCX</w:t>
    </w:r>
    <w:r w:rsidRPr="00081D6E">
      <w:rPr>
        <w:sz w:val="16"/>
        <w:szCs w:val="16"/>
      </w:rPr>
      <w:fldChar w:fldCharType="end"/>
    </w:r>
    <w:r w:rsidRPr="00081D6E">
      <w:rPr>
        <w:sz w:val="16"/>
        <w:szCs w:val="16"/>
        <w:lang w:val="es-ES_tradnl"/>
      </w:rPr>
      <w:t xml:space="preserve"> (</w:t>
    </w:r>
    <w:r>
      <w:rPr>
        <w:sz w:val="16"/>
        <w:szCs w:val="16"/>
        <w:lang w:val="es-ES_tradnl"/>
      </w:rPr>
      <w:t>400530)</w:t>
    </w:r>
    <w:r w:rsidRPr="00081D6E">
      <w:rPr>
        <w:sz w:val="16"/>
        <w:szCs w:val="16"/>
        <w:lang w:val="es-ES_tradnl"/>
      </w:rPr>
      <w:tab/>
    </w:r>
    <w:r w:rsidRPr="00081D6E">
      <w:rPr>
        <w:sz w:val="16"/>
        <w:szCs w:val="16"/>
      </w:rPr>
      <w:fldChar w:fldCharType="begin"/>
    </w:r>
    <w:r w:rsidRPr="00081D6E">
      <w:rPr>
        <w:sz w:val="16"/>
        <w:szCs w:val="16"/>
      </w:rPr>
      <w:instrText xml:space="preserve"> savedate \@ dd.MM.yy </w:instrText>
    </w:r>
    <w:r w:rsidRPr="00081D6E">
      <w:rPr>
        <w:sz w:val="16"/>
        <w:szCs w:val="16"/>
      </w:rPr>
      <w:fldChar w:fldCharType="separate"/>
    </w:r>
    <w:r w:rsidR="00FB43AD">
      <w:rPr>
        <w:noProof/>
        <w:sz w:val="16"/>
        <w:szCs w:val="16"/>
      </w:rPr>
      <w:t>24.06.16</w:t>
    </w:r>
    <w:r w:rsidRPr="00081D6E">
      <w:rPr>
        <w:sz w:val="16"/>
        <w:szCs w:val="16"/>
      </w:rPr>
      <w:fldChar w:fldCharType="end"/>
    </w:r>
    <w:r w:rsidRPr="00081D6E">
      <w:rPr>
        <w:sz w:val="16"/>
        <w:szCs w:val="16"/>
        <w:lang w:val="es-ES_tradnl"/>
      </w:rPr>
      <w:tab/>
    </w:r>
    <w:r w:rsidRPr="00081D6E">
      <w:rPr>
        <w:sz w:val="16"/>
        <w:szCs w:val="16"/>
      </w:rPr>
      <w:fldChar w:fldCharType="begin"/>
    </w:r>
    <w:r w:rsidRPr="00081D6E">
      <w:rPr>
        <w:sz w:val="16"/>
        <w:szCs w:val="16"/>
      </w:rPr>
      <w:instrText xml:space="preserve"> printdate \@ dd.MM.yy </w:instrText>
    </w:r>
    <w:r w:rsidRPr="00081D6E">
      <w:rPr>
        <w:sz w:val="16"/>
        <w:szCs w:val="16"/>
      </w:rPr>
      <w:fldChar w:fldCharType="separate"/>
    </w:r>
    <w:r w:rsidR="00FB43AD">
      <w:rPr>
        <w:noProof/>
        <w:sz w:val="16"/>
        <w:szCs w:val="16"/>
      </w:rPr>
      <w:t>24.06.16</w:t>
    </w:r>
    <w:r w:rsidRPr="00081D6E">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2C04A0" w:rsidRDefault="002C04A0" w:rsidP="002C04A0">
    <w:pPr>
      <w:pStyle w:val="Footer"/>
      <w:rPr>
        <w:sz w:val="16"/>
        <w:szCs w:val="16"/>
        <w:lang w:val="es-ES_tradnl"/>
      </w:rPr>
    </w:pPr>
    <w:r w:rsidRPr="00081D6E">
      <w:rPr>
        <w:sz w:val="16"/>
        <w:szCs w:val="16"/>
        <w:lang w:val="fr-FR"/>
      </w:rPr>
      <w:fldChar w:fldCharType="begin"/>
    </w:r>
    <w:r w:rsidRPr="00081D6E">
      <w:rPr>
        <w:sz w:val="16"/>
        <w:szCs w:val="16"/>
        <w:lang w:val="es-ES_tradnl"/>
      </w:rPr>
      <w:instrText xml:space="preserve"> FILENAME \p \* MERGEFORMAT </w:instrText>
    </w:r>
    <w:r w:rsidRPr="00081D6E">
      <w:rPr>
        <w:sz w:val="16"/>
        <w:szCs w:val="16"/>
        <w:lang w:val="fr-FR"/>
      </w:rPr>
      <w:fldChar w:fldCharType="separate"/>
    </w:r>
    <w:r w:rsidR="00FB43AD">
      <w:rPr>
        <w:noProof/>
        <w:sz w:val="16"/>
        <w:szCs w:val="16"/>
        <w:lang w:val="es-ES_tradnl"/>
      </w:rPr>
      <w:t>Y:\APP\BR\CIRCS_DMS\CA\200\229\229F.DOCX</w:t>
    </w:r>
    <w:r w:rsidRPr="00081D6E">
      <w:rPr>
        <w:sz w:val="16"/>
        <w:szCs w:val="16"/>
      </w:rPr>
      <w:fldChar w:fldCharType="end"/>
    </w:r>
    <w:r w:rsidRPr="00081D6E">
      <w:rPr>
        <w:sz w:val="16"/>
        <w:szCs w:val="16"/>
        <w:lang w:val="es-ES_tradnl"/>
      </w:rPr>
      <w:t xml:space="preserve"> (</w:t>
    </w:r>
    <w:r>
      <w:rPr>
        <w:sz w:val="16"/>
        <w:szCs w:val="16"/>
        <w:lang w:val="es-ES_tradnl"/>
      </w:rPr>
      <w:t>400530)</w:t>
    </w:r>
    <w:r w:rsidRPr="00081D6E">
      <w:rPr>
        <w:sz w:val="16"/>
        <w:szCs w:val="16"/>
        <w:lang w:val="es-ES_tradnl"/>
      </w:rPr>
      <w:tab/>
    </w:r>
    <w:r w:rsidRPr="00081D6E">
      <w:rPr>
        <w:sz w:val="16"/>
        <w:szCs w:val="16"/>
      </w:rPr>
      <w:fldChar w:fldCharType="begin"/>
    </w:r>
    <w:r w:rsidRPr="00081D6E">
      <w:rPr>
        <w:sz w:val="16"/>
        <w:szCs w:val="16"/>
      </w:rPr>
      <w:instrText xml:space="preserve"> savedate \@ dd.MM.yy </w:instrText>
    </w:r>
    <w:r w:rsidRPr="00081D6E">
      <w:rPr>
        <w:sz w:val="16"/>
        <w:szCs w:val="16"/>
      </w:rPr>
      <w:fldChar w:fldCharType="separate"/>
    </w:r>
    <w:r w:rsidR="00FB43AD">
      <w:rPr>
        <w:noProof/>
        <w:sz w:val="16"/>
        <w:szCs w:val="16"/>
      </w:rPr>
      <w:t>24.06.16</w:t>
    </w:r>
    <w:r w:rsidRPr="00081D6E">
      <w:rPr>
        <w:sz w:val="16"/>
        <w:szCs w:val="16"/>
      </w:rPr>
      <w:fldChar w:fldCharType="end"/>
    </w:r>
    <w:r w:rsidRPr="00081D6E">
      <w:rPr>
        <w:sz w:val="16"/>
        <w:szCs w:val="16"/>
        <w:lang w:val="es-ES_tradnl"/>
      </w:rPr>
      <w:tab/>
    </w:r>
    <w:r w:rsidRPr="00081D6E">
      <w:rPr>
        <w:sz w:val="16"/>
        <w:szCs w:val="16"/>
      </w:rPr>
      <w:fldChar w:fldCharType="begin"/>
    </w:r>
    <w:r w:rsidRPr="00081D6E">
      <w:rPr>
        <w:sz w:val="16"/>
        <w:szCs w:val="16"/>
      </w:rPr>
      <w:instrText xml:space="preserve"> printdate \@ dd.MM.yy </w:instrText>
    </w:r>
    <w:r w:rsidRPr="00081D6E">
      <w:rPr>
        <w:sz w:val="16"/>
        <w:szCs w:val="16"/>
      </w:rPr>
      <w:fldChar w:fldCharType="separate"/>
    </w:r>
    <w:r w:rsidR="00FB43AD">
      <w:rPr>
        <w:noProof/>
        <w:sz w:val="16"/>
        <w:szCs w:val="16"/>
      </w:rPr>
      <w:t>24.06.16</w:t>
    </w:r>
    <w:r w:rsidRPr="00081D6E">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081D6E" w:rsidRDefault="00081D6E" w:rsidP="00081D6E">
    <w:pPr>
      <w:pStyle w:val="Footer"/>
      <w:tabs>
        <w:tab w:val="clear" w:pos="4320"/>
        <w:tab w:val="center" w:pos="5812"/>
      </w:tabs>
      <w:rPr>
        <w:sz w:val="16"/>
        <w:szCs w:val="16"/>
        <w:lang w:val="es-ES_tradnl"/>
      </w:rPr>
    </w:pPr>
    <w:r w:rsidRPr="00081D6E">
      <w:rPr>
        <w:sz w:val="16"/>
        <w:szCs w:val="16"/>
      </w:rPr>
      <w:fldChar w:fldCharType="begin"/>
    </w:r>
    <w:r w:rsidRPr="00081D6E">
      <w:rPr>
        <w:sz w:val="16"/>
        <w:szCs w:val="16"/>
        <w:lang w:val="es-ES_tradnl"/>
      </w:rPr>
      <w:instrText xml:space="preserve"> FILENAME \p  \* MERGEFORMAT </w:instrText>
    </w:r>
    <w:r w:rsidRPr="00081D6E">
      <w:rPr>
        <w:sz w:val="16"/>
        <w:szCs w:val="16"/>
      </w:rPr>
      <w:fldChar w:fldCharType="separate"/>
    </w:r>
    <w:r w:rsidR="00FB43AD">
      <w:rPr>
        <w:noProof/>
        <w:sz w:val="16"/>
        <w:szCs w:val="16"/>
        <w:lang w:val="es-ES_tradnl"/>
      </w:rPr>
      <w:t>Y:\APP\BR\CIRCS_DMS\CA\200\229\229F.DOCX</w:t>
    </w:r>
    <w:r w:rsidRPr="00081D6E">
      <w:rPr>
        <w:noProof/>
        <w:sz w:val="16"/>
        <w:szCs w:val="16"/>
      </w:rPr>
      <w:fldChar w:fldCharType="end"/>
    </w:r>
    <w:r w:rsidRPr="00081D6E">
      <w:rPr>
        <w:noProof/>
        <w:sz w:val="16"/>
        <w:szCs w:val="16"/>
        <w:lang w:val="es-ES_tradnl"/>
      </w:rPr>
      <w:t xml:space="preserve"> (400530)</w:t>
    </w:r>
    <w:r w:rsidRPr="00081D6E">
      <w:rPr>
        <w:noProof/>
        <w:sz w:val="16"/>
        <w:szCs w:val="16"/>
        <w:lang w:val="es-ES_tradnl"/>
      </w:rPr>
      <w:tab/>
    </w:r>
    <w:r w:rsidRPr="00081D6E">
      <w:rPr>
        <w:sz w:val="16"/>
        <w:szCs w:val="16"/>
      </w:rPr>
      <w:fldChar w:fldCharType="begin"/>
    </w:r>
    <w:r w:rsidRPr="00081D6E">
      <w:rPr>
        <w:sz w:val="16"/>
        <w:szCs w:val="16"/>
      </w:rPr>
      <w:instrText xml:space="preserve"> SAVEDATE \@ DD.MM.YY </w:instrText>
    </w:r>
    <w:r w:rsidRPr="00081D6E">
      <w:rPr>
        <w:sz w:val="16"/>
        <w:szCs w:val="16"/>
      </w:rPr>
      <w:fldChar w:fldCharType="separate"/>
    </w:r>
    <w:r w:rsidR="00FB43AD">
      <w:rPr>
        <w:noProof/>
        <w:sz w:val="16"/>
        <w:szCs w:val="16"/>
      </w:rPr>
      <w:t>24.06.16</w:t>
    </w:r>
    <w:r w:rsidRPr="00081D6E">
      <w:rPr>
        <w:sz w:val="16"/>
        <w:szCs w:val="16"/>
      </w:rPr>
      <w:fldChar w:fldCharType="end"/>
    </w:r>
    <w:r w:rsidRPr="00081D6E">
      <w:rPr>
        <w:sz w:val="16"/>
        <w:szCs w:val="16"/>
        <w:lang w:val="es-ES_tradnl"/>
      </w:rPr>
      <w:tab/>
    </w:r>
    <w:r w:rsidRPr="00081D6E">
      <w:rPr>
        <w:sz w:val="16"/>
        <w:szCs w:val="16"/>
      </w:rPr>
      <w:fldChar w:fldCharType="begin"/>
    </w:r>
    <w:r w:rsidRPr="00081D6E">
      <w:rPr>
        <w:sz w:val="16"/>
        <w:szCs w:val="16"/>
      </w:rPr>
      <w:instrText xml:space="preserve"> PRINTDATE \@ DD.MM.YY </w:instrText>
    </w:r>
    <w:r w:rsidRPr="00081D6E">
      <w:rPr>
        <w:sz w:val="16"/>
        <w:szCs w:val="16"/>
      </w:rPr>
      <w:fldChar w:fldCharType="separate"/>
    </w:r>
    <w:r w:rsidR="00FB43AD">
      <w:rPr>
        <w:noProof/>
        <w:sz w:val="16"/>
        <w:szCs w:val="16"/>
      </w:rPr>
      <w:t>24.06.16</w:t>
    </w:r>
    <w:r w:rsidRPr="00081D6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D6E" w:rsidRDefault="00081D6E">
      <w:r>
        <w:t>____________________</w:t>
      </w:r>
    </w:p>
  </w:footnote>
  <w:footnote w:type="continuationSeparator" w:id="0">
    <w:p w:rsidR="00081D6E" w:rsidRDefault="00081D6E">
      <w:r>
        <w:continuationSeparator/>
      </w:r>
    </w:p>
  </w:footnote>
  <w:footnote w:id="1">
    <w:p w:rsidR="00081D6E" w:rsidRPr="00081D6E" w:rsidRDefault="00081D6E" w:rsidP="00081D6E">
      <w:pPr>
        <w:pStyle w:val="FootnoteText"/>
        <w:rPr>
          <w:lang w:val="fr-CH"/>
        </w:rPr>
      </w:pPr>
      <w:r w:rsidRPr="00EC6EEC">
        <w:rPr>
          <w:rStyle w:val="FootnoteReference"/>
          <w:rFonts w:asciiTheme="minorHAnsi" w:hAnsiTheme="minorHAnsi" w:cstheme="minorHAnsi"/>
        </w:rPr>
        <w:footnoteRef/>
      </w:r>
      <w:r w:rsidRPr="00081D6E">
        <w:rPr>
          <w:rFonts w:asciiTheme="minorHAnsi" w:hAnsiTheme="minorHAnsi" w:cstheme="minorHAnsi"/>
          <w:lang w:val="fr-CH"/>
        </w:rPr>
        <w:t xml:space="preserve"> </w:t>
      </w:r>
      <w:r w:rsidRPr="00081D6E">
        <w:rPr>
          <w:rFonts w:asciiTheme="minorHAnsi" w:hAnsiTheme="minorHAnsi" w:cstheme="minorHAnsi"/>
          <w:lang w:val="fr-CH"/>
        </w:rPr>
        <w:tab/>
      </w:r>
      <w:r w:rsidRPr="00CC2EAC">
        <w:rPr>
          <w:rFonts w:asciiTheme="minorHAnsi" w:hAnsiTheme="minorHAnsi" w:cstheme="minorHAnsi"/>
          <w:lang w:val="fr-CH"/>
        </w:rPr>
        <w:t>Les personnes qui soumettent</w:t>
      </w:r>
      <w:r>
        <w:rPr>
          <w:rFonts w:asciiTheme="minorHAnsi" w:hAnsiTheme="minorHAnsi" w:cstheme="minorHAnsi"/>
          <w:lang w:val="fr-CH"/>
        </w:rPr>
        <w:t xml:space="preserve"> les documents </w:t>
      </w:r>
      <w:r w:rsidRPr="001A56D3">
        <w:rPr>
          <w:rFonts w:asciiTheme="minorHAnsi" w:hAnsiTheme="minorHAnsi" w:cstheme="minorHAnsi"/>
          <w:lang w:val="fr-CH"/>
        </w:rPr>
        <w:t xml:space="preserve">sont seules habilitées à déterminer si les informations en question, ou une partie de ces informations, contiennent des informations qui relèvent de l'une des catégories énumérées </w:t>
      </w:r>
      <w:r>
        <w:rPr>
          <w:rFonts w:asciiTheme="minorHAnsi" w:hAnsiTheme="minorHAnsi" w:cstheme="minorHAnsi"/>
          <w:lang w:val="fr-CH"/>
        </w:rPr>
        <w:t>au § 3.2 de la Politique de l'UIT en matière d'accès à l'information/aux documents</w:t>
      </w:r>
      <w:r w:rsidRPr="001A56D3">
        <w:rPr>
          <w:rFonts w:asciiTheme="minorHAnsi" w:hAnsiTheme="minorHAnsi" w:cstheme="minorHAnsi"/>
          <w:lang w:val="fr-CH"/>
        </w:rPr>
        <w:t xml:space="preserve"> ou ont un caractère sensible et, par conséquent, à indiquer que le document est assujetti à un accès restreint.</w:t>
      </w:r>
      <w:r w:rsidRPr="00081D6E">
        <w:rPr>
          <w:rFonts w:asciiTheme="minorHAnsi" w:hAnsiTheme="minorHAnsi"/>
          <w:szCs w:val="24"/>
          <w:lang w:val="fr-CH"/>
        </w:rPr>
        <w:t xml:space="preserve"> </w:t>
      </w:r>
    </w:p>
  </w:footnote>
  <w:footnote w:id="2">
    <w:p w:rsidR="00081D6E" w:rsidRPr="00081D6E" w:rsidRDefault="00081D6E" w:rsidP="00D930CF">
      <w:pPr>
        <w:pStyle w:val="FootnoteText"/>
        <w:tabs>
          <w:tab w:val="clear" w:pos="255"/>
          <w:tab w:val="left" w:pos="284"/>
        </w:tabs>
        <w:ind w:left="284" w:hanging="284"/>
        <w:jc w:val="left"/>
        <w:rPr>
          <w:lang w:val="fr-CH"/>
        </w:rPr>
      </w:pPr>
      <w:r w:rsidRPr="00081D6E">
        <w:rPr>
          <w:rStyle w:val="FootnoteReference"/>
          <w:lang w:val="fr-CH"/>
        </w:rPr>
        <w:t>*</w:t>
      </w:r>
      <w:r w:rsidRPr="00081D6E">
        <w:rPr>
          <w:lang w:val="fr-CH"/>
        </w:rPr>
        <w:tab/>
        <w:t>Comme indiqué au paragraphe A1.4.3 de l'Annexe 1 de la Résolution UIT</w:t>
      </w:r>
      <w:r w:rsidRPr="00081D6E">
        <w:rPr>
          <w:lang w:val="fr-CH"/>
        </w:rPr>
        <w:noBreakHyphen/>
        <w:t>R 1, le Groupe consultatif des radiocommunications (GCR) adopte ses propres méthodes de travail, conformément au numéro 160G de la Convention.</w:t>
      </w:r>
    </w:p>
  </w:footnote>
  <w:footnote w:id="3">
    <w:p w:rsidR="00081D6E" w:rsidRPr="00081D6E" w:rsidRDefault="00081D6E" w:rsidP="00BE6EEC">
      <w:pPr>
        <w:pStyle w:val="FootnoteText"/>
        <w:tabs>
          <w:tab w:val="clear" w:pos="255"/>
          <w:tab w:val="left" w:pos="284"/>
        </w:tabs>
        <w:spacing w:line="240" w:lineRule="auto"/>
        <w:ind w:left="284" w:hanging="284"/>
        <w:jc w:val="left"/>
        <w:rPr>
          <w:lang w:val="fr-CH"/>
        </w:rPr>
      </w:pPr>
      <w:r w:rsidRPr="00081D6E">
        <w:rPr>
          <w:rStyle w:val="FootnoteReference"/>
          <w:lang w:val="fr-CH"/>
        </w:rPr>
        <w:t>**</w:t>
      </w:r>
      <w:r w:rsidRPr="00081D6E">
        <w:rPr>
          <w:lang w:val="fr-CH"/>
        </w:rPr>
        <w:tab/>
        <w:t>Pour plus de commodité, l'expression «groupe subordonné» et, plus simplement, le terme «groupe» seront utilisés dans le présent document pour décrire diverses entités: groupes de travail, groupes d'action, etc.</w:t>
      </w:r>
    </w:p>
  </w:footnote>
  <w:footnote w:id="4">
    <w:p w:rsidR="00081D6E" w:rsidRPr="00081D6E" w:rsidRDefault="00081D6E" w:rsidP="00081D6E">
      <w:pPr>
        <w:pStyle w:val="FootnoteText"/>
        <w:rPr>
          <w:lang w:val="fr-CH"/>
        </w:rPr>
      </w:pPr>
      <w:r>
        <w:rPr>
          <w:rStyle w:val="FootnoteReference"/>
        </w:rPr>
        <w:footnoteRef/>
      </w:r>
      <w:r>
        <w:rPr>
          <w:lang w:val="fr-CH"/>
        </w:rPr>
        <w:tab/>
      </w:r>
      <w:r w:rsidRPr="00081D6E">
        <w:rPr>
          <w:lang w:val="fr-CH"/>
        </w:rPr>
        <w:t>Les cases et les croix indiquent les liens primaires et secondaires avec les buts.</w:t>
      </w:r>
    </w:p>
  </w:footnote>
  <w:footnote w:id="5">
    <w:p w:rsidR="00081D6E" w:rsidRPr="00081D6E" w:rsidRDefault="00081D6E" w:rsidP="00BA16FB">
      <w:pPr>
        <w:pStyle w:val="FootnoteText"/>
        <w:spacing w:line="240" w:lineRule="auto"/>
        <w:rPr>
          <w:lang w:val="fr-CH"/>
        </w:rPr>
      </w:pPr>
      <w:r>
        <w:rPr>
          <w:rStyle w:val="FootnoteReference"/>
        </w:rPr>
        <w:footnoteRef/>
      </w:r>
      <w:r w:rsidRPr="00274457">
        <w:rPr>
          <w:lang w:val="fr-CH"/>
        </w:rPr>
        <w:tab/>
      </w:r>
      <w:r w:rsidRPr="00081D6E">
        <w:rPr>
          <w:lang w:val="fr-CH"/>
        </w:rPr>
        <w:t>Les pilotes des risques seront désignés par le Directeur du Bureau.</w:t>
      </w:r>
    </w:p>
  </w:footnote>
  <w:footnote w:id="6">
    <w:p w:rsidR="00081D6E" w:rsidRPr="00081D6E" w:rsidRDefault="00081D6E" w:rsidP="00081D6E">
      <w:pPr>
        <w:pStyle w:val="FootnoteText"/>
        <w:rPr>
          <w:lang w:val="fr-CH"/>
        </w:rPr>
      </w:pPr>
      <w:r w:rsidRPr="003641E7">
        <w:rPr>
          <w:rStyle w:val="FootnoteReference"/>
        </w:rPr>
        <w:footnoteRef/>
      </w:r>
      <w:r w:rsidRPr="0063610C">
        <w:rPr>
          <w:lang w:val="fr-CH"/>
        </w:rPr>
        <w:t xml:space="preserve"> </w:t>
      </w:r>
      <w:r>
        <w:rPr>
          <w:lang w:val="fr-CH"/>
        </w:rPr>
        <w:tab/>
      </w:r>
      <w:r w:rsidRPr="00081D6E">
        <w:rPr>
          <w:lang w:val="fr-CH"/>
        </w:rPr>
        <w:t>Estimations, en particulier pour la période 2018-2019. L'affectation des ressources pour les prochaines années pourra être modifiée à la suite de décisions de la haute direction.</w:t>
      </w:r>
    </w:p>
  </w:footnote>
  <w:footnote w:id="7">
    <w:p w:rsidR="00081D6E" w:rsidRPr="00BC0205" w:rsidRDefault="00081D6E" w:rsidP="00081D6E">
      <w:pPr>
        <w:pStyle w:val="FootnoteText"/>
        <w:rPr>
          <w:lang w:val="fr-CH"/>
        </w:rPr>
      </w:pPr>
      <w:r>
        <w:rPr>
          <w:rStyle w:val="FootnoteReference"/>
        </w:rPr>
        <w:footnoteRef/>
      </w:r>
      <w:r w:rsidRPr="00081D6E">
        <w:rPr>
          <w:lang w:val="fr-CH"/>
        </w:rPr>
        <w:t xml:space="preserve"> </w:t>
      </w:r>
      <w:r>
        <w:rPr>
          <w:lang w:val="fr-CH"/>
        </w:rPr>
        <w:tab/>
        <w:t>«n/d» signifie que les valeurs de ces indicateurs ne sont pas encore disponibles.</w:t>
      </w:r>
    </w:p>
  </w:footnote>
  <w:footnote w:id="8">
    <w:p w:rsidR="00081D6E" w:rsidRPr="00081D6E" w:rsidRDefault="00081D6E" w:rsidP="00081D6E">
      <w:pPr>
        <w:pStyle w:val="FootnoteText"/>
        <w:rPr>
          <w:lang w:val="fr-CH"/>
        </w:rPr>
      </w:pPr>
      <w:r w:rsidRPr="003641E7">
        <w:rPr>
          <w:rStyle w:val="FootnoteReference"/>
        </w:rPr>
        <w:footnoteRef/>
      </w:r>
      <w:r w:rsidRPr="000C2AA0">
        <w:rPr>
          <w:lang w:val="fr-CH"/>
        </w:rPr>
        <w:tab/>
      </w:r>
      <w:r w:rsidRPr="00081D6E">
        <w:rPr>
          <w:lang w:val="fr-CH"/>
        </w:rPr>
        <w:t>Estimations, en particulier pour la période 2018-2019. L'affectation des ressources pour les prochaines années pourra être modifiée à la suite de décisions de la haute direction.</w:t>
      </w:r>
    </w:p>
  </w:footnote>
  <w:footnote w:id="9">
    <w:p w:rsidR="00081D6E" w:rsidRPr="00081D6E" w:rsidRDefault="00081D6E" w:rsidP="00081D6E">
      <w:pPr>
        <w:pStyle w:val="FootnoteText"/>
        <w:rPr>
          <w:lang w:val="fr-CH"/>
        </w:rPr>
      </w:pPr>
      <w:r w:rsidRPr="003641E7">
        <w:rPr>
          <w:rStyle w:val="FootnoteReference"/>
        </w:rPr>
        <w:footnoteRef/>
      </w:r>
      <w:r w:rsidRPr="00B200E4">
        <w:rPr>
          <w:lang w:val="fr-CH"/>
        </w:rPr>
        <w:t xml:space="preserve"> </w:t>
      </w:r>
      <w:r w:rsidRPr="00B200E4">
        <w:rPr>
          <w:lang w:val="fr-CH"/>
        </w:rPr>
        <w:tab/>
      </w:r>
      <w:r w:rsidRPr="00081D6E">
        <w:rPr>
          <w:lang w:val="fr-CH"/>
        </w:rPr>
        <w:t>Estimations, en particulier pour la période 2018-2019.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2569F7" w:rsidRDefault="00081D6E"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98194153"/>
      <w:docPartObj>
        <w:docPartGallery w:val="Page Numbers (Top of Page)"/>
        <w:docPartUnique/>
      </w:docPartObj>
    </w:sdtPr>
    <w:sdtEndPr>
      <w:rPr>
        <w:noProof/>
      </w:rPr>
    </w:sdtEndPr>
    <w:sdtContent>
      <w:p w:rsidR="002C04A0" w:rsidRPr="00F75790" w:rsidRDefault="002C04A0" w:rsidP="002C04A0">
        <w:pPr>
          <w:pStyle w:val="Header"/>
          <w:jc w:val="center"/>
          <w:rPr>
            <w:sz w:val="18"/>
            <w:szCs w:val="18"/>
          </w:rPr>
        </w:pPr>
        <w:r w:rsidRPr="00F75790">
          <w:rPr>
            <w:sz w:val="18"/>
            <w:szCs w:val="18"/>
          </w:rPr>
          <w:fldChar w:fldCharType="begin"/>
        </w:r>
        <w:r w:rsidRPr="00F75790">
          <w:rPr>
            <w:sz w:val="18"/>
            <w:szCs w:val="18"/>
          </w:rPr>
          <w:instrText xml:space="preserve"> PAGE   \* MERGEFORMAT </w:instrText>
        </w:r>
        <w:r w:rsidRPr="00F75790">
          <w:rPr>
            <w:sz w:val="18"/>
            <w:szCs w:val="18"/>
          </w:rPr>
          <w:fldChar w:fldCharType="separate"/>
        </w:r>
        <w:r w:rsidR="00FB43AD">
          <w:rPr>
            <w:noProof/>
            <w:sz w:val="18"/>
            <w:szCs w:val="18"/>
          </w:rPr>
          <w:t>28</w:t>
        </w:r>
        <w:r w:rsidRPr="00F75790">
          <w:rPr>
            <w:noProof/>
            <w:sz w:val="18"/>
            <w:szCs w:val="18"/>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081D6E" w:rsidRDefault="00081D6E" w:rsidP="00081D6E">
    <w:pPr>
      <w:pStyle w:val="Header"/>
      <w:jc w:val="center"/>
      <w:rPr>
        <w:sz w:val="18"/>
        <w:szCs w:val="18"/>
      </w:rPr>
    </w:pPr>
    <w:r w:rsidRPr="00081D6E">
      <w:rPr>
        <w:sz w:val="18"/>
        <w:szCs w:val="18"/>
      </w:rPr>
      <w:fldChar w:fldCharType="begin"/>
    </w:r>
    <w:r w:rsidRPr="00081D6E">
      <w:rPr>
        <w:sz w:val="18"/>
        <w:szCs w:val="18"/>
      </w:rPr>
      <w:instrText xml:space="preserve"> PAGE </w:instrText>
    </w:r>
    <w:r w:rsidRPr="00081D6E">
      <w:rPr>
        <w:sz w:val="18"/>
        <w:szCs w:val="18"/>
      </w:rPr>
      <w:fldChar w:fldCharType="separate"/>
    </w:r>
    <w:r w:rsidR="00FB43AD">
      <w:rPr>
        <w:noProof/>
        <w:sz w:val="18"/>
        <w:szCs w:val="18"/>
      </w:rPr>
      <w:t>44</w:t>
    </w:r>
    <w:r w:rsidRPr="00081D6E">
      <w:rPr>
        <w:noProof/>
        <w:sz w:val="18"/>
        <w:szCs w:val="1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31315253"/>
      <w:docPartObj>
        <w:docPartGallery w:val="Page Numbers (Top of Page)"/>
        <w:docPartUnique/>
      </w:docPartObj>
    </w:sdtPr>
    <w:sdtEndPr>
      <w:rPr>
        <w:noProof/>
      </w:rPr>
    </w:sdtEndPr>
    <w:sdtContent>
      <w:p w:rsidR="00081D6E" w:rsidRPr="00081D6E" w:rsidRDefault="00081D6E">
        <w:pPr>
          <w:pStyle w:val="Header"/>
          <w:jc w:val="center"/>
          <w:rPr>
            <w:sz w:val="18"/>
            <w:szCs w:val="18"/>
          </w:rPr>
        </w:pPr>
        <w:r w:rsidRPr="00081D6E">
          <w:rPr>
            <w:sz w:val="18"/>
            <w:szCs w:val="18"/>
          </w:rPr>
          <w:fldChar w:fldCharType="begin"/>
        </w:r>
        <w:r w:rsidRPr="00081D6E">
          <w:rPr>
            <w:sz w:val="18"/>
            <w:szCs w:val="18"/>
          </w:rPr>
          <w:instrText xml:space="preserve"> PAGE   \* MERGEFORMAT </w:instrText>
        </w:r>
        <w:r w:rsidRPr="00081D6E">
          <w:rPr>
            <w:sz w:val="18"/>
            <w:szCs w:val="18"/>
          </w:rPr>
          <w:fldChar w:fldCharType="separate"/>
        </w:r>
        <w:r w:rsidR="00FB43AD">
          <w:rPr>
            <w:noProof/>
            <w:sz w:val="18"/>
            <w:szCs w:val="18"/>
          </w:rPr>
          <w:t>32</w:t>
        </w:r>
        <w:r w:rsidRPr="00081D6E">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D6E" w:rsidRPr="00AF3325" w:rsidRDefault="00081D6E">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42" w:type="dxa"/>
      <w:tblLook w:val="04A0" w:firstRow="1" w:lastRow="0" w:firstColumn="1" w:lastColumn="0" w:noHBand="0" w:noVBand="1"/>
    </w:tblPr>
    <w:tblGrid>
      <w:gridCol w:w="5031"/>
      <w:gridCol w:w="4892"/>
    </w:tblGrid>
    <w:tr w:rsidR="00081D6E" w:rsidTr="00C236AF">
      <w:tc>
        <w:tcPr>
          <w:tcW w:w="5031" w:type="dxa"/>
        </w:tcPr>
        <w:p w:rsidR="00081D6E" w:rsidRDefault="00081D6E"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81D6E" w:rsidRDefault="00081D6E"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081D6E" w:rsidRPr="00C236AF" w:rsidRDefault="00081D6E" w:rsidP="00C236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7458943"/>
      <w:docPartObj>
        <w:docPartGallery w:val="Page Numbers (Top of Page)"/>
        <w:docPartUnique/>
      </w:docPartObj>
    </w:sdtPr>
    <w:sdtEndPr>
      <w:rPr>
        <w:noProof/>
      </w:rPr>
    </w:sdtEndPr>
    <w:sdtContent>
      <w:p w:rsidR="00D930CF" w:rsidRPr="00F75790" w:rsidRDefault="00D930CF" w:rsidP="00D930CF">
        <w:pPr>
          <w:pStyle w:val="Header"/>
          <w:jc w:val="center"/>
          <w:rPr>
            <w:sz w:val="18"/>
            <w:szCs w:val="18"/>
          </w:rPr>
        </w:pPr>
        <w:r w:rsidRPr="00F75790">
          <w:rPr>
            <w:sz w:val="18"/>
            <w:szCs w:val="18"/>
          </w:rPr>
          <w:fldChar w:fldCharType="begin"/>
        </w:r>
        <w:r w:rsidRPr="00F75790">
          <w:rPr>
            <w:sz w:val="18"/>
            <w:szCs w:val="18"/>
          </w:rPr>
          <w:instrText xml:space="preserve"> PAGE   \* MERGEFORMAT </w:instrText>
        </w:r>
        <w:r w:rsidRPr="00F75790">
          <w:rPr>
            <w:sz w:val="18"/>
            <w:szCs w:val="18"/>
          </w:rPr>
          <w:fldChar w:fldCharType="separate"/>
        </w:r>
        <w:r w:rsidR="00FB43AD">
          <w:rPr>
            <w:noProof/>
            <w:sz w:val="18"/>
            <w:szCs w:val="18"/>
          </w:rPr>
          <w:t>10</w:t>
        </w:r>
        <w:r w:rsidRPr="00F75790">
          <w:rPr>
            <w:noProof/>
            <w:sz w:val="18"/>
            <w:szCs w:val="18"/>
          </w:rPr>
          <w:fldChar w:fldCharType="end"/>
        </w:r>
      </w:p>
    </w:sdtContent>
  </w:sdt>
  <w:p w:rsidR="00081D6E" w:rsidRPr="00D930CF" w:rsidRDefault="00081D6E" w:rsidP="00D930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95449724"/>
      <w:docPartObj>
        <w:docPartGallery w:val="Page Numbers (Top of Page)"/>
        <w:docPartUnique/>
      </w:docPartObj>
    </w:sdtPr>
    <w:sdtEndPr>
      <w:rPr>
        <w:noProof/>
      </w:rPr>
    </w:sdtEndPr>
    <w:sdtContent>
      <w:p w:rsidR="00F75790" w:rsidRPr="00F75790" w:rsidRDefault="00F75790">
        <w:pPr>
          <w:pStyle w:val="Header"/>
          <w:jc w:val="center"/>
          <w:rPr>
            <w:sz w:val="18"/>
            <w:szCs w:val="18"/>
          </w:rPr>
        </w:pPr>
        <w:r w:rsidRPr="00F75790">
          <w:rPr>
            <w:sz w:val="18"/>
            <w:szCs w:val="18"/>
          </w:rPr>
          <w:fldChar w:fldCharType="begin"/>
        </w:r>
        <w:r w:rsidRPr="00F75790">
          <w:rPr>
            <w:sz w:val="18"/>
            <w:szCs w:val="18"/>
          </w:rPr>
          <w:instrText xml:space="preserve"> PAGE   \* MERGEFORMAT </w:instrText>
        </w:r>
        <w:r w:rsidRPr="00F75790">
          <w:rPr>
            <w:sz w:val="18"/>
            <w:szCs w:val="18"/>
          </w:rPr>
          <w:fldChar w:fldCharType="separate"/>
        </w:r>
        <w:r w:rsidR="00D930CF">
          <w:rPr>
            <w:noProof/>
            <w:sz w:val="18"/>
            <w:szCs w:val="18"/>
          </w:rPr>
          <w:t>3</w:t>
        </w:r>
        <w:r w:rsidRPr="00F75790">
          <w:rPr>
            <w:noProof/>
            <w:sz w:val="18"/>
            <w:szCs w:val="18"/>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75201991"/>
      <w:docPartObj>
        <w:docPartGallery w:val="Page Numbers (Top of Page)"/>
        <w:docPartUnique/>
      </w:docPartObj>
    </w:sdtPr>
    <w:sdtEndPr>
      <w:rPr>
        <w:noProof/>
      </w:rPr>
    </w:sdtEndPr>
    <w:sdtContent>
      <w:p w:rsidR="00D930CF" w:rsidRPr="00F75790" w:rsidRDefault="00D930CF" w:rsidP="00D930CF">
        <w:pPr>
          <w:pStyle w:val="Header"/>
          <w:jc w:val="center"/>
          <w:rPr>
            <w:sz w:val="18"/>
            <w:szCs w:val="18"/>
          </w:rPr>
        </w:pPr>
        <w:r w:rsidRPr="00F75790">
          <w:rPr>
            <w:sz w:val="18"/>
            <w:szCs w:val="18"/>
          </w:rPr>
          <w:fldChar w:fldCharType="begin"/>
        </w:r>
        <w:r w:rsidRPr="00F75790">
          <w:rPr>
            <w:sz w:val="18"/>
            <w:szCs w:val="18"/>
          </w:rPr>
          <w:instrText xml:space="preserve"> PAGE   \* MERGEFORMAT </w:instrText>
        </w:r>
        <w:r w:rsidRPr="00F75790">
          <w:rPr>
            <w:sz w:val="18"/>
            <w:szCs w:val="18"/>
          </w:rPr>
          <w:fldChar w:fldCharType="separate"/>
        </w:r>
        <w:r w:rsidR="00FB43AD">
          <w:rPr>
            <w:noProof/>
            <w:sz w:val="18"/>
            <w:szCs w:val="18"/>
          </w:rPr>
          <w:t>2</w:t>
        </w:r>
        <w:r w:rsidRPr="00F75790">
          <w:rPr>
            <w:noProof/>
            <w:sz w:val="18"/>
            <w:szCs w:val="18"/>
          </w:rPr>
          <w:fldChar w:fldCharType="end"/>
        </w:r>
      </w:p>
    </w:sdtContent>
  </w:sdt>
  <w:p w:rsidR="00F75790" w:rsidRPr="00C236AF" w:rsidRDefault="00F75790" w:rsidP="00C236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67605499"/>
      <w:docPartObj>
        <w:docPartGallery w:val="Page Numbers (Top of Page)"/>
        <w:docPartUnique/>
      </w:docPartObj>
    </w:sdtPr>
    <w:sdtEndPr>
      <w:rPr>
        <w:noProof/>
      </w:rPr>
    </w:sdtEndPr>
    <w:sdtContent>
      <w:p w:rsidR="00D930CF" w:rsidRPr="00F75790" w:rsidRDefault="00D930CF">
        <w:pPr>
          <w:pStyle w:val="Header"/>
          <w:jc w:val="center"/>
          <w:rPr>
            <w:sz w:val="18"/>
            <w:szCs w:val="18"/>
          </w:rPr>
        </w:pPr>
        <w:r w:rsidRPr="00F75790">
          <w:rPr>
            <w:sz w:val="18"/>
            <w:szCs w:val="18"/>
          </w:rPr>
          <w:fldChar w:fldCharType="begin"/>
        </w:r>
        <w:r w:rsidRPr="00F75790">
          <w:rPr>
            <w:sz w:val="18"/>
            <w:szCs w:val="18"/>
          </w:rPr>
          <w:instrText xml:space="preserve"> PAGE   \* MERGEFORMAT </w:instrText>
        </w:r>
        <w:r w:rsidRPr="00F75790">
          <w:rPr>
            <w:sz w:val="18"/>
            <w:szCs w:val="18"/>
          </w:rPr>
          <w:fldChar w:fldCharType="separate"/>
        </w:r>
        <w:r w:rsidR="00FB43AD">
          <w:rPr>
            <w:noProof/>
            <w:sz w:val="18"/>
            <w:szCs w:val="18"/>
          </w:rPr>
          <w:t>45</w:t>
        </w:r>
        <w:r w:rsidRPr="00F75790">
          <w:rPr>
            <w:noProof/>
            <w:sz w:val="18"/>
            <w:szCs w:val="18"/>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59661610"/>
      <w:docPartObj>
        <w:docPartGallery w:val="Page Numbers (Top of Page)"/>
        <w:docPartUnique/>
      </w:docPartObj>
    </w:sdtPr>
    <w:sdtEndPr>
      <w:rPr>
        <w:noProof/>
      </w:rPr>
    </w:sdtEndPr>
    <w:sdtContent>
      <w:p w:rsidR="00F75790" w:rsidRPr="00F75790" w:rsidRDefault="00F75790">
        <w:pPr>
          <w:pStyle w:val="Header"/>
          <w:jc w:val="center"/>
          <w:rPr>
            <w:sz w:val="18"/>
            <w:szCs w:val="18"/>
          </w:rPr>
        </w:pPr>
        <w:r w:rsidRPr="00F75790">
          <w:rPr>
            <w:sz w:val="18"/>
            <w:szCs w:val="18"/>
          </w:rPr>
          <w:fldChar w:fldCharType="begin"/>
        </w:r>
        <w:r w:rsidRPr="00F75790">
          <w:rPr>
            <w:sz w:val="18"/>
            <w:szCs w:val="18"/>
          </w:rPr>
          <w:instrText xml:space="preserve"> PAGE   \* MERGEFORMAT </w:instrText>
        </w:r>
        <w:r w:rsidRPr="00F75790">
          <w:rPr>
            <w:sz w:val="18"/>
            <w:szCs w:val="18"/>
          </w:rPr>
          <w:fldChar w:fldCharType="separate"/>
        </w:r>
        <w:r w:rsidR="00FB43AD">
          <w:rPr>
            <w:noProof/>
            <w:sz w:val="18"/>
            <w:szCs w:val="18"/>
          </w:rPr>
          <w:t>11</w:t>
        </w:r>
        <w:r w:rsidRPr="00F75790">
          <w:rPr>
            <w:noProof/>
            <w:sz w:val="18"/>
            <w:szCs w:val="18"/>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39491371"/>
      <w:docPartObj>
        <w:docPartGallery w:val="Page Numbers (Top of Page)"/>
        <w:docPartUnique/>
      </w:docPartObj>
    </w:sdtPr>
    <w:sdtEndPr>
      <w:rPr>
        <w:noProof/>
      </w:rPr>
    </w:sdtEndPr>
    <w:sdtContent>
      <w:p w:rsidR="00BE6EEC" w:rsidRPr="00F75790" w:rsidRDefault="00BE6EEC" w:rsidP="00D930CF">
        <w:pPr>
          <w:pStyle w:val="Header"/>
          <w:jc w:val="center"/>
          <w:rPr>
            <w:sz w:val="18"/>
            <w:szCs w:val="18"/>
          </w:rPr>
        </w:pPr>
        <w:r w:rsidRPr="00F75790">
          <w:rPr>
            <w:sz w:val="18"/>
            <w:szCs w:val="18"/>
          </w:rPr>
          <w:fldChar w:fldCharType="begin"/>
        </w:r>
        <w:r w:rsidRPr="00F75790">
          <w:rPr>
            <w:sz w:val="18"/>
            <w:szCs w:val="18"/>
          </w:rPr>
          <w:instrText xml:space="preserve"> PAGE   \* MERGEFORMAT </w:instrText>
        </w:r>
        <w:r w:rsidRPr="00F75790">
          <w:rPr>
            <w:sz w:val="18"/>
            <w:szCs w:val="18"/>
          </w:rPr>
          <w:fldChar w:fldCharType="separate"/>
        </w:r>
        <w:r w:rsidR="00FB43AD">
          <w:rPr>
            <w:noProof/>
            <w:sz w:val="18"/>
            <w:szCs w:val="18"/>
          </w:rPr>
          <w:t>30</w:t>
        </w:r>
        <w:r w:rsidRPr="00F75790">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88162C"/>
    <w:multiLevelType w:val="hybridMultilevel"/>
    <w:tmpl w:val="72EC2754"/>
    <w:lvl w:ilvl="0" w:tplc="1EBA2BE8">
      <w:start w:val="1"/>
      <w:numFmt w:val="bullet"/>
      <w:lvlText w:val="-"/>
      <w:lvlJc w:val="left"/>
      <w:pPr>
        <w:ind w:left="360" w:hanging="360"/>
      </w:pPr>
      <w:rPr>
        <w:rFonts w:ascii="Calibri" w:eastAsiaTheme="minorHAnsi" w:hAnsi="Calibri" w:cstheme="minorHAns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8"/>
  </w:num>
  <w:num w:numId="5">
    <w:abstractNumId w:val="5"/>
  </w:num>
  <w:num w:numId="6">
    <w:abstractNumId w:val="9"/>
  </w:num>
  <w:num w:numId="7">
    <w:abstractNumId w:val="4"/>
  </w:num>
  <w:num w:numId="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A5E5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1D6E"/>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C04A0"/>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A141C"/>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5E59"/>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150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16FB"/>
    <w:rsid w:val="00BD6738"/>
    <w:rsid w:val="00BD7E5E"/>
    <w:rsid w:val="00BE63DB"/>
    <w:rsid w:val="00BE6574"/>
    <w:rsid w:val="00BE6EEC"/>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30CF"/>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5790"/>
    <w:rsid w:val="00F8310E"/>
    <w:rsid w:val="00F914DD"/>
    <w:rsid w:val="00FA2358"/>
    <w:rsid w:val="00FB2592"/>
    <w:rsid w:val="00FB2810"/>
    <w:rsid w:val="00FB43AD"/>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4FD25E-800D-4647-92B1-787DED1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sid w:val="00081D6E"/>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rsid w:val="00081D6E"/>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rsid w:val="00081D6E"/>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081D6E"/>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081D6E"/>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081D6E"/>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081D6E"/>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081D6E"/>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081D6E"/>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081D6E"/>
  </w:style>
  <w:style w:type="paragraph" w:customStyle="1" w:styleId="RecNoBR">
    <w:name w:val="Rec_No_BR"/>
    <w:basedOn w:val="Normal"/>
    <w:next w:val="Rectitle"/>
    <w:rsid w:val="00081D6E"/>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081D6E"/>
  </w:style>
  <w:style w:type="paragraph" w:customStyle="1" w:styleId="RepNoBR">
    <w:name w:val="Rep_No_BR"/>
    <w:basedOn w:val="RecNoBR"/>
    <w:next w:val="Reptitle"/>
    <w:rsid w:val="00081D6E"/>
  </w:style>
  <w:style w:type="paragraph" w:customStyle="1" w:styleId="ResNoBR">
    <w:name w:val="Res_No_BR"/>
    <w:basedOn w:val="RecNoBR"/>
    <w:next w:val="Restitle"/>
    <w:rsid w:val="00081D6E"/>
  </w:style>
  <w:style w:type="paragraph" w:customStyle="1" w:styleId="TableNotitle0">
    <w:name w:val="Table_No &amp; title"/>
    <w:basedOn w:val="Normal"/>
    <w:next w:val="Tablehead"/>
    <w:rsid w:val="00081D6E"/>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081D6E"/>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081D6E"/>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081D6E"/>
    <w:rPr>
      <w:rFonts w:ascii="Times New Roman" w:hAnsi="Times New Roman"/>
      <w:b/>
    </w:rPr>
  </w:style>
  <w:style w:type="character" w:customStyle="1" w:styleId="Appref">
    <w:name w:val="App_ref"/>
    <w:basedOn w:val="DefaultParagraphFont"/>
    <w:rsid w:val="00081D6E"/>
  </w:style>
  <w:style w:type="character" w:customStyle="1" w:styleId="Artdef">
    <w:name w:val="Art_def"/>
    <w:basedOn w:val="DefaultParagraphFont"/>
    <w:rsid w:val="00081D6E"/>
    <w:rPr>
      <w:rFonts w:ascii="Times New Roman" w:hAnsi="Times New Roman"/>
      <w:b/>
    </w:rPr>
  </w:style>
  <w:style w:type="character" w:customStyle="1" w:styleId="Artref">
    <w:name w:val="Art_ref"/>
    <w:basedOn w:val="DefaultParagraphFont"/>
    <w:rsid w:val="00081D6E"/>
  </w:style>
  <w:style w:type="character" w:customStyle="1" w:styleId="Recdef">
    <w:name w:val="Rec_def"/>
    <w:basedOn w:val="DefaultParagraphFont"/>
    <w:rsid w:val="00081D6E"/>
    <w:rPr>
      <w:b/>
    </w:rPr>
  </w:style>
  <w:style w:type="character" w:customStyle="1" w:styleId="Resdef">
    <w:name w:val="Res_def"/>
    <w:basedOn w:val="DefaultParagraphFont"/>
    <w:rsid w:val="00081D6E"/>
    <w:rPr>
      <w:rFonts w:ascii="Times New Roman" w:hAnsi="Times New Roman"/>
      <w:b/>
    </w:rPr>
  </w:style>
  <w:style w:type="character" w:customStyle="1" w:styleId="Tablefreq">
    <w:name w:val="Table_freq"/>
    <w:basedOn w:val="DefaultParagraphFont"/>
    <w:rsid w:val="00081D6E"/>
    <w:rPr>
      <w:b/>
      <w:color w:val="auto"/>
    </w:rPr>
  </w:style>
  <w:style w:type="paragraph" w:customStyle="1" w:styleId="FiguretitleBR">
    <w:name w:val="Figure_title_BR"/>
    <w:basedOn w:val="TabletitleBR"/>
    <w:next w:val="Figurewithouttitle"/>
    <w:rsid w:val="00081D6E"/>
    <w:pPr>
      <w:keepNext w:val="0"/>
      <w:spacing w:after="480"/>
    </w:pPr>
  </w:style>
  <w:style w:type="paragraph" w:customStyle="1" w:styleId="FigureNoBR">
    <w:name w:val="Figure_No_BR"/>
    <w:basedOn w:val="Normal"/>
    <w:next w:val="FiguretitleBR"/>
    <w:rsid w:val="00081D6E"/>
    <w:pPr>
      <w:keepNext/>
      <w:keepLines/>
      <w:spacing w:before="480" w:after="120" w:line="240" w:lineRule="auto"/>
      <w:jc w:val="center"/>
    </w:pPr>
    <w:rPr>
      <w:rFonts w:ascii="Times New Roman" w:hAnsi="Times New Roman" w:cs="Times New Roman"/>
      <w:caps/>
      <w:szCs w:val="20"/>
      <w:lang w:val="fr-FR"/>
    </w:rPr>
  </w:style>
  <w:style w:type="paragraph" w:styleId="ListParagraph">
    <w:name w:val="List Paragraph"/>
    <w:basedOn w:val="Normal"/>
    <w:uiPriority w:val="34"/>
    <w:qFormat/>
    <w:rsid w:val="00081D6E"/>
    <w:pPr>
      <w:tabs>
        <w:tab w:val="clear" w:pos="794"/>
        <w:tab w:val="clear" w:pos="1191"/>
        <w:tab w:val="clear" w:pos="1588"/>
        <w:tab w:val="clear" w:pos="1985"/>
        <w:tab w:val="left" w:pos="1134"/>
        <w:tab w:val="left" w:pos="1871"/>
        <w:tab w:val="left" w:pos="2268"/>
      </w:tabs>
      <w:spacing w:before="120" w:line="240" w:lineRule="auto"/>
      <w:ind w:left="720"/>
      <w:contextualSpacing/>
      <w:jc w:val="left"/>
    </w:pPr>
    <w:rPr>
      <w:rFonts w:ascii="Times New Roman" w:hAnsi="Times New Roman" w:cs="Times New Roman"/>
      <w:szCs w:val="20"/>
      <w:lang w:val="en-GB"/>
    </w:rPr>
  </w:style>
  <w:style w:type="paragraph" w:customStyle="1" w:styleId="TableText0">
    <w:name w:val="Table_Text"/>
    <w:basedOn w:val="Normal"/>
    <w:rsid w:val="00081D6E"/>
    <w:pPr>
      <w:keepNext/>
      <w:overflowPunct/>
      <w:autoSpaceDE/>
      <w:autoSpaceDN/>
      <w:adjustRightInd/>
      <w:spacing w:before="142" w:after="142" w:line="199" w:lineRule="exact"/>
      <w:textAlignment w:val="auto"/>
    </w:pPr>
    <w:rPr>
      <w:rFonts w:ascii="Helv" w:hAnsi="Helv" w:cs="Helv"/>
      <w:sz w:val="18"/>
      <w:szCs w:val="20"/>
      <w:lang w:val="en-GB" w:eastAsia="ru-RU"/>
    </w:rPr>
  </w:style>
  <w:style w:type="paragraph" w:customStyle="1" w:styleId="Annextitle">
    <w:name w:val="Annex_title"/>
    <w:basedOn w:val="Normal"/>
    <w:next w:val="Normal"/>
    <w:rsid w:val="00081D6E"/>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fr-FR"/>
    </w:rPr>
  </w:style>
  <w:style w:type="paragraph" w:customStyle="1" w:styleId="Figuretitle">
    <w:name w:val="Figure_title"/>
    <w:basedOn w:val="Normal"/>
    <w:next w:val="Normal"/>
    <w:rsid w:val="00081D6E"/>
    <w:pPr>
      <w:keepNext/>
      <w:tabs>
        <w:tab w:val="clear" w:pos="794"/>
        <w:tab w:val="clear" w:pos="1191"/>
        <w:tab w:val="clear" w:pos="1588"/>
        <w:tab w:val="clear" w:pos="1985"/>
        <w:tab w:val="left" w:pos="2948"/>
        <w:tab w:val="left" w:pos="4082"/>
      </w:tabs>
      <w:spacing w:before="240" w:after="480" w:line="240" w:lineRule="auto"/>
      <w:jc w:val="center"/>
    </w:pPr>
    <w:rPr>
      <w:rFonts w:cs="Times New Roman"/>
      <w:b/>
      <w:szCs w:val="20"/>
      <w:lang w:val="fr-FR"/>
    </w:rPr>
  </w:style>
  <w:style w:type="table" w:customStyle="1" w:styleId="GridTable4-Accent11">
    <w:name w:val="Grid Table 4 - Accent 11"/>
    <w:basedOn w:val="TableNormal"/>
    <w:uiPriority w:val="49"/>
    <w:rsid w:val="00081D6E"/>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2">
    <w:name w:val="Grid Table 4 - Accent 12"/>
    <w:basedOn w:val="TableNormal"/>
    <w:uiPriority w:val="49"/>
    <w:rsid w:val="00081D6E"/>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081D6E"/>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081D6E"/>
    <w:pPr>
      <w:spacing w:before="120" w:line="240" w:lineRule="auto"/>
      <w:jc w:val="left"/>
    </w:pPr>
    <w:rPr>
      <w:rFonts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hyperlink" Target="http://www.itu.int/en/events/Pages/Calendar-Events.aspx?sector=ITU-R"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mailto:alexandre.vallet@anfr.fr" TargetMode="External"/><Relationship Id="rId34" Type="http://schemas.openxmlformats.org/officeDocument/2006/relationships/header" Target="header9.xml"/><Relationship Id="rId42" Type="http://schemas.openxmlformats.org/officeDocument/2006/relationships/header" Target="header11.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yperlink" Target="http://www.itu.int/oth/T0404000005/en" TargetMode="External"/><Relationship Id="rId38" Type="http://schemas.openxmlformats.org/officeDocument/2006/relationships/package" Target="embeddings/Microsoft_PowerPoint_Slide1.sldx"/><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hyperlink" Target="http://www.itu.int/pub/R-RES" TargetMode="External"/><Relationship Id="rId41"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yperlink" Target="http://www.itu.int/oth/T0404000004/en" TargetMode="External"/><Relationship Id="rId37" Type="http://schemas.openxmlformats.org/officeDocument/2006/relationships/image" Target="media/image5.emf"/><Relationship Id="rId40" Type="http://schemas.openxmlformats.org/officeDocument/2006/relationships/footer" Target="footer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itu.int/md/R16-RAG16-C-0005/en" TargetMode="External"/><Relationship Id="rId28" Type="http://schemas.openxmlformats.org/officeDocument/2006/relationships/hyperlink" Target="http://www.itu.int/online/mm/scripts/notify%20" TargetMode="Externa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itu.int/go/ITUpatents"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yperlink" Target="mailto:brrag@itu.int" TargetMode="External"/><Relationship Id="rId27" Type="http://schemas.openxmlformats.org/officeDocument/2006/relationships/hyperlink" Target="http://itu.int/en/ITU-R/information/events" TargetMode="External"/><Relationship Id="rId30" Type="http://schemas.openxmlformats.org/officeDocument/2006/relationships/hyperlink" Target="http://www.itu.int/en/ITU-R/study-groups/Pages/extcoop.aspx" TargetMode="External"/><Relationship Id="rId35" Type="http://schemas.openxmlformats.org/officeDocument/2006/relationships/footer" Target="footer5.xml"/><Relationship Id="rId43" Type="http://schemas.openxmlformats.org/officeDocument/2006/relationships/header" Target="header12.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_v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fr-CH" sz="1200" b="0" i="0" u="none" strike="noStrike" kern="1200" baseline="0">
                <a:solidFill>
                  <a:schemeClr val="accent1"/>
                </a:solidFill>
                <a:latin typeface="+mj-lt"/>
                <a:ea typeface="+mn-ea"/>
                <a:cs typeface="+mn-cs"/>
              </a:rPr>
              <a:t>Ventilation</a:t>
            </a:r>
            <a:r>
              <a:rPr lang="en-US" sz="1200" b="0" baseline="0">
                <a:solidFill>
                  <a:schemeClr val="accent1"/>
                </a:solidFill>
                <a:latin typeface="+mj-lt"/>
              </a:rPr>
              <a:t> prévisionnelle des ressources par objectif</a:t>
            </a:r>
            <a:r>
              <a:rPr lang="en-US" sz="1200" b="0">
                <a:solidFill>
                  <a:schemeClr val="accent1"/>
                </a:solidFill>
                <a:latin typeface="+mj-lt"/>
              </a:rPr>
              <a:t>	</a:t>
            </a:r>
            <a:r>
              <a:rPr lang="en-US" sz="1400" b="0">
                <a:solidFill>
                  <a:schemeClr val="accent1"/>
                </a:solidFill>
                <a:latin typeface="+mj-lt"/>
              </a:rPr>
              <a:t>		</a:t>
            </a:r>
          </a:p>
        </c:rich>
      </c:tx>
      <c:layout>
        <c:manualLayout>
          <c:xMode val="edge"/>
          <c:yMode val="edge"/>
          <c:x val="0.11991666666666667"/>
          <c:y val="4.756242568370987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manualLayout>
                  <c:x val="-0.15812379702537183"/>
                  <c:y val="-0.11286338910371044"/>
                </c:manualLayout>
              </c:layout>
              <c:tx>
                <c:rich>
                  <a:bodyPr/>
                  <a:lstStyle/>
                  <a:p>
                    <a:r>
                      <a:rPr lang="en-US"/>
                      <a:t>60%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4891163604549427"/>
          <c:y val="0.40690741243551454"/>
          <c:w val="0.17886614173228346"/>
          <c:h val="0.2407864653065810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E52C4B33D42B9A9E341A88DC7E93A"/>
        <w:category>
          <w:name w:val="General"/>
          <w:gallery w:val="placeholder"/>
        </w:category>
        <w:types>
          <w:type w:val="bbPlcHdr"/>
        </w:types>
        <w:behaviors>
          <w:behavior w:val="content"/>
        </w:behaviors>
        <w:guid w:val="{C506FFDE-5475-49C1-9E9C-A5F279164D08}"/>
      </w:docPartPr>
      <w:docPartBody>
        <w:p w:rsidR="00346AB0" w:rsidRDefault="00346AB0">
          <w:pPr>
            <w:pStyle w:val="68BE52C4B33D42B9A9E341A88DC7E93A"/>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B0"/>
    <w:rsid w:val="00346A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BE52C4B33D42B9A9E341A88DC7E93A">
    <w:name w:val="68BE52C4B33D42B9A9E341A88DC7E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D17A-1BFA-4E2A-A893-28F2FCE8F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56</TotalTime>
  <Pages>45</Pages>
  <Words>13814</Words>
  <Characters>78438</Characters>
  <Application>Microsoft Office Word</Application>
  <DocSecurity>0</DocSecurity>
  <Lines>653</Lines>
  <Paragraphs>184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92068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Capdessus, Isabelle</cp:lastModifiedBy>
  <cp:revision>5</cp:revision>
  <cp:lastPrinted>2016-06-24T13:17:00Z</cp:lastPrinted>
  <dcterms:created xsi:type="dcterms:W3CDTF">2016-06-15T11:48:00Z</dcterms:created>
  <dcterms:modified xsi:type="dcterms:W3CDTF">2016-06-24T13:18:00Z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