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CD2AB5" w:rsidTr="006F1118">
        <w:tc>
          <w:tcPr>
            <w:tcW w:w="9889" w:type="dxa"/>
            <w:gridSpan w:val="3"/>
            <w:shd w:val="clear" w:color="auto" w:fill="auto"/>
          </w:tcPr>
          <w:p w:rsidR="00EA15B3" w:rsidRPr="00CD2AB5" w:rsidRDefault="008E38B4" w:rsidP="00117282">
            <w:pPr>
              <w:spacing w:before="0"/>
              <w:jc w:val="left"/>
              <w:rPr>
                <w:rFonts w:cstheme="minorHAnsi"/>
                <w:b/>
                <w:bCs/>
                <w:color w:val="808080"/>
                <w:sz w:val="28"/>
                <w:szCs w:val="28"/>
              </w:rPr>
            </w:pPr>
            <w:r w:rsidRPr="00CD2AB5">
              <w:rPr>
                <w:rFonts w:cstheme="minorHAnsi"/>
                <w:b/>
                <w:bCs/>
                <w:color w:val="808080"/>
                <w:sz w:val="28"/>
                <w:szCs w:val="28"/>
              </w:rPr>
              <w:t xml:space="preserve">Radiocommunication </w:t>
            </w:r>
            <w:r w:rsidR="00AF70DA" w:rsidRPr="00CD2AB5">
              <w:rPr>
                <w:rFonts w:cstheme="minorHAnsi"/>
                <w:b/>
                <w:bCs/>
                <w:color w:val="808080"/>
                <w:sz w:val="28"/>
                <w:szCs w:val="28"/>
              </w:rPr>
              <w:t>Bureau (BR)</w:t>
            </w:r>
          </w:p>
          <w:p w:rsidR="008E38B4" w:rsidRPr="00CD2AB5" w:rsidRDefault="008E38B4" w:rsidP="00117282">
            <w:pPr>
              <w:spacing w:before="0"/>
              <w:jc w:val="left"/>
              <w:rPr>
                <w:rFonts w:cstheme="minorHAnsi"/>
                <w:b/>
                <w:bCs/>
                <w:color w:val="808080"/>
                <w:sz w:val="28"/>
                <w:szCs w:val="28"/>
              </w:rPr>
            </w:pPr>
          </w:p>
          <w:p w:rsidR="008E38B4" w:rsidRPr="00CD2AB5" w:rsidRDefault="008E38B4" w:rsidP="00117282">
            <w:pPr>
              <w:spacing w:before="0"/>
              <w:jc w:val="left"/>
              <w:rPr>
                <w:rFonts w:cs="Times New Roman Bold"/>
                <w:b/>
                <w:bCs/>
                <w:color w:val="808080"/>
                <w:sz w:val="28"/>
                <w:szCs w:val="28"/>
              </w:rPr>
            </w:pPr>
          </w:p>
        </w:tc>
      </w:tr>
      <w:tr w:rsidR="00651777" w:rsidRPr="00CD2AB5" w:rsidTr="006F1118">
        <w:tc>
          <w:tcPr>
            <w:tcW w:w="7054" w:type="dxa"/>
            <w:gridSpan w:val="2"/>
            <w:shd w:val="clear" w:color="auto" w:fill="auto"/>
          </w:tcPr>
          <w:p w:rsidR="00C76D7F" w:rsidRPr="00CD2AB5" w:rsidRDefault="00D21694" w:rsidP="00E17344">
            <w:pPr>
              <w:spacing w:before="0"/>
              <w:jc w:val="left"/>
              <w:rPr>
                <w:szCs w:val="24"/>
              </w:rPr>
            </w:pPr>
            <w:r w:rsidRPr="00CD2AB5">
              <w:rPr>
                <w:szCs w:val="24"/>
              </w:rPr>
              <w:t xml:space="preserve">Administrative </w:t>
            </w:r>
            <w:r w:rsidR="008B35A3" w:rsidRPr="00CD2AB5">
              <w:rPr>
                <w:szCs w:val="24"/>
              </w:rPr>
              <w:t>C</w:t>
            </w:r>
            <w:r w:rsidR="00C76D7F" w:rsidRPr="00CD2AB5">
              <w:rPr>
                <w:szCs w:val="24"/>
              </w:rPr>
              <w:t>ircular</w:t>
            </w:r>
          </w:p>
          <w:p w:rsidR="00651777" w:rsidRPr="00CD2AB5" w:rsidRDefault="00E17344" w:rsidP="00192EB2">
            <w:pPr>
              <w:spacing w:before="0"/>
              <w:jc w:val="left"/>
              <w:rPr>
                <w:b/>
                <w:bCs/>
                <w:szCs w:val="24"/>
              </w:rPr>
            </w:pPr>
            <w:r w:rsidRPr="00CD2AB5">
              <w:rPr>
                <w:b/>
                <w:bCs/>
                <w:szCs w:val="24"/>
              </w:rPr>
              <w:t>CA</w:t>
            </w:r>
            <w:r w:rsidR="003836D4" w:rsidRPr="00CD2AB5">
              <w:rPr>
                <w:b/>
                <w:bCs/>
                <w:szCs w:val="24"/>
              </w:rPr>
              <w:t>/</w:t>
            </w:r>
            <w:r w:rsidR="00192EB2">
              <w:rPr>
                <w:b/>
                <w:bCs/>
                <w:szCs w:val="24"/>
              </w:rPr>
              <w:t>225</w:t>
            </w:r>
          </w:p>
        </w:tc>
        <w:tc>
          <w:tcPr>
            <w:tcW w:w="2835" w:type="dxa"/>
            <w:shd w:val="clear" w:color="auto" w:fill="auto"/>
          </w:tcPr>
          <w:p w:rsidR="00651777" w:rsidRPr="00CD2AB5" w:rsidRDefault="004C629D" w:rsidP="00806923">
            <w:pPr>
              <w:spacing w:before="0"/>
              <w:jc w:val="right"/>
              <w:rPr>
                <w:szCs w:val="24"/>
              </w:rPr>
            </w:pPr>
            <w:r>
              <w:rPr>
                <w:szCs w:val="24"/>
              </w:rPr>
              <w:t>6 July</w:t>
            </w:r>
            <w:r w:rsidR="00563221" w:rsidRPr="00CD2AB5">
              <w:rPr>
                <w:szCs w:val="24"/>
              </w:rPr>
              <w:t xml:space="preserve"> 2015</w:t>
            </w:r>
          </w:p>
        </w:tc>
      </w:tr>
      <w:tr w:rsidR="0037309C" w:rsidRPr="00CD2AB5" w:rsidTr="006F1118">
        <w:tc>
          <w:tcPr>
            <w:tcW w:w="9889" w:type="dxa"/>
            <w:gridSpan w:val="3"/>
            <w:shd w:val="clear" w:color="auto" w:fill="auto"/>
          </w:tcPr>
          <w:p w:rsidR="0037309C" w:rsidRPr="00CD2AB5" w:rsidRDefault="0037309C" w:rsidP="006047E5">
            <w:pPr>
              <w:spacing w:before="0"/>
              <w:jc w:val="left"/>
              <w:rPr>
                <w:rFonts w:cs="Arial"/>
                <w:szCs w:val="24"/>
              </w:rPr>
            </w:pPr>
          </w:p>
        </w:tc>
      </w:tr>
      <w:tr w:rsidR="0037309C" w:rsidRPr="00CD2AB5" w:rsidTr="006F1118">
        <w:tc>
          <w:tcPr>
            <w:tcW w:w="9889" w:type="dxa"/>
            <w:gridSpan w:val="3"/>
            <w:shd w:val="clear" w:color="auto" w:fill="auto"/>
          </w:tcPr>
          <w:p w:rsidR="0037309C" w:rsidRPr="00CD2AB5" w:rsidRDefault="0037309C" w:rsidP="00914FA6">
            <w:pPr>
              <w:spacing w:before="0"/>
              <w:jc w:val="left"/>
              <w:rPr>
                <w:szCs w:val="24"/>
              </w:rPr>
            </w:pPr>
          </w:p>
        </w:tc>
      </w:tr>
      <w:tr w:rsidR="0037309C" w:rsidRPr="00CD2AB5" w:rsidTr="006F1118">
        <w:tc>
          <w:tcPr>
            <w:tcW w:w="9889" w:type="dxa"/>
            <w:gridSpan w:val="3"/>
            <w:shd w:val="clear" w:color="auto" w:fill="auto"/>
          </w:tcPr>
          <w:p w:rsidR="0037309C" w:rsidRPr="00CD2AB5" w:rsidRDefault="0037309C" w:rsidP="0015495A">
            <w:pPr>
              <w:spacing w:before="0"/>
              <w:jc w:val="left"/>
              <w:rPr>
                <w:b/>
                <w:bCs/>
                <w:szCs w:val="24"/>
              </w:rPr>
            </w:pPr>
            <w:r w:rsidRPr="00CD2AB5">
              <w:rPr>
                <w:b/>
                <w:bCs/>
                <w:szCs w:val="24"/>
              </w:rPr>
              <w:t>To Administrations of Member States of the ITU,</w:t>
            </w:r>
            <w:r w:rsidR="008B35A3" w:rsidRPr="00CD2AB5">
              <w:rPr>
                <w:b/>
                <w:bCs/>
                <w:szCs w:val="24"/>
              </w:rPr>
              <w:t xml:space="preserve"> </w:t>
            </w:r>
            <w:r w:rsidR="00563221" w:rsidRPr="00CD2AB5">
              <w:rPr>
                <w:b/>
                <w:bCs/>
                <w:szCs w:val="24"/>
              </w:rPr>
              <w:t>and</w:t>
            </w:r>
            <w:r w:rsidR="0015495A">
              <w:rPr>
                <w:b/>
                <w:bCs/>
                <w:szCs w:val="24"/>
              </w:rPr>
              <w:t xml:space="preserve"> </w:t>
            </w:r>
            <w:r w:rsidR="00563221" w:rsidRPr="00CD2AB5">
              <w:rPr>
                <w:b/>
                <w:bCs/>
                <w:szCs w:val="24"/>
              </w:rPr>
              <w:t>Radiocommunication Sector Members</w:t>
            </w:r>
          </w:p>
          <w:p w:rsidR="00D21694" w:rsidRPr="00CD2AB5" w:rsidRDefault="00D21694" w:rsidP="006047E5">
            <w:pPr>
              <w:spacing w:before="0"/>
              <w:jc w:val="left"/>
              <w:rPr>
                <w:b/>
                <w:bCs/>
                <w:szCs w:val="24"/>
              </w:rPr>
            </w:pPr>
          </w:p>
        </w:tc>
      </w:tr>
      <w:tr w:rsidR="0037309C" w:rsidRPr="00CD2AB5" w:rsidTr="006F1118">
        <w:tc>
          <w:tcPr>
            <w:tcW w:w="9889" w:type="dxa"/>
            <w:gridSpan w:val="3"/>
            <w:shd w:val="clear" w:color="auto" w:fill="auto"/>
          </w:tcPr>
          <w:p w:rsidR="0037309C" w:rsidRPr="00CD2AB5" w:rsidRDefault="0037309C" w:rsidP="006047E5">
            <w:pPr>
              <w:spacing w:before="0"/>
              <w:jc w:val="left"/>
              <w:rPr>
                <w:szCs w:val="24"/>
              </w:rPr>
            </w:pPr>
          </w:p>
        </w:tc>
      </w:tr>
      <w:tr w:rsidR="0037309C" w:rsidRPr="00CD2AB5" w:rsidTr="006F1118">
        <w:tc>
          <w:tcPr>
            <w:tcW w:w="9889" w:type="dxa"/>
            <w:gridSpan w:val="3"/>
            <w:shd w:val="clear" w:color="auto" w:fill="auto"/>
          </w:tcPr>
          <w:p w:rsidR="0037309C" w:rsidRPr="00CD2AB5" w:rsidRDefault="0037309C" w:rsidP="006047E5">
            <w:pPr>
              <w:spacing w:before="0"/>
              <w:jc w:val="left"/>
              <w:rPr>
                <w:szCs w:val="24"/>
              </w:rPr>
            </w:pPr>
          </w:p>
        </w:tc>
      </w:tr>
      <w:tr w:rsidR="00B4054B" w:rsidRPr="00CD2AB5" w:rsidTr="006F1118">
        <w:tc>
          <w:tcPr>
            <w:tcW w:w="1526" w:type="dxa"/>
            <w:shd w:val="clear" w:color="auto" w:fill="auto"/>
          </w:tcPr>
          <w:p w:rsidR="00B4054B" w:rsidRPr="00CD2AB5" w:rsidRDefault="00B4054B" w:rsidP="00914FA6">
            <w:pPr>
              <w:spacing w:before="0"/>
              <w:jc w:val="left"/>
              <w:rPr>
                <w:szCs w:val="24"/>
              </w:rPr>
            </w:pPr>
            <w:r w:rsidRPr="00CD2AB5">
              <w:rPr>
                <w:szCs w:val="24"/>
              </w:rPr>
              <w:t>Subject:</w:t>
            </w:r>
          </w:p>
        </w:tc>
        <w:tc>
          <w:tcPr>
            <w:tcW w:w="8363" w:type="dxa"/>
            <w:gridSpan w:val="2"/>
            <w:vMerge w:val="restart"/>
            <w:shd w:val="clear" w:color="auto" w:fill="auto"/>
          </w:tcPr>
          <w:p w:rsidR="00B4054B" w:rsidRPr="00CD2AB5" w:rsidRDefault="00D07A31" w:rsidP="00D9230C">
            <w:pPr>
              <w:spacing w:before="0"/>
              <w:jc w:val="left"/>
              <w:rPr>
                <w:b/>
                <w:bCs/>
                <w:szCs w:val="24"/>
              </w:rPr>
            </w:pPr>
            <w:r>
              <w:rPr>
                <w:b/>
                <w:bCs/>
                <w:szCs w:val="24"/>
              </w:rPr>
              <w:t xml:space="preserve">Dispatching of ITU-R </w:t>
            </w:r>
            <w:r w:rsidR="0015495A">
              <w:rPr>
                <w:b/>
                <w:bCs/>
                <w:szCs w:val="24"/>
              </w:rPr>
              <w:t>correspondence</w:t>
            </w:r>
          </w:p>
        </w:tc>
      </w:tr>
      <w:tr w:rsidR="00B4054B" w:rsidRPr="00CD2AB5" w:rsidTr="006F1118">
        <w:tc>
          <w:tcPr>
            <w:tcW w:w="1526" w:type="dxa"/>
            <w:shd w:val="clear" w:color="auto" w:fill="auto"/>
          </w:tcPr>
          <w:p w:rsidR="00B4054B" w:rsidRPr="00CD2AB5" w:rsidRDefault="00B4054B" w:rsidP="00914FA6">
            <w:pPr>
              <w:spacing w:before="0"/>
              <w:jc w:val="left"/>
              <w:rPr>
                <w:b/>
                <w:bCs/>
                <w:szCs w:val="24"/>
              </w:rPr>
            </w:pPr>
          </w:p>
        </w:tc>
        <w:tc>
          <w:tcPr>
            <w:tcW w:w="8363" w:type="dxa"/>
            <w:gridSpan w:val="2"/>
            <w:vMerge/>
            <w:shd w:val="clear" w:color="auto" w:fill="auto"/>
          </w:tcPr>
          <w:p w:rsidR="00B4054B" w:rsidRPr="00CD2AB5" w:rsidRDefault="00B4054B" w:rsidP="00914FA6">
            <w:pPr>
              <w:spacing w:before="0"/>
              <w:rPr>
                <w:b/>
                <w:bCs/>
                <w:szCs w:val="24"/>
              </w:rPr>
            </w:pPr>
          </w:p>
        </w:tc>
      </w:tr>
      <w:tr w:rsidR="00B4054B" w:rsidRPr="00CD2AB5" w:rsidTr="006F1118">
        <w:tc>
          <w:tcPr>
            <w:tcW w:w="1526" w:type="dxa"/>
            <w:shd w:val="clear" w:color="auto" w:fill="auto"/>
          </w:tcPr>
          <w:p w:rsidR="00B4054B" w:rsidRPr="00CD2AB5" w:rsidRDefault="00B4054B" w:rsidP="00914FA6">
            <w:pPr>
              <w:spacing w:before="0"/>
              <w:jc w:val="left"/>
              <w:rPr>
                <w:b/>
                <w:bCs/>
                <w:szCs w:val="24"/>
              </w:rPr>
            </w:pPr>
          </w:p>
        </w:tc>
        <w:tc>
          <w:tcPr>
            <w:tcW w:w="8363" w:type="dxa"/>
            <w:gridSpan w:val="2"/>
            <w:vMerge/>
            <w:shd w:val="clear" w:color="auto" w:fill="auto"/>
          </w:tcPr>
          <w:p w:rsidR="00B4054B" w:rsidRPr="00CD2AB5" w:rsidRDefault="00B4054B" w:rsidP="00914FA6">
            <w:pPr>
              <w:spacing w:before="0"/>
              <w:rPr>
                <w:b/>
                <w:bCs/>
                <w:szCs w:val="24"/>
              </w:rPr>
            </w:pPr>
          </w:p>
        </w:tc>
      </w:tr>
      <w:tr w:rsidR="00C51E92" w:rsidRPr="00CD2AB5" w:rsidTr="006F1118">
        <w:tc>
          <w:tcPr>
            <w:tcW w:w="9889" w:type="dxa"/>
            <w:gridSpan w:val="3"/>
            <w:shd w:val="clear" w:color="auto" w:fill="auto"/>
          </w:tcPr>
          <w:p w:rsidR="00C51E92" w:rsidRPr="00CD2AB5" w:rsidRDefault="00C51E92" w:rsidP="00914FA6">
            <w:pPr>
              <w:spacing w:before="0"/>
              <w:jc w:val="left"/>
              <w:rPr>
                <w:b/>
                <w:bCs/>
                <w:szCs w:val="24"/>
              </w:rPr>
            </w:pPr>
          </w:p>
        </w:tc>
      </w:tr>
    </w:tbl>
    <w:p w:rsidR="006F1118" w:rsidRPr="0044200B" w:rsidRDefault="0015495A" w:rsidP="0015495A">
      <w:pPr>
        <w:pStyle w:val="Heading1"/>
        <w:spacing w:before="480"/>
      </w:pPr>
      <w:r>
        <w:t>1</w:t>
      </w:r>
      <w:r>
        <w:tab/>
      </w:r>
      <w:r w:rsidR="006E71F1" w:rsidRPr="0044200B">
        <w:t>Dispatch of BR Administrative Circulars and Circular Letters</w:t>
      </w:r>
    </w:p>
    <w:p w:rsidR="00C05A3B" w:rsidRDefault="00180CBE" w:rsidP="00192EB2">
      <w:r w:rsidRPr="006E5B9E">
        <w:t xml:space="preserve">Following </w:t>
      </w:r>
      <w:r>
        <w:t>Annex 2 of Decision 5 (Busan</w:t>
      </w:r>
      <w:r w:rsidRPr="006E5B9E">
        <w:t>, 201</w:t>
      </w:r>
      <w:r>
        <w:t>4</w:t>
      </w:r>
      <w:r w:rsidRPr="006E5B9E">
        <w:t xml:space="preserve">) which </w:t>
      </w:r>
      <w:r>
        <w:t>identified a series of measures for reducing expenses, including</w:t>
      </w:r>
      <w:r w:rsidRPr="006E5B9E">
        <w:t xml:space="preserve"> </w:t>
      </w:r>
      <w:r w:rsidR="00530D83">
        <w:t xml:space="preserve">to </w:t>
      </w:r>
      <w:r w:rsidRPr="006E5B9E">
        <w:t>“</w:t>
      </w:r>
      <w:r w:rsidR="00530D83">
        <w:t>d</w:t>
      </w:r>
      <w:r>
        <w:t>iscontinue to the greatest extend possible communications by fax and traditional postal mail between the Union and Member States and replace it with modern electronic communication methods”</w:t>
      </w:r>
      <w:r w:rsidR="006939D0">
        <w:t xml:space="preserve"> and </w:t>
      </w:r>
      <w:r w:rsidR="00DE47FD">
        <w:t xml:space="preserve">as </w:t>
      </w:r>
      <w:r w:rsidR="00FA0A43">
        <w:t xml:space="preserve">advised by </w:t>
      </w:r>
      <w:r w:rsidR="006939D0" w:rsidRPr="006939D0">
        <w:rPr>
          <w:szCs w:val="24"/>
        </w:rPr>
        <w:t xml:space="preserve">the Radiocommunication Advisory Group </w:t>
      </w:r>
      <w:r w:rsidR="00FA0A43">
        <w:rPr>
          <w:szCs w:val="24"/>
        </w:rPr>
        <w:t xml:space="preserve">during its </w:t>
      </w:r>
      <w:r w:rsidR="00FA0A43" w:rsidRPr="006939D0">
        <w:rPr>
          <w:szCs w:val="24"/>
        </w:rPr>
        <w:t xml:space="preserve">twenty-second </w:t>
      </w:r>
      <w:r w:rsidR="006939D0" w:rsidRPr="006939D0">
        <w:rPr>
          <w:szCs w:val="24"/>
        </w:rPr>
        <w:t>meeting</w:t>
      </w:r>
      <w:r w:rsidR="006E71F1">
        <w:rPr>
          <w:szCs w:val="24"/>
        </w:rPr>
        <w:t xml:space="preserve"> held from 5 to 8 May 2015</w:t>
      </w:r>
      <w:r>
        <w:t xml:space="preserve">, </w:t>
      </w:r>
      <w:r w:rsidR="00FA0A43">
        <w:t xml:space="preserve">the </w:t>
      </w:r>
      <w:r>
        <w:t xml:space="preserve">dispatching of </w:t>
      </w:r>
      <w:r w:rsidR="0044200B">
        <w:t>Administrative Circulars and Circular Letters</w:t>
      </w:r>
      <w:r>
        <w:t xml:space="preserve"> by the Bureau will </w:t>
      </w:r>
      <w:r w:rsidR="00932A14">
        <w:t xml:space="preserve">henceforth be managed </w:t>
      </w:r>
      <w:r>
        <w:t>by electronic means</w:t>
      </w:r>
      <w:r w:rsidR="00B30F2C">
        <w:t>,</w:t>
      </w:r>
      <w:r>
        <w:t xml:space="preserve"> unless otherwise specifically requested</w:t>
      </w:r>
      <w:r w:rsidR="00B464C4">
        <w:t xml:space="preserve"> b</w:t>
      </w:r>
      <w:r w:rsidR="00B464C4" w:rsidRPr="006E71F1">
        <w:t>y</w:t>
      </w:r>
      <w:r w:rsidR="00B464C4">
        <w:t xml:space="preserve"> </w:t>
      </w:r>
      <w:r w:rsidR="00192EB2">
        <w:t>the</w:t>
      </w:r>
      <w:r w:rsidR="00B464C4">
        <w:t xml:space="preserve"> Administration</w:t>
      </w:r>
      <w:r w:rsidR="00192EB2">
        <w:t xml:space="preserve"> or S</w:t>
      </w:r>
      <w:r w:rsidR="006D2139">
        <w:t>ector M</w:t>
      </w:r>
      <w:r w:rsidR="00932A14">
        <w:t>ember</w:t>
      </w:r>
      <w:r w:rsidR="00192EB2">
        <w:t xml:space="preserve"> to which these Circulars or Circular Letters are dispatched</w:t>
      </w:r>
      <w:r>
        <w:t>.</w:t>
      </w:r>
      <w:r w:rsidR="0092749B" w:rsidRPr="0092749B">
        <w:t xml:space="preserve"> </w:t>
      </w:r>
      <w:r w:rsidR="00954C63">
        <w:t xml:space="preserve">The effective date of application of this new directive is set to </w:t>
      </w:r>
      <w:r w:rsidR="00954C63" w:rsidRPr="00192EB2">
        <w:rPr>
          <w:b/>
          <w:bCs/>
          <w:u w:val="single"/>
        </w:rPr>
        <w:t>3 August 2015</w:t>
      </w:r>
      <w:r w:rsidR="00954C63">
        <w:t xml:space="preserve">. </w:t>
      </w:r>
    </w:p>
    <w:p w:rsidR="00C05A3B" w:rsidRPr="0044200B" w:rsidRDefault="0015495A" w:rsidP="0015495A">
      <w:pPr>
        <w:pStyle w:val="Heading1"/>
        <w:spacing w:before="480"/>
      </w:pPr>
      <w:r>
        <w:t>2</w:t>
      </w:r>
      <w:r>
        <w:tab/>
      </w:r>
      <w:r w:rsidR="00C05A3B" w:rsidRPr="0044200B">
        <w:t>Availability of BR Administrative Circulars and Circular Letters in electronic format</w:t>
      </w:r>
    </w:p>
    <w:p w:rsidR="00DE47FD" w:rsidRDefault="00DE47FD" w:rsidP="00DE47FD">
      <w:r>
        <w:t>All BR Administrative Circulars and Circular Letters are freely accessible from the ITU website at:</w:t>
      </w:r>
    </w:p>
    <w:p w:rsidR="00DE47FD" w:rsidRPr="00865CA7" w:rsidRDefault="006D2139" w:rsidP="00DE47FD">
      <w:pPr>
        <w:ind w:left="720"/>
        <w:rPr>
          <w:rFonts w:asciiTheme="minorHAnsi" w:hAnsiTheme="minorHAnsi"/>
          <w:szCs w:val="24"/>
        </w:rPr>
      </w:pPr>
      <w:hyperlink r:id="rId8" w:history="1">
        <w:r w:rsidR="00DE47FD" w:rsidRPr="00865CA7">
          <w:rPr>
            <w:rStyle w:val="Hyperlink"/>
            <w:rFonts w:asciiTheme="minorHAnsi" w:hAnsiTheme="minorHAnsi" w:cs="Arial"/>
            <w:szCs w:val="24"/>
            <w:bdr w:val="none" w:sz="0" w:space="0" w:color="auto" w:frame="1"/>
            <w:shd w:val="clear" w:color="auto" w:fill="FFFFFF"/>
          </w:rPr>
          <w:t>www.itu.int/go/Rcirculars</w:t>
        </w:r>
      </w:hyperlink>
    </w:p>
    <w:p w:rsidR="006E71F1" w:rsidRDefault="00DE47FD" w:rsidP="006E71F1">
      <w:r>
        <w:t xml:space="preserve">Using their TIES account, members can be informed when BR Administrative Circulars and Circular Letters, </w:t>
      </w:r>
      <w:r w:rsidR="00006398">
        <w:t xml:space="preserve">as well as </w:t>
      </w:r>
      <w:r>
        <w:t xml:space="preserve">other ITU documents of interest, have been posted on the ITU website. </w:t>
      </w:r>
    </w:p>
    <w:p w:rsidR="00DE47FD" w:rsidRDefault="00DE47FD">
      <w:r>
        <w:t>To create a TIES account</w:t>
      </w:r>
      <w:r w:rsidR="006E71F1">
        <w:t xml:space="preserve"> and </w:t>
      </w:r>
      <w:r>
        <w:t>activate these alerts</w:t>
      </w:r>
      <w:r w:rsidR="00C05A3B">
        <w:t xml:space="preserve">, </w:t>
      </w:r>
      <w:r w:rsidR="004C629D">
        <w:t>or to retrieve your TIES username and/or password</w:t>
      </w:r>
      <w:r w:rsidR="006D2139">
        <w:t>,</w:t>
      </w:r>
      <w:bookmarkStart w:id="0" w:name="_GoBack"/>
      <w:bookmarkEnd w:id="0"/>
      <w:r w:rsidR="004C629D">
        <w:t xml:space="preserve"> </w:t>
      </w:r>
      <w:r w:rsidR="00C05A3B">
        <w:t>please visit</w:t>
      </w:r>
      <w:r>
        <w:t xml:space="preserve"> </w:t>
      </w:r>
      <w:hyperlink r:id="rId9" w:history="1">
        <w:r w:rsidRPr="008D4A9B">
          <w:rPr>
            <w:rStyle w:val="Hyperlink"/>
          </w:rPr>
          <w:t>www.itu.int/ties</w:t>
        </w:r>
      </w:hyperlink>
      <w:r w:rsidR="00C05A3B">
        <w:t>.</w:t>
      </w:r>
      <w:r w:rsidR="0041757C">
        <w:t xml:space="preserve"> </w:t>
      </w:r>
      <w:r w:rsidR="0041757C" w:rsidRPr="00C9464B">
        <w:t xml:space="preserve">TIES accounts are provided, on demand, to </w:t>
      </w:r>
      <w:r w:rsidR="003B1143">
        <w:t>representatives of ITU membership</w:t>
      </w:r>
      <w:r w:rsidR="0041757C" w:rsidRPr="00C9464B">
        <w:t xml:space="preserve"> (</w:t>
      </w:r>
      <w:hyperlink r:id="rId10" w:history="1">
        <w:r w:rsidR="0041757C" w:rsidRPr="00C9464B">
          <w:t>Member States</w:t>
        </w:r>
      </w:hyperlink>
      <w:r w:rsidR="0041757C" w:rsidRPr="00C9464B">
        <w:t>,</w:t>
      </w:r>
      <w:r w:rsidR="00C9464B">
        <w:t xml:space="preserve"> </w:t>
      </w:r>
      <w:hyperlink r:id="rId11" w:history="1">
        <w:r w:rsidR="0041757C" w:rsidRPr="00C9464B">
          <w:t>Sector Members</w:t>
        </w:r>
      </w:hyperlink>
      <w:r w:rsidR="0041757C" w:rsidRPr="00C9464B">
        <w:t>,</w:t>
      </w:r>
      <w:r w:rsidR="00C9464B">
        <w:t xml:space="preserve"> </w:t>
      </w:r>
      <w:hyperlink r:id="rId12" w:history="1">
        <w:r w:rsidR="0041757C" w:rsidRPr="00C9464B">
          <w:t>Associates</w:t>
        </w:r>
      </w:hyperlink>
      <w:r w:rsidR="0041757C" w:rsidRPr="00C9464B">
        <w:t xml:space="preserve"> and</w:t>
      </w:r>
      <w:r w:rsidR="00C9464B">
        <w:t xml:space="preserve"> </w:t>
      </w:r>
      <w:hyperlink r:id="rId13" w:tgtFrame="_blank" w:history="1">
        <w:r w:rsidR="0041757C" w:rsidRPr="00C9464B">
          <w:t>Academia</w:t>
        </w:r>
      </w:hyperlink>
      <w:r w:rsidR="0041757C" w:rsidRPr="00C9464B">
        <w:t>).</w:t>
      </w:r>
    </w:p>
    <w:p w:rsidR="006F1118" w:rsidRDefault="004C629D">
      <w:r>
        <w:t xml:space="preserve">Should you wish to receive BR Administrative Circulars and Circular Letters through </w:t>
      </w:r>
      <w:r w:rsidR="009817C4">
        <w:t xml:space="preserve">any </w:t>
      </w:r>
      <w:r>
        <w:t>other means</w:t>
      </w:r>
      <w:r w:rsidR="00F3711E">
        <w:rPr>
          <w:rFonts w:asciiTheme="minorHAnsi" w:hAnsiTheme="minorHAnsi" w:cstheme="minorHAnsi"/>
          <w:szCs w:val="24"/>
        </w:rPr>
        <w:t>,</w:t>
      </w:r>
      <w:r w:rsidR="00F3711E">
        <w:t xml:space="preserve"> </w:t>
      </w:r>
      <w:r w:rsidR="00192EB2">
        <w:t xml:space="preserve">including by surface mail, </w:t>
      </w:r>
      <w:r>
        <w:t xml:space="preserve">please contact </w:t>
      </w:r>
      <w:hyperlink r:id="rId14" w:history="1">
        <w:r w:rsidR="00A73F60">
          <w:rPr>
            <w:rStyle w:val="Hyperlink"/>
          </w:rPr>
          <w:t>ITU-R.Registrations@itu.int</w:t>
        </w:r>
      </w:hyperlink>
      <w:r w:rsidR="00A73F60">
        <w:t>.</w:t>
      </w:r>
    </w:p>
    <w:p w:rsidR="006F1118" w:rsidRDefault="006F1118">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cs="Times New Roman"/>
          <w:b/>
          <w:bCs/>
          <w:sz w:val="22"/>
          <w:lang w:eastAsia="zh-CN"/>
        </w:rPr>
      </w:pPr>
      <w:r>
        <w:rPr>
          <w:b/>
          <w:bCs/>
        </w:rPr>
        <w:br w:type="page"/>
      </w:r>
    </w:p>
    <w:p w:rsidR="007771EE" w:rsidRPr="0044200B" w:rsidRDefault="0015495A" w:rsidP="0015495A">
      <w:pPr>
        <w:pStyle w:val="Heading1"/>
        <w:spacing w:before="480"/>
      </w:pPr>
      <w:r>
        <w:lastRenderedPageBreak/>
        <w:t>3</w:t>
      </w:r>
      <w:r>
        <w:tab/>
      </w:r>
      <w:r w:rsidR="00B43EBF">
        <w:t xml:space="preserve">Mandatory </w:t>
      </w:r>
      <w:r>
        <w:t>correspondence</w:t>
      </w:r>
    </w:p>
    <w:p w:rsidR="00192EB2" w:rsidRDefault="00192EB2" w:rsidP="00FA0A43">
      <w:r>
        <w:t>The above arrangements do not apply to mandatory correspondence as referred to in the relevant provisions of the Radio Regulations.</w:t>
      </w:r>
    </w:p>
    <w:p w:rsidR="00B464C4" w:rsidRDefault="00B464C4" w:rsidP="00B464C4">
      <w:pPr>
        <w:rPr>
          <w:rFonts w:asciiTheme="minorHAnsi" w:hAnsiTheme="minorHAnsi" w:cstheme="minorHAnsi"/>
          <w:szCs w:val="24"/>
        </w:rPr>
      </w:pPr>
    </w:p>
    <w:p w:rsidR="006F1118" w:rsidRDefault="006F1118" w:rsidP="00B464C4">
      <w:pPr>
        <w:rPr>
          <w:rFonts w:asciiTheme="minorHAnsi" w:hAnsiTheme="minorHAnsi" w:cstheme="minorHAnsi"/>
          <w:szCs w:val="24"/>
        </w:rPr>
      </w:pPr>
    </w:p>
    <w:p w:rsidR="006F1118" w:rsidRPr="00CD2AB5" w:rsidRDefault="006F1118" w:rsidP="00B464C4">
      <w:pPr>
        <w:rPr>
          <w:rFonts w:asciiTheme="minorHAnsi" w:hAnsiTheme="minorHAnsi" w:cstheme="minorHAnsi"/>
          <w:szCs w:val="24"/>
        </w:rPr>
      </w:pPr>
    </w:p>
    <w:p w:rsidR="00B464C4" w:rsidRPr="00530D83" w:rsidRDefault="00B464C4" w:rsidP="00B464C4">
      <w:pPr>
        <w:spacing w:before="0" w:line="240" w:lineRule="auto"/>
        <w:jc w:val="left"/>
        <w:rPr>
          <w:rFonts w:asciiTheme="minorHAnsi" w:hAnsiTheme="minorHAnsi" w:cstheme="minorHAnsi"/>
          <w:szCs w:val="24"/>
          <w:lang w:val="en-GB"/>
        </w:rPr>
      </w:pPr>
      <w:r w:rsidRPr="00530D83">
        <w:rPr>
          <w:rFonts w:asciiTheme="minorHAnsi" w:hAnsiTheme="minorHAnsi" w:cstheme="minorHAnsi"/>
          <w:szCs w:val="24"/>
          <w:lang w:val="en-GB"/>
        </w:rPr>
        <w:t>François Rancy</w:t>
      </w:r>
    </w:p>
    <w:p w:rsidR="00B464C4" w:rsidRPr="00530D83" w:rsidRDefault="00B464C4" w:rsidP="00B464C4">
      <w:pPr>
        <w:spacing w:before="0" w:line="240" w:lineRule="auto"/>
        <w:jc w:val="left"/>
        <w:rPr>
          <w:rFonts w:asciiTheme="minorHAnsi" w:hAnsiTheme="minorHAnsi" w:cstheme="minorHAnsi"/>
          <w:szCs w:val="24"/>
          <w:lang w:val="en-GB"/>
        </w:rPr>
      </w:pPr>
      <w:r w:rsidRPr="00530D83">
        <w:rPr>
          <w:rFonts w:asciiTheme="minorHAnsi" w:hAnsiTheme="minorHAnsi" w:cstheme="minorHAnsi"/>
          <w:szCs w:val="24"/>
          <w:lang w:val="en-GB"/>
        </w:rPr>
        <w:t>Director</w:t>
      </w:r>
    </w:p>
    <w:p w:rsidR="00B464C4" w:rsidRPr="00530D83" w:rsidRDefault="00B464C4" w:rsidP="00B464C4">
      <w:pPr>
        <w:spacing w:before="0" w:line="240" w:lineRule="auto"/>
        <w:jc w:val="left"/>
        <w:rPr>
          <w:rFonts w:asciiTheme="minorHAnsi" w:hAnsiTheme="minorHAnsi" w:cstheme="minorHAnsi"/>
          <w:szCs w:val="24"/>
          <w:lang w:val="en-GB"/>
        </w:rPr>
      </w:pPr>
    </w:p>
    <w:p w:rsidR="00563221" w:rsidRDefault="00563221" w:rsidP="00563221">
      <w:pPr>
        <w:spacing w:before="0" w:line="240" w:lineRule="auto"/>
        <w:jc w:val="left"/>
        <w:rPr>
          <w:rFonts w:asciiTheme="minorHAnsi" w:hAnsiTheme="minorHAnsi" w:cstheme="minorHAnsi"/>
          <w:szCs w:val="24"/>
          <w:lang w:val="en-GB"/>
        </w:rPr>
      </w:pPr>
    </w:p>
    <w:p w:rsidR="00563221" w:rsidRPr="00B464C4" w:rsidRDefault="00563221" w:rsidP="00563221">
      <w:pPr>
        <w:spacing w:before="0" w:line="240" w:lineRule="auto"/>
        <w:jc w:val="left"/>
        <w:rPr>
          <w:rFonts w:asciiTheme="minorHAnsi" w:hAnsiTheme="minorHAnsi" w:cstheme="minorHAnsi"/>
          <w:szCs w:val="24"/>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563221" w:rsidRPr="00530D83" w:rsidRDefault="00563221" w:rsidP="00563221">
      <w:pPr>
        <w:tabs>
          <w:tab w:val="clear" w:pos="794"/>
          <w:tab w:val="clear" w:pos="1191"/>
          <w:tab w:val="clear" w:pos="1588"/>
          <w:tab w:val="clear" w:pos="1985"/>
          <w:tab w:val="center" w:pos="6237"/>
        </w:tabs>
        <w:spacing w:before="0" w:line="240" w:lineRule="auto"/>
        <w:rPr>
          <w:sz w:val="18"/>
          <w:szCs w:val="18"/>
          <w:u w:val="single"/>
          <w:lang w:val="en-GB"/>
        </w:rPr>
      </w:pPr>
      <w:r w:rsidRPr="00530D83">
        <w:rPr>
          <w:sz w:val="18"/>
          <w:szCs w:val="18"/>
          <w:u w:val="single"/>
          <w:lang w:val="en-GB"/>
        </w:rPr>
        <w:t>Distribution:</w:t>
      </w:r>
    </w:p>
    <w:p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Administrations of Member States of ITU</w:t>
      </w:r>
    </w:p>
    <w:p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Radiocommunication Sector Members</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Chairmen and Vice-Chairmen of Radiocommunication study groups and</w:t>
      </w:r>
    </w:p>
    <w:p w:rsidR="00563221" w:rsidRPr="00CD2AB5" w:rsidRDefault="00563221" w:rsidP="00563221">
      <w:pPr>
        <w:tabs>
          <w:tab w:val="clear" w:pos="794"/>
          <w:tab w:val="left" w:pos="284"/>
        </w:tabs>
        <w:spacing w:before="0" w:line="240" w:lineRule="auto"/>
        <w:rPr>
          <w:sz w:val="18"/>
          <w:szCs w:val="18"/>
        </w:rPr>
      </w:pPr>
      <w:r w:rsidRPr="00CD2AB5">
        <w:rPr>
          <w:sz w:val="18"/>
          <w:szCs w:val="18"/>
        </w:rPr>
        <w:tab/>
        <w:t>the Special Committee on Regulatory/Procedural Matters</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Chairman and Vice-Chairmen of the Radiocommunication Advisory Group</w:t>
      </w:r>
    </w:p>
    <w:p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Chairman and Vice-Chairmen of the Conference Preparatory Meeting</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Members of the Radio Regulations Board</w:t>
      </w:r>
    </w:p>
    <w:p w:rsidR="00563221" w:rsidRPr="00CD2AB5" w:rsidRDefault="00563221" w:rsidP="00563221">
      <w:pPr>
        <w:pStyle w:val="Footer"/>
        <w:tabs>
          <w:tab w:val="left" w:pos="284"/>
          <w:tab w:val="left" w:pos="1191"/>
          <w:tab w:val="left" w:pos="1588"/>
          <w:tab w:val="left" w:pos="1985"/>
        </w:tabs>
        <w:spacing w:before="0" w:line="240" w:lineRule="auto"/>
        <w:rPr>
          <w:caps/>
          <w:sz w:val="18"/>
          <w:szCs w:val="18"/>
        </w:rPr>
      </w:pPr>
      <w:r w:rsidRPr="00CD2AB5">
        <w:rPr>
          <w:caps/>
          <w:sz w:val="18"/>
          <w:szCs w:val="18"/>
        </w:rPr>
        <w:sym w:font="Symbol" w:char="F02D"/>
      </w:r>
      <w:r w:rsidRPr="00CD2AB5">
        <w:rPr>
          <w:caps/>
          <w:sz w:val="18"/>
          <w:szCs w:val="18"/>
        </w:rPr>
        <w:tab/>
      </w:r>
      <w:r w:rsidRPr="00CD2AB5">
        <w:rPr>
          <w:sz w:val="18"/>
          <w:szCs w:val="18"/>
        </w:rPr>
        <w:t>Secretary-General of ITU, Director of the Telecommunication Standardization Bureau</w:t>
      </w:r>
      <w:r w:rsidRPr="00CD2AB5">
        <w:rPr>
          <w:caps/>
          <w:sz w:val="18"/>
          <w:szCs w:val="18"/>
        </w:rPr>
        <w:t>,</w:t>
      </w:r>
    </w:p>
    <w:p w:rsidR="00563221" w:rsidRPr="00CD2AB5" w:rsidRDefault="00563221" w:rsidP="00563221">
      <w:pPr>
        <w:tabs>
          <w:tab w:val="clear" w:pos="794"/>
          <w:tab w:val="left" w:pos="284"/>
        </w:tabs>
        <w:spacing w:before="0" w:line="240" w:lineRule="auto"/>
        <w:rPr>
          <w:sz w:val="18"/>
          <w:szCs w:val="18"/>
        </w:rPr>
      </w:pPr>
      <w:r w:rsidRPr="00CD2AB5">
        <w:rPr>
          <w:sz w:val="18"/>
          <w:szCs w:val="18"/>
        </w:rPr>
        <w:tab/>
        <w:t>Director of the Telecommunication Development Bureau</w:t>
      </w:r>
    </w:p>
    <w:p w:rsidR="00563221" w:rsidRPr="00CD2AB5" w:rsidRDefault="00563221" w:rsidP="00563221">
      <w:pPr>
        <w:tabs>
          <w:tab w:val="clear" w:pos="794"/>
          <w:tab w:val="left" w:pos="284"/>
        </w:tabs>
        <w:spacing w:before="0" w:line="240" w:lineRule="auto"/>
        <w:rPr>
          <w:sz w:val="18"/>
          <w:szCs w:val="18"/>
        </w:rPr>
      </w:pPr>
    </w:p>
    <w:sectPr w:rsidR="00563221" w:rsidRPr="00CD2AB5" w:rsidSect="006F1118">
      <w:headerReference w:type="even" r:id="rId15"/>
      <w:head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1A" w:rsidRDefault="00F62B1A">
      <w:r>
        <w:separator/>
      </w:r>
    </w:p>
  </w:endnote>
  <w:endnote w:type="continuationSeparator" w:id="0">
    <w:p w:rsidR="00F62B1A" w:rsidRDefault="00F6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CBE" w:rsidRPr="006F1118" w:rsidRDefault="006F1118" w:rsidP="006F1118">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1A" w:rsidRDefault="00F62B1A">
      <w:r>
        <w:t>____________________</w:t>
      </w:r>
    </w:p>
  </w:footnote>
  <w:footnote w:type="continuationSeparator" w:id="0">
    <w:p w:rsidR="00F62B1A" w:rsidRDefault="00F6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95136644"/>
      <w:docPartObj>
        <w:docPartGallery w:val="Page Numbers (Top of Page)"/>
        <w:docPartUnique/>
      </w:docPartObj>
    </w:sdtPr>
    <w:sdtEndPr/>
    <w:sdtContent>
      <w:p w:rsidR="00180CBE" w:rsidRPr="009B4D73" w:rsidRDefault="00180CBE" w:rsidP="00914FA6">
        <w:pPr>
          <w:tabs>
            <w:tab w:val="left" w:pos="720"/>
          </w:tabs>
          <w:spacing w:before="0"/>
          <w:jc w:val="center"/>
          <w:rPr>
            <w:sz w:val="18"/>
            <w:szCs w:val="18"/>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116</w:t>
        </w:r>
        <w:r>
          <w:rPr>
            <w:noProof/>
            <w:sz w:val="18"/>
            <w:szCs w:val="18"/>
          </w:rPr>
          <w:fldChar w:fldCharType="end"/>
        </w:r>
        <w:r>
          <w:rPr>
            <w:noProof/>
            <w:sz w:val="18"/>
            <w:szCs w:val="18"/>
          </w:rPr>
          <w:t> -</w:t>
        </w:r>
        <w:r>
          <w:rPr>
            <w:noProof/>
            <w:sz w:val="18"/>
            <w:szCs w:val="18"/>
          </w:rPr>
          <w:br/>
        </w:r>
        <w:r>
          <w:rPr>
            <w:sz w:val="18"/>
            <w:szCs w:val="18"/>
            <w:lang w:val="ru-RU"/>
          </w:rPr>
          <w:t>CA/21</w:t>
        </w:r>
        <w:r>
          <w:rPr>
            <w:sz w:val="18"/>
            <w:szCs w:val="18"/>
            <w:lang w:val="fr-CH"/>
          </w:rPr>
          <w:t>5</w:t>
        </w:r>
        <w:r>
          <w:rPr>
            <w:sz w:val="18"/>
            <w:szCs w:val="18"/>
            <w:lang w:val="ru-RU"/>
          </w:rPr>
          <w:t>-</w:t>
        </w:r>
        <w:r>
          <w:rPr>
            <w:sz w:val="18"/>
            <w:szCs w:val="18"/>
          </w:rPr>
          <w: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18" w:rsidRDefault="006F1118" w:rsidP="006F11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D2139">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F1118" w:rsidTr="00EE5D5B">
      <w:tc>
        <w:tcPr>
          <w:tcW w:w="4889" w:type="dxa"/>
        </w:tcPr>
        <w:p w:rsidR="006F1118" w:rsidRDefault="006F1118" w:rsidP="006F1118">
          <w:pPr>
            <w:pStyle w:val="Header"/>
            <w:tabs>
              <w:tab w:val="clear" w:pos="794"/>
              <w:tab w:val="clear" w:pos="4820"/>
            </w:tabs>
            <w:spacing w:before="120" w:line="360" w:lineRule="auto"/>
          </w:pPr>
          <w:r>
            <w:rPr>
              <w:b/>
              <w:bCs/>
              <w:noProof/>
              <w:lang w:eastAsia="zh-CN"/>
            </w:rPr>
            <w:drawing>
              <wp:inline distT="0" distB="0" distL="0" distR="0" wp14:anchorId="20A3BB05" wp14:editId="444A64D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F1118" w:rsidRDefault="006F1118" w:rsidP="006F1118">
          <w:pPr>
            <w:pStyle w:val="Header"/>
            <w:tabs>
              <w:tab w:val="clear" w:pos="794"/>
              <w:tab w:val="clear" w:pos="4820"/>
            </w:tabs>
            <w:spacing w:line="360" w:lineRule="auto"/>
            <w:jc w:val="right"/>
          </w:pPr>
          <w:r>
            <w:rPr>
              <w:noProof/>
              <w:lang w:eastAsia="zh-CN"/>
            </w:rPr>
            <w:drawing>
              <wp:inline distT="0" distB="0" distL="0" distR="0" wp14:anchorId="750B6485" wp14:editId="511C290B">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80CBE" w:rsidRPr="006F1118" w:rsidRDefault="00180CBE" w:rsidP="006F1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8"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4"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39"/>
  </w:num>
  <w:num w:numId="16">
    <w:abstractNumId w:val="28"/>
  </w:num>
  <w:num w:numId="17">
    <w:abstractNumId w:val="37"/>
  </w:num>
  <w:num w:numId="18">
    <w:abstractNumId w:val="38"/>
  </w:num>
  <w:num w:numId="19">
    <w:abstractNumId w:val="33"/>
  </w:num>
  <w:num w:numId="20">
    <w:abstractNumId w:val="45"/>
  </w:num>
  <w:num w:numId="21">
    <w:abstractNumId w:val="19"/>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8"/>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1"/>
  </w:num>
  <w:num w:numId="28">
    <w:abstractNumId w:val="22"/>
  </w:num>
  <w:num w:numId="29">
    <w:abstractNumId w:val="35"/>
  </w:num>
  <w:num w:numId="30">
    <w:abstractNumId w:val="42"/>
  </w:num>
  <w:num w:numId="31">
    <w:abstractNumId w:val="32"/>
  </w:num>
  <w:num w:numId="32">
    <w:abstractNumId w:val="43"/>
  </w:num>
  <w:num w:numId="33">
    <w:abstractNumId w:val="26"/>
  </w:num>
  <w:num w:numId="34">
    <w:abstractNumId w:val="44"/>
  </w:num>
  <w:num w:numId="35">
    <w:abstractNumId w:val="41"/>
  </w:num>
  <w:num w:numId="36">
    <w:abstractNumId w:val="36"/>
  </w:num>
  <w:num w:numId="37">
    <w:abstractNumId w:val="40"/>
  </w:num>
  <w:num w:numId="38">
    <w:abstractNumId w:val="24"/>
  </w:num>
  <w:num w:numId="39">
    <w:abstractNumId w:val="21"/>
  </w:num>
  <w:num w:numId="40">
    <w:abstractNumId w:val="17"/>
  </w:num>
  <w:num w:numId="41">
    <w:abstractNumId w:val="3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221"/>
    <w:rsid w:val="00006398"/>
    <w:rsid w:val="00006A31"/>
    <w:rsid w:val="00006C82"/>
    <w:rsid w:val="00010E30"/>
    <w:rsid w:val="00015C76"/>
    <w:rsid w:val="00026CF8"/>
    <w:rsid w:val="00030BD7"/>
    <w:rsid w:val="00031E64"/>
    <w:rsid w:val="00032B97"/>
    <w:rsid w:val="00034340"/>
    <w:rsid w:val="00045A8D"/>
    <w:rsid w:val="0005167A"/>
    <w:rsid w:val="00054D5D"/>
    <w:rsid w:val="00054E5D"/>
    <w:rsid w:val="00070258"/>
    <w:rsid w:val="0007323C"/>
    <w:rsid w:val="00086D03"/>
    <w:rsid w:val="000903BA"/>
    <w:rsid w:val="00096F81"/>
    <w:rsid w:val="00097D0E"/>
    <w:rsid w:val="000A096A"/>
    <w:rsid w:val="000A1F85"/>
    <w:rsid w:val="000A375E"/>
    <w:rsid w:val="000A509C"/>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3486A"/>
    <w:rsid w:val="00144DFB"/>
    <w:rsid w:val="001539DE"/>
    <w:rsid w:val="0015495A"/>
    <w:rsid w:val="00180CBE"/>
    <w:rsid w:val="00187CA3"/>
    <w:rsid w:val="00192EB2"/>
    <w:rsid w:val="00194D92"/>
    <w:rsid w:val="00196710"/>
    <w:rsid w:val="00197324"/>
    <w:rsid w:val="001A1EAC"/>
    <w:rsid w:val="001B351B"/>
    <w:rsid w:val="001B504A"/>
    <w:rsid w:val="001C06DB"/>
    <w:rsid w:val="001C6971"/>
    <w:rsid w:val="001C768E"/>
    <w:rsid w:val="001D2785"/>
    <w:rsid w:val="001D7070"/>
    <w:rsid w:val="001F2170"/>
    <w:rsid w:val="001F3948"/>
    <w:rsid w:val="001F5A49"/>
    <w:rsid w:val="001F5E06"/>
    <w:rsid w:val="00201097"/>
    <w:rsid w:val="00201B6E"/>
    <w:rsid w:val="002302B3"/>
    <w:rsid w:val="00230904"/>
    <w:rsid w:val="00230C66"/>
    <w:rsid w:val="00235A29"/>
    <w:rsid w:val="00241526"/>
    <w:rsid w:val="00242CA9"/>
    <w:rsid w:val="00243E5C"/>
    <w:rsid w:val="002443A2"/>
    <w:rsid w:val="00245624"/>
    <w:rsid w:val="00252A00"/>
    <w:rsid w:val="002546AC"/>
    <w:rsid w:val="00266E74"/>
    <w:rsid w:val="00283C3B"/>
    <w:rsid w:val="002861E6"/>
    <w:rsid w:val="00287D18"/>
    <w:rsid w:val="002A2618"/>
    <w:rsid w:val="002A5DD7"/>
    <w:rsid w:val="002A62F1"/>
    <w:rsid w:val="002B0CAC"/>
    <w:rsid w:val="002D2FCB"/>
    <w:rsid w:val="002D5A15"/>
    <w:rsid w:val="002D5BDD"/>
    <w:rsid w:val="002E3D27"/>
    <w:rsid w:val="002F0890"/>
    <w:rsid w:val="002F2531"/>
    <w:rsid w:val="002F4967"/>
    <w:rsid w:val="00316935"/>
    <w:rsid w:val="003266ED"/>
    <w:rsid w:val="00332FEB"/>
    <w:rsid w:val="003370B8"/>
    <w:rsid w:val="0034532A"/>
    <w:rsid w:val="00345D38"/>
    <w:rsid w:val="00352097"/>
    <w:rsid w:val="003666FF"/>
    <w:rsid w:val="0037309C"/>
    <w:rsid w:val="00380A6E"/>
    <w:rsid w:val="00382E29"/>
    <w:rsid w:val="003836D4"/>
    <w:rsid w:val="003A1F49"/>
    <w:rsid w:val="003A5D52"/>
    <w:rsid w:val="003B1143"/>
    <w:rsid w:val="003B25C0"/>
    <w:rsid w:val="003B2BDA"/>
    <w:rsid w:val="003B55EC"/>
    <w:rsid w:val="003C2EA7"/>
    <w:rsid w:val="003C4471"/>
    <w:rsid w:val="003C5CBC"/>
    <w:rsid w:val="003C7D41"/>
    <w:rsid w:val="003D4A69"/>
    <w:rsid w:val="003D6331"/>
    <w:rsid w:val="003E504F"/>
    <w:rsid w:val="003E78D6"/>
    <w:rsid w:val="00400573"/>
    <w:rsid w:val="004007A3"/>
    <w:rsid w:val="00406D71"/>
    <w:rsid w:val="0041757C"/>
    <w:rsid w:val="004326DB"/>
    <w:rsid w:val="0043682E"/>
    <w:rsid w:val="00436CD1"/>
    <w:rsid w:val="0044200B"/>
    <w:rsid w:val="00447ECB"/>
    <w:rsid w:val="004623F7"/>
    <w:rsid w:val="0047099B"/>
    <w:rsid w:val="00480F51"/>
    <w:rsid w:val="00481124"/>
    <w:rsid w:val="004815EB"/>
    <w:rsid w:val="00487569"/>
    <w:rsid w:val="00496864"/>
    <w:rsid w:val="00496920"/>
    <w:rsid w:val="004A4496"/>
    <w:rsid w:val="004B11AB"/>
    <w:rsid w:val="004B7C9A"/>
    <w:rsid w:val="004C0843"/>
    <w:rsid w:val="004C629D"/>
    <w:rsid w:val="004C6779"/>
    <w:rsid w:val="004D733B"/>
    <w:rsid w:val="004E0DC4"/>
    <w:rsid w:val="004E0FB5"/>
    <w:rsid w:val="004E43BB"/>
    <w:rsid w:val="004E460D"/>
    <w:rsid w:val="004E6CA3"/>
    <w:rsid w:val="004F178E"/>
    <w:rsid w:val="004F4543"/>
    <w:rsid w:val="004F5688"/>
    <w:rsid w:val="004F57BB"/>
    <w:rsid w:val="00505309"/>
    <w:rsid w:val="0050789B"/>
    <w:rsid w:val="00510A90"/>
    <w:rsid w:val="005224A1"/>
    <w:rsid w:val="00530D83"/>
    <w:rsid w:val="00534372"/>
    <w:rsid w:val="00534580"/>
    <w:rsid w:val="00543DF8"/>
    <w:rsid w:val="00545D4F"/>
    <w:rsid w:val="00546101"/>
    <w:rsid w:val="00552960"/>
    <w:rsid w:val="00553DD7"/>
    <w:rsid w:val="00563221"/>
    <w:rsid w:val="005638CF"/>
    <w:rsid w:val="0056741E"/>
    <w:rsid w:val="0057325A"/>
    <w:rsid w:val="0057469A"/>
    <w:rsid w:val="00580814"/>
    <w:rsid w:val="00583A0B"/>
    <w:rsid w:val="005A03A3"/>
    <w:rsid w:val="005A2B92"/>
    <w:rsid w:val="005A79E9"/>
    <w:rsid w:val="005B214C"/>
    <w:rsid w:val="005B4499"/>
    <w:rsid w:val="005D3669"/>
    <w:rsid w:val="005E5EB3"/>
    <w:rsid w:val="005F3CB6"/>
    <w:rsid w:val="005F657C"/>
    <w:rsid w:val="00602D53"/>
    <w:rsid w:val="006047E5"/>
    <w:rsid w:val="00606A37"/>
    <w:rsid w:val="00613F22"/>
    <w:rsid w:val="006231F4"/>
    <w:rsid w:val="00643627"/>
    <w:rsid w:val="0064371D"/>
    <w:rsid w:val="006477B8"/>
    <w:rsid w:val="00650B2A"/>
    <w:rsid w:val="00651777"/>
    <w:rsid w:val="006550F8"/>
    <w:rsid w:val="00656226"/>
    <w:rsid w:val="006829B7"/>
    <w:rsid w:val="006829F3"/>
    <w:rsid w:val="006939D0"/>
    <w:rsid w:val="006A1921"/>
    <w:rsid w:val="006A518B"/>
    <w:rsid w:val="006B0590"/>
    <w:rsid w:val="006B3683"/>
    <w:rsid w:val="006B49DA"/>
    <w:rsid w:val="006B7124"/>
    <w:rsid w:val="006C53F8"/>
    <w:rsid w:val="006C7822"/>
    <w:rsid w:val="006C7CDE"/>
    <w:rsid w:val="006D2139"/>
    <w:rsid w:val="006E71F1"/>
    <w:rsid w:val="006F1118"/>
    <w:rsid w:val="00713A18"/>
    <w:rsid w:val="00714B22"/>
    <w:rsid w:val="00716E42"/>
    <w:rsid w:val="007234B1"/>
    <w:rsid w:val="00723D08"/>
    <w:rsid w:val="00725FDA"/>
    <w:rsid w:val="00727816"/>
    <w:rsid w:val="00730B9A"/>
    <w:rsid w:val="00733D84"/>
    <w:rsid w:val="00750CFA"/>
    <w:rsid w:val="007553DA"/>
    <w:rsid w:val="00767D57"/>
    <w:rsid w:val="007771EE"/>
    <w:rsid w:val="00782354"/>
    <w:rsid w:val="007921A7"/>
    <w:rsid w:val="00797359"/>
    <w:rsid w:val="007B3DB1"/>
    <w:rsid w:val="007C23B6"/>
    <w:rsid w:val="007C4AB2"/>
    <w:rsid w:val="007C574A"/>
    <w:rsid w:val="007D183E"/>
    <w:rsid w:val="007D43D0"/>
    <w:rsid w:val="007E1833"/>
    <w:rsid w:val="007E3F13"/>
    <w:rsid w:val="007F751A"/>
    <w:rsid w:val="00800012"/>
    <w:rsid w:val="0080261F"/>
    <w:rsid w:val="00806160"/>
    <w:rsid w:val="00806923"/>
    <w:rsid w:val="008143A4"/>
    <w:rsid w:val="0081513E"/>
    <w:rsid w:val="00836854"/>
    <w:rsid w:val="00854131"/>
    <w:rsid w:val="0085652D"/>
    <w:rsid w:val="0086452E"/>
    <w:rsid w:val="00865CA7"/>
    <w:rsid w:val="0087243F"/>
    <w:rsid w:val="0087694B"/>
    <w:rsid w:val="00880F4D"/>
    <w:rsid w:val="008A3F38"/>
    <w:rsid w:val="008B3352"/>
    <w:rsid w:val="008B35A3"/>
    <w:rsid w:val="008B37E1"/>
    <w:rsid w:val="008B411D"/>
    <w:rsid w:val="008B45F8"/>
    <w:rsid w:val="008C2E74"/>
    <w:rsid w:val="008D2D34"/>
    <w:rsid w:val="008D5409"/>
    <w:rsid w:val="008E006D"/>
    <w:rsid w:val="008E38B4"/>
    <w:rsid w:val="008F369E"/>
    <w:rsid w:val="008F3893"/>
    <w:rsid w:val="008F4F21"/>
    <w:rsid w:val="00904D4A"/>
    <w:rsid w:val="00914FA6"/>
    <w:rsid w:val="009151BA"/>
    <w:rsid w:val="00925023"/>
    <w:rsid w:val="0092749B"/>
    <w:rsid w:val="009277BC"/>
    <w:rsid w:val="00927D57"/>
    <w:rsid w:val="00931A51"/>
    <w:rsid w:val="00932A14"/>
    <w:rsid w:val="00941859"/>
    <w:rsid w:val="00947185"/>
    <w:rsid w:val="009518B3"/>
    <w:rsid w:val="00954C63"/>
    <w:rsid w:val="0095631C"/>
    <w:rsid w:val="009578C8"/>
    <w:rsid w:val="00963D9D"/>
    <w:rsid w:val="00965463"/>
    <w:rsid w:val="0098013E"/>
    <w:rsid w:val="009817C4"/>
    <w:rsid w:val="00981B54"/>
    <w:rsid w:val="009842C3"/>
    <w:rsid w:val="00984BB7"/>
    <w:rsid w:val="009A009A"/>
    <w:rsid w:val="009A4DC3"/>
    <w:rsid w:val="009A6BB6"/>
    <w:rsid w:val="009B3F43"/>
    <w:rsid w:val="009B5CFA"/>
    <w:rsid w:val="009C161F"/>
    <w:rsid w:val="009C56B4"/>
    <w:rsid w:val="009D51A2"/>
    <w:rsid w:val="009E04A8"/>
    <w:rsid w:val="009E2737"/>
    <w:rsid w:val="009E4AEC"/>
    <w:rsid w:val="009E5BD8"/>
    <w:rsid w:val="009E681E"/>
    <w:rsid w:val="009F2AFC"/>
    <w:rsid w:val="00A119E6"/>
    <w:rsid w:val="00A1556B"/>
    <w:rsid w:val="00A20FBC"/>
    <w:rsid w:val="00A31370"/>
    <w:rsid w:val="00A34D6F"/>
    <w:rsid w:val="00A41F91"/>
    <w:rsid w:val="00A63355"/>
    <w:rsid w:val="00A646CF"/>
    <w:rsid w:val="00A73F60"/>
    <w:rsid w:val="00A7596D"/>
    <w:rsid w:val="00A963DF"/>
    <w:rsid w:val="00AA6F41"/>
    <w:rsid w:val="00AC0C22"/>
    <w:rsid w:val="00AC3896"/>
    <w:rsid w:val="00AD2CF2"/>
    <w:rsid w:val="00AE1C9E"/>
    <w:rsid w:val="00AE2D88"/>
    <w:rsid w:val="00AE6F6F"/>
    <w:rsid w:val="00AF3325"/>
    <w:rsid w:val="00AF34D9"/>
    <w:rsid w:val="00AF70DA"/>
    <w:rsid w:val="00B019D3"/>
    <w:rsid w:val="00B102AB"/>
    <w:rsid w:val="00B21065"/>
    <w:rsid w:val="00B21B1F"/>
    <w:rsid w:val="00B30F2C"/>
    <w:rsid w:val="00B34CF9"/>
    <w:rsid w:val="00B37559"/>
    <w:rsid w:val="00B4054B"/>
    <w:rsid w:val="00B43EBF"/>
    <w:rsid w:val="00B464C4"/>
    <w:rsid w:val="00B579B0"/>
    <w:rsid w:val="00B57D11"/>
    <w:rsid w:val="00B6028D"/>
    <w:rsid w:val="00B6458A"/>
    <w:rsid w:val="00B649D7"/>
    <w:rsid w:val="00B81C2F"/>
    <w:rsid w:val="00B901E7"/>
    <w:rsid w:val="00B90743"/>
    <w:rsid w:val="00B90C45"/>
    <w:rsid w:val="00B933BE"/>
    <w:rsid w:val="00BA072F"/>
    <w:rsid w:val="00BC0619"/>
    <w:rsid w:val="00BC3249"/>
    <w:rsid w:val="00BD6738"/>
    <w:rsid w:val="00BD7E5E"/>
    <w:rsid w:val="00BE63DB"/>
    <w:rsid w:val="00BE6574"/>
    <w:rsid w:val="00BF4C9F"/>
    <w:rsid w:val="00C05A3B"/>
    <w:rsid w:val="00C07319"/>
    <w:rsid w:val="00C16FD2"/>
    <w:rsid w:val="00C41900"/>
    <w:rsid w:val="00C4395E"/>
    <w:rsid w:val="00C47FFD"/>
    <w:rsid w:val="00C51E92"/>
    <w:rsid w:val="00C57E2C"/>
    <w:rsid w:val="00C608B7"/>
    <w:rsid w:val="00C66F24"/>
    <w:rsid w:val="00C76D7F"/>
    <w:rsid w:val="00C813AA"/>
    <w:rsid w:val="00C818D7"/>
    <w:rsid w:val="00C9291E"/>
    <w:rsid w:val="00C9464B"/>
    <w:rsid w:val="00CA3F44"/>
    <w:rsid w:val="00CA4E58"/>
    <w:rsid w:val="00CB3771"/>
    <w:rsid w:val="00CB44BF"/>
    <w:rsid w:val="00CB5153"/>
    <w:rsid w:val="00CD2AB5"/>
    <w:rsid w:val="00CD4E44"/>
    <w:rsid w:val="00CE076A"/>
    <w:rsid w:val="00CE2BF0"/>
    <w:rsid w:val="00CE463D"/>
    <w:rsid w:val="00CF6105"/>
    <w:rsid w:val="00CF794A"/>
    <w:rsid w:val="00D076C6"/>
    <w:rsid w:val="00D07A31"/>
    <w:rsid w:val="00D10B35"/>
    <w:rsid w:val="00D10BA0"/>
    <w:rsid w:val="00D21694"/>
    <w:rsid w:val="00D22AF1"/>
    <w:rsid w:val="00D24EB5"/>
    <w:rsid w:val="00D34F5A"/>
    <w:rsid w:val="00D35AB9"/>
    <w:rsid w:val="00D41571"/>
    <w:rsid w:val="00D416A0"/>
    <w:rsid w:val="00D47672"/>
    <w:rsid w:val="00D5123C"/>
    <w:rsid w:val="00D55560"/>
    <w:rsid w:val="00D556D5"/>
    <w:rsid w:val="00D61C5A"/>
    <w:rsid w:val="00D63E7A"/>
    <w:rsid w:val="00D6790C"/>
    <w:rsid w:val="00D73277"/>
    <w:rsid w:val="00D76586"/>
    <w:rsid w:val="00D82657"/>
    <w:rsid w:val="00D87E20"/>
    <w:rsid w:val="00D9230C"/>
    <w:rsid w:val="00DA195D"/>
    <w:rsid w:val="00DA4037"/>
    <w:rsid w:val="00DA53E0"/>
    <w:rsid w:val="00DC7477"/>
    <w:rsid w:val="00DD1EDD"/>
    <w:rsid w:val="00DE47FD"/>
    <w:rsid w:val="00DE66A5"/>
    <w:rsid w:val="00DF2B50"/>
    <w:rsid w:val="00E04C86"/>
    <w:rsid w:val="00E17344"/>
    <w:rsid w:val="00E20F30"/>
    <w:rsid w:val="00E2189C"/>
    <w:rsid w:val="00E25BB1"/>
    <w:rsid w:val="00E27BBA"/>
    <w:rsid w:val="00E30E3F"/>
    <w:rsid w:val="00E3164B"/>
    <w:rsid w:val="00E3422E"/>
    <w:rsid w:val="00E35E8F"/>
    <w:rsid w:val="00E428AB"/>
    <w:rsid w:val="00E438E8"/>
    <w:rsid w:val="00E453A3"/>
    <w:rsid w:val="00E51BAA"/>
    <w:rsid w:val="00E520E2"/>
    <w:rsid w:val="00E530C4"/>
    <w:rsid w:val="00E55996"/>
    <w:rsid w:val="00E64254"/>
    <w:rsid w:val="00E67928"/>
    <w:rsid w:val="00E70FB5"/>
    <w:rsid w:val="00E85676"/>
    <w:rsid w:val="00E915AF"/>
    <w:rsid w:val="00E96415"/>
    <w:rsid w:val="00EA15B3"/>
    <w:rsid w:val="00EB2358"/>
    <w:rsid w:val="00EB3EB8"/>
    <w:rsid w:val="00EC02FE"/>
    <w:rsid w:val="00EC4A96"/>
    <w:rsid w:val="00F16649"/>
    <w:rsid w:val="00F3711E"/>
    <w:rsid w:val="00F37320"/>
    <w:rsid w:val="00F424BF"/>
    <w:rsid w:val="00F44FC3"/>
    <w:rsid w:val="00F46107"/>
    <w:rsid w:val="00F468C5"/>
    <w:rsid w:val="00F52F39"/>
    <w:rsid w:val="00F6184F"/>
    <w:rsid w:val="00F62B1A"/>
    <w:rsid w:val="00F7411E"/>
    <w:rsid w:val="00F80675"/>
    <w:rsid w:val="00F806A0"/>
    <w:rsid w:val="00F8310E"/>
    <w:rsid w:val="00F83E95"/>
    <w:rsid w:val="00F914DD"/>
    <w:rsid w:val="00FA0A43"/>
    <w:rsid w:val="00FA2358"/>
    <w:rsid w:val="00FA4C62"/>
    <w:rsid w:val="00FB2592"/>
    <w:rsid w:val="00FB2810"/>
    <w:rsid w:val="00FB7A2C"/>
    <w:rsid w:val="00FC2947"/>
    <w:rsid w:val="00FC6F6B"/>
    <w:rsid w:val="00FE0818"/>
    <w:rsid w:val="00FE6FB1"/>
    <w:rsid w:val="00FF1E1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728F8EC-D5B7-4B0F-B4B6-BF48F63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4FA6"/>
    <w:rPr>
      <w:b/>
      <w:sz w:val="24"/>
      <w:szCs w:val="22"/>
      <w:lang w:val="en-US" w:eastAsia="en-US"/>
    </w:rPr>
  </w:style>
  <w:style w:type="character" w:customStyle="1" w:styleId="Heading2Char">
    <w:name w:val="Heading 2 Char"/>
    <w:basedOn w:val="DefaultParagraphFont"/>
    <w:link w:val="Heading2"/>
    <w:rsid w:val="00914FA6"/>
    <w:rPr>
      <w:b/>
      <w:sz w:val="24"/>
      <w:szCs w:val="22"/>
      <w:lang w:val="en-US" w:eastAsia="en-US"/>
    </w:rPr>
  </w:style>
  <w:style w:type="character" w:customStyle="1" w:styleId="Heading3Char">
    <w:name w:val="Heading 3 Char"/>
    <w:basedOn w:val="DefaultParagraphFont"/>
    <w:link w:val="Heading3"/>
    <w:rsid w:val="00914FA6"/>
    <w:rPr>
      <w:b/>
      <w:sz w:val="24"/>
      <w:szCs w:val="22"/>
      <w:lang w:val="en-US" w:eastAsia="en-US"/>
    </w:rPr>
  </w:style>
  <w:style w:type="character" w:customStyle="1" w:styleId="Heading4Char">
    <w:name w:val="Heading 4 Char"/>
    <w:basedOn w:val="DefaultParagraphFont"/>
    <w:link w:val="Heading4"/>
    <w:rsid w:val="00914FA6"/>
    <w:rPr>
      <w:b/>
      <w:sz w:val="24"/>
      <w:szCs w:val="22"/>
      <w:lang w:val="en-US" w:eastAsia="en-US"/>
    </w:rPr>
  </w:style>
  <w:style w:type="character" w:customStyle="1" w:styleId="Heading5Char">
    <w:name w:val="Heading 5 Char"/>
    <w:basedOn w:val="DefaultParagraphFont"/>
    <w:link w:val="Heading5"/>
    <w:rsid w:val="00914FA6"/>
    <w:rPr>
      <w:b/>
      <w:sz w:val="24"/>
      <w:szCs w:val="22"/>
      <w:lang w:val="en-US" w:eastAsia="en-US"/>
    </w:rPr>
  </w:style>
  <w:style w:type="character" w:customStyle="1" w:styleId="Heading6Char">
    <w:name w:val="Heading 6 Char"/>
    <w:basedOn w:val="DefaultParagraphFont"/>
    <w:link w:val="Heading6"/>
    <w:rsid w:val="00914FA6"/>
    <w:rPr>
      <w:b/>
      <w:sz w:val="24"/>
      <w:szCs w:val="22"/>
      <w:lang w:val="en-US" w:eastAsia="en-US"/>
    </w:rPr>
  </w:style>
  <w:style w:type="character" w:customStyle="1" w:styleId="Heading7Char">
    <w:name w:val="Heading 7 Char"/>
    <w:basedOn w:val="DefaultParagraphFont"/>
    <w:link w:val="Heading7"/>
    <w:rsid w:val="00914FA6"/>
    <w:rPr>
      <w:b/>
      <w:sz w:val="24"/>
      <w:szCs w:val="22"/>
      <w:lang w:val="en-US" w:eastAsia="en-US"/>
    </w:rPr>
  </w:style>
  <w:style w:type="character" w:customStyle="1" w:styleId="Heading8Char">
    <w:name w:val="Heading 8 Char"/>
    <w:basedOn w:val="DefaultParagraphFont"/>
    <w:link w:val="Heading8"/>
    <w:rsid w:val="00914FA6"/>
    <w:rPr>
      <w:b/>
      <w:sz w:val="24"/>
      <w:szCs w:val="22"/>
      <w:lang w:val="en-US" w:eastAsia="en-US"/>
    </w:rPr>
  </w:style>
  <w:style w:type="character" w:customStyle="1" w:styleId="Heading9Char">
    <w:name w:val="Heading 9 Char"/>
    <w:basedOn w:val="DefaultParagraphFont"/>
    <w:link w:val="Heading9"/>
    <w:rsid w:val="00914FA6"/>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uiPriority w:val="99"/>
    <w:rsid w:val="00563221"/>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uiPriority w:val="99"/>
    <w:rsid w:val="00914FA6"/>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4FA6"/>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914FA6"/>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914FA6"/>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914FA6"/>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914FA6"/>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14FA6"/>
    <w:rPr>
      <w:color w:val="800080" w:themeColor="followedHyperlink"/>
      <w:u w:val="single"/>
    </w:rPr>
  </w:style>
  <w:style w:type="paragraph" w:customStyle="1" w:styleId="AnnexNotitle0">
    <w:name w:val="Annex_No &amp; title"/>
    <w:basedOn w:val="Normal"/>
    <w:next w:val="Normal"/>
    <w:rsid w:val="00914FA6"/>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914FA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914FA6"/>
    <w:rPr>
      <w:rFonts w:ascii="Times New Roman" w:hAnsi="Times New Roman" w:cs="Times New Roman"/>
      <w:caps/>
      <w:lang w:val="en-GB" w:eastAsia="en-US"/>
    </w:rPr>
  </w:style>
  <w:style w:type="paragraph" w:customStyle="1" w:styleId="Figuretitle">
    <w:name w:val="Figure_title"/>
    <w:basedOn w:val="Normal"/>
    <w:next w:val="Normal"/>
    <w:link w:val="FiguretitleChar"/>
    <w:rsid w:val="00914FA6"/>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914FA6"/>
    <w:rPr>
      <w:rFonts w:ascii="Times New Roman Bold" w:hAnsi="Times New Roman Bold" w:cs="Times New Roman"/>
      <w:b/>
      <w:lang w:val="en-GB" w:eastAsia="en-US"/>
    </w:rPr>
  </w:style>
  <w:style w:type="character" w:customStyle="1" w:styleId="hps">
    <w:name w:val="hps"/>
    <w:basedOn w:val="DefaultParagraphFont"/>
    <w:rsid w:val="00914FA6"/>
  </w:style>
  <w:style w:type="paragraph" w:customStyle="1" w:styleId="Reasons">
    <w:name w:val="Reasons"/>
    <w:basedOn w:val="Normal"/>
    <w:qFormat/>
    <w:rsid w:val="00914F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914FA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
    <w:rsid w:val="00914FA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914FA6"/>
    <w:rPr>
      <w:rFonts w:ascii="Times New Roman" w:hAnsi="Times New Roman" w:cs="Times New Roman"/>
      <w:sz w:val="24"/>
      <w:lang w:val="en-GB" w:eastAsia="en-US"/>
    </w:rPr>
  </w:style>
  <w:style w:type="character" w:customStyle="1" w:styleId="Appdef">
    <w:name w:val="App_def"/>
    <w:basedOn w:val="DefaultParagraphFont"/>
    <w:rsid w:val="00914FA6"/>
    <w:rPr>
      <w:rFonts w:ascii="Times New Roman" w:hAnsi="Times New Roman"/>
      <w:b/>
    </w:rPr>
  </w:style>
  <w:style w:type="character" w:customStyle="1" w:styleId="Appref">
    <w:name w:val="App_ref"/>
    <w:basedOn w:val="DefaultParagraphFont"/>
    <w:rsid w:val="00914FA6"/>
  </w:style>
  <w:style w:type="paragraph" w:customStyle="1" w:styleId="AppendixNotitle0">
    <w:name w:val="Appendix_No &amp; title"/>
    <w:basedOn w:val="AnnexNotitle0"/>
    <w:next w:val="Normal"/>
    <w:rsid w:val="00914FA6"/>
  </w:style>
  <w:style w:type="character" w:customStyle="1" w:styleId="Artdef">
    <w:name w:val="Art_def"/>
    <w:basedOn w:val="DefaultParagraphFont"/>
    <w:rsid w:val="00914FA6"/>
    <w:rPr>
      <w:rFonts w:ascii="Times New Roman" w:hAnsi="Times New Roman"/>
      <w:b/>
    </w:rPr>
  </w:style>
  <w:style w:type="character" w:customStyle="1" w:styleId="Artref">
    <w:name w:val="Art_ref"/>
    <w:basedOn w:val="DefaultParagraphFont"/>
    <w:rsid w:val="00914FA6"/>
  </w:style>
  <w:style w:type="character" w:styleId="EndnoteReference">
    <w:name w:val="endnote reference"/>
    <w:basedOn w:val="DefaultParagraphFont"/>
    <w:rsid w:val="00914FA6"/>
    <w:rPr>
      <w:vertAlign w:val="superscript"/>
    </w:rPr>
  </w:style>
  <w:style w:type="paragraph" w:customStyle="1" w:styleId="FigureNotitle0">
    <w:name w:val="Figure_No &amp; title"/>
    <w:basedOn w:val="Normal"/>
    <w:next w:val="Normal"/>
    <w:rsid w:val="00914FA6"/>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914FA6"/>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914FA6"/>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914FA6"/>
    <w:pPr>
      <w:keepNext w:val="0"/>
      <w:spacing w:after="480"/>
    </w:pPr>
  </w:style>
  <w:style w:type="paragraph" w:customStyle="1" w:styleId="RecNoBR">
    <w:name w:val="Rec_No_BR"/>
    <w:basedOn w:val="Normal"/>
    <w:next w:val="Normal"/>
    <w:rsid w:val="00914FA6"/>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914FA6"/>
  </w:style>
  <w:style w:type="character" w:customStyle="1" w:styleId="Recdef">
    <w:name w:val="Rec_def"/>
    <w:basedOn w:val="DefaultParagraphFont"/>
    <w:rsid w:val="00914FA6"/>
    <w:rPr>
      <w:b/>
    </w:rPr>
  </w:style>
  <w:style w:type="paragraph" w:customStyle="1" w:styleId="RepNoBR">
    <w:name w:val="Rep_No_BR"/>
    <w:basedOn w:val="RecNoBR"/>
    <w:next w:val="Normal"/>
    <w:rsid w:val="00914FA6"/>
  </w:style>
  <w:style w:type="character" w:customStyle="1" w:styleId="Resdef">
    <w:name w:val="Res_def"/>
    <w:basedOn w:val="DefaultParagraphFont"/>
    <w:rsid w:val="00914FA6"/>
    <w:rPr>
      <w:rFonts w:ascii="Times New Roman" w:hAnsi="Times New Roman"/>
      <w:b/>
    </w:rPr>
  </w:style>
  <w:style w:type="paragraph" w:customStyle="1" w:styleId="ResNoBR">
    <w:name w:val="Res_No_BR"/>
    <w:basedOn w:val="RecNoBR"/>
    <w:next w:val="Normal"/>
    <w:rsid w:val="00914FA6"/>
  </w:style>
  <w:style w:type="character" w:customStyle="1" w:styleId="Tablefreq">
    <w:name w:val="Table_freq"/>
    <w:basedOn w:val="DefaultParagraphFont"/>
    <w:rsid w:val="00914FA6"/>
    <w:rPr>
      <w:b/>
      <w:color w:val="auto"/>
    </w:rPr>
  </w:style>
  <w:style w:type="paragraph" w:customStyle="1" w:styleId="TableNotitle0">
    <w:name w:val="Table_No &amp; title"/>
    <w:basedOn w:val="Normal"/>
    <w:next w:val="Tablehead"/>
    <w:rsid w:val="00914FA6"/>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14FA6"/>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914FA6"/>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914FA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AnnexNo">
    <w:name w:val="Annex_No"/>
    <w:basedOn w:val="Normal"/>
    <w:next w:val="Annextitle"/>
    <w:rsid w:val="00914FA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914FA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914FA6"/>
    <w:rPr>
      <w:rFonts w:ascii="Times New Roman" w:hAnsi="Times New Roman" w:cs="Times New Roman"/>
      <w:caps/>
      <w:lang w:val="en-GB" w:eastAsia="en-US"/>
    </w:rPr>
  </w:style>
  <w:style w:type="paragraph" w:customStyle="1" w:styleId="Tabletitle">
    <w:name w:val="Table_title"/>
    <w:basedOn w:val="Normal"/>
    <w:next w:val="Tabletext"/>
    <w:link w:val="TabletitleChar"/>
    <w:rsid w:val="00914FA6"/>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914FA6"/>
    <w:rPr>
      <w:rFonts w:ascii="Times New Roman Bold" w:hAnsi="Times New Roman Bold" w:cs="Times New Roman"/>
      <w:b/>
      <w:lang w:val="en-GB" w:eastAsia="en-US"/>
    </w:rPr>
  </w:style>
  <w:style w:type="paragraph" w:customStyle="1" w:styleId="2">
    <w:name w:val="2"/>
    <w:basedOn w:val="Heading1"/>
    <w:rsid w:val="00914FA6"/>
    <w:pPr>
      <w:spacing w:before="360" w:line="240" w:lineRule="auto"/>
      <w:jc w:val="left"/>
    </w:pPr>
    <w:rPr>
      <w:rFonts w:ascii="Times New Roman" w:hAnsi="Times New Roman" w:cs="Times New Roman"/>
      <w:szCs w:val="20"/>
      <w:lang w:val="en-GB"/>
    </w:rPr>
  </w:style>
  <w:style w:type="paragraph" w:styleId="ListBullet">
    <w:name w:val="List Bullet"/>
    <w:basedOn w:val="Normal"/>
    <w:rsid w:val="00914FA6"/>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914FA6"/>
    <w:rPr>
      <w:rFonts w:ascii="Times New Roman" w:hAnsi="Times New Roman" w:cs="Times New Roman"/>
      <w:lang w:val="en-GB" w:eastAsia="en-US"/>
    </w:rPr>
  </w:style>
  <w:style w:type="paragraph" w:styleId="EndnoteText">
    <w:name w:val="endnote text"/>
    <w:basedOn w:val="Normal"/>
    <w:link w:val="EndnoteTextChar"/>
    <w:semiHidden/>
    <w:unhideWhenUsed/>
    <w:rsid w:val="00914FA6"/>
    <w:pPr>
      <w:spacing w:before="0" w:line="240" w:lineRule="auto"/>
      <w:jc w:val="left"/>
    </w:pPr>
    <w:rPr>
      <w:rFonts w:ascii="Times New Roman" w:hAnsi="Times New Roman" w:cs="Times New Roman"/>
      <w:sz w:val="20"/>
      <w:szCs w:val="20"/>
      <w:lang w:val="en-GB"/>
    </w:rPr>
  </w:style>
  <w:style w:type="paragraph" w:customStyle="1" w:styleId="Annexref">
    <w:name w:val="Annex_ref"/>
    <w:basedOn w:val="Normal"/>
    <w:next w:val="Normal"/>
    <w:rsid w:val="00914FA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914FA6"/>
  </w:style>
  <w:style w:type="paragraph" w:customStyle="1" w:styleId="Appendixref">
    <w:name w:val="Appendix_ref"/>
    <w:basedOn w:val="Annexref"/>
    <w:next w:val="Annextitle"/>
    <w:rsid w:val="00914FA6"/>
  </w:style>
  <w:style w:type="paragraph" w:customStyle="1" w:styleId="Appendixtitle">
    <w:name w:val="Appendix_title"/>
    <w:basedOn w:val="Annextitle"/>
    <w:next w:val="Normal"/>
    <w:rsid w:val="00914FA6"/>
  </w:style>
  <w:style w:type="paragraph" w:customStyle="1" w:styleId="Border">
    <w:name w:val="Border"/>
    <w:basedOn w:val="Tabletext"/>
    <w:rsid w:val="00914FA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914FA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14FA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14FA6"/>
  </w:style>
  <w:style w:type="paragraph" w:customStyle="1" w:styleId="Proposal">
    <w:name w:val="Proposal"/>
    <w:basedOn w:val="Normal"/>
    <w:next w:val="Normal"/>
    <w:rsid w:val="00914FA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914FA6"/>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914FA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914FA6"/>
    <w:pPr>
      <w:spacing w:line="240" w:lineRule="auto"/>
      <w:jc w:val="left"/>
    </w:pPr>
    <w:rPr>
      <w:rFonts w:ascii="Times New Roman" w:hAnsi="Times New Roman" w:cs="Times New Roman"/>
      <w:sz w:val="22"/>
      <w:szCs w:val="20"/>
      <w:lang w:val="en-GB"/>
    </w:rPr>
  </w:style>
  <w:style w:type="paragraph" w:styleId="BlockText">
    <w:name w:val="Block Text"/>
    <w:basedOn w:val="Normal"/>
    <w:rsid w:val="00914FA6"/>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914FA6"/>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914FA6"/>
    <w:rPr>
      <w:rFonts w:ascii="Times New Roman" w:hAnsi="Times New Roman" w:cs="Times New Roman"/>
      <w:sz w:val="24"/>
      <w:lang w:val="en-GB" w:eastAsia="en-US"/>
    </w:rPr>
  </w:style>
  <w:style w:type="paragraph" w:customStyle="1" w:styleId="Line">
    <w:name w:val="Line"/>
    <w:basedOn w:val="Normal"/>
    <w:next w:val="Normal"/>
    <w:rsid w:val="00914FA6"/>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914FA6"/>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914FA6"/>
    <w:rPr>
      <w:rFonts w:ascii="Times New Roman" w:hAnsi="Times New Roman" w:cs="Times New Roman"/>
      <w:sz w:val="24"/>
      <w:lang w:val="en-GB" w:eastAsia="en-US"/>
    </w:rPr>
  </w:style>
  <w:style w:type="paragraph" w:styleId="BodyTextIndent2">
    <w:name w:val="Body Text Indent 2"/>
    <w:basedOn w:val="Normal"/>
    <w:link w:val="BodyTextIndent2Char"/>
    <w:rsid w:val="00914FA6"/>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914FA6"/>
    <w:rPr>
      <w:rFonts w:ascii="Times New Roman" w:hAnsi="Times New Roman" w:cs="Times New Roman"/>
      <w:sz w:val="24"/>
      <w:lang w:val="en-GB" w:eastAsia="en-US"/>
    </w:rPr>
  </w:style>
  <w:style w:type="paragraph" w:customStyle="1" w:styleId="call0">
    <w:name w:val="call"/>
    <w:basedOn w:val="Normal"/>
    <w:next w:val="Normal"/>
    <w:rsid w:val="00914FA6"/>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914FA6"/>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914F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914FA6"/>
    <w:pPr>
      <w:spacing w:before="113" w:after="113"/>
      <w:jc w:val="center"/>
    </w:pPr>
    <w:rPr>
      <w:b/>
    </w:rPr>
  </w:style>
  <w:style w:type="character" w:customStyle="1" w:styleId="CharChar">
    <w:name w:val="Char Char"/>
    <w:basedOn w:val="DefaultParagraphFont"/>
    <w:rsid w:val="00914FA6"/>
    <w:rPr>
      <w:sz w:val="22"/>
      <w:lang w:val="en-GB" w:eastAsia="en-US" w:bidi="ar-SA"/>
    </w:rPr>
  </w:style>
  <w:style w:type="paragraph" w:customStyle="1" w:styleId="toctemp">
    <w:name w:val="toctemp"/>
    <w:basedOn w:val="Normal"/>
    <w:next w:val="FootnoteText"/>
    <w:rsid w:val="00914FA6"/>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1Light-Accent512">
    <w:name w:val="Grid Table 1 Light - Accent 512"/>
    <w:basedOn w:val="TableNormal"/>
    <w:uiPriority w:val="46"/>
    <w:rsid w:val="00914FA6"/>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14FA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C0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Rcirculars" TargetMode="External"/><Relationship Id="rId13" Type="http://schemas.openxmlformats.org/officeDocument/2006/relationships/hyperlink" Target="http://www.itu.int/online/mm/scripts/mm.list?_search=UNIV&amp;_languageid=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online/mm/scripts/mm.list?_search=ASSOCIATES&amp;_languagei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mm/scripts/mm.list?_search=SEC&amp;_languageid=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online/mm/scripts/mm.list?_search=ITUstates&amp;_languagei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ties" TargetMode="External"/><Relationship Id="rId14" Type="http://schemas.openxmlformats.org/officeDocument/2006/relationships/hyperlink" Target="mailto:ITU-R.Registrations@itu.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B132-79F8-4707-9937-FEC9EAC4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474</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GF</cp:lastModifiedBy>
  <cp:revision>3</cp:revision>
  <cp:lastPrinted>2015-06-23T13:29:00Z</cp:lastPrinted>
  <dcterms:created xsi:type="dcterms:W3CDTF">2015-08-10T08:04:00Z</dcterms:created>
  <dcterms:modified xsi:type="dcterms:W3CDTF">2015-08-10T08:47:00Z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