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211854" w:rsidTr="00EF178D">
        <w:trPr>
          <w:jc w:val="center"/>
        </w:trPr>
        <w:tc>
          <w:tcPr>
            <w:tcW w:w="9889" w:type="dxa"/>
            <w:gridSpan w:val="3"/>
            <w:shd w:val="clear" w:color="auto" w:fill="auto"/>
          </w:tcPr>
          <w:p w:rsidR="00E53DCE" w:rsidRPr="00211854" w:rsidRDefault="00A96D3A" w:rsidP="00F83DC2">
            <w:pPr>
              <w:spacing w:before="0"/>
              <w:jc w:val="left"/>
              <w:rPr>
                <w:rFonts w:cstheme="minorHAnsi"/>
                <w:b/>
                <w:bCs/>
                <w:color w:val="808080"/>
                <w:sz w:val="28"/>
                <w:szCs w:val="28"/>
                <w:lang w:val="es-ES_tradnl"/>
              </w:rPr>
            </w:pPr>
            <w:r w:rsidRPr="00211854">
              <w:rPr>
                <w:rFonts w:cstheme="minorHAnsi"/>
                <w:b/>
                <w:bCs/>
                <w:color w:val="808080"/>
                <w:sz w:val="28"/>
                <w:szCs w:val="28"/>
                <w:lang w:val="es-ES_tradnl"/>
              </w:rPr>
              <w:t>Oficina de Radiocomunicaciones (BR)</w:t>
            </w:r>
          </w:p>
          <w:p w:rsidR="00E53DCE" w:rsidRPr="00211854" w:rsidRDefault="00E53DCE" w:rsidP="00F83DC2">
            <w:pPr>
              <w:spacing w:before="0"/>
              <w:jc w:val="left"/>
              <w:rPr>
                <w:rFonts w:cstheme="minorHAnsi"/>
                <w:b/>
                <w:bCs/>
                <w:color w:val="808080"/>
                <w:sz w:val="28"/>
                <w:szCs w:val="28"/>
                <w:lang w:val="es-ES_tradnl"/>
              </w:rPr>
            </w:pPr>
          </w:p>
          <w:p w:rsidR="00E53DCE" w:rsidRPr="00211854" w:rsidRDefault="00E53DCE" w:rsidP="00F83DC2">
            <w:pPr>
              <w:spacing w:before="0"/>
              <w:jc w:val="left"/>
              <w:rPr>
                <w:rFonts w:cs="Times New Roman Bold"/>
                <w:b/>
                <w:bCs/>
                <w:color w:val="808080"/>
                <w:sz w:val="28"/>
                <w:szCs w:val="28"/>
                <w:lang w:val="es-ES_tradnl"/>
              </w:rPr>
            </w:pPr>
          </w:p>
        </w:tc>
      </w:tr>
      <w:tr w:rsidR="00E53DCE" w:rsidRPr="00211854" w:rsidTr="00EF178D">
        <w:trPr>
          <w:jc w:val="center"/>
        </w:trPr>
        <w:tc>
          <w:tcPr>
            <w:tcW w:w="7054" w:type="dxa"/>
            <w:gridSpan w:val="2"/>
            <w:shd w:val="clear" w:color="auto" w:fill="auto"/>
          </w:tcPr>
          <w:p w:rsidR="00B769DF" w:rsidRDefault="00B769DF" w:rsidP="00F83DC2">
            <w:pPr>
              <w:spacing w:before="0"/>
              <w:jc w:val="left"/>
              <w:rPr>
                <w:szCs w:val="24"/>
                <w:lang w:val="es-ES_tradnl"/>
              </w:rPr>
            </w:pPr>
            <w:r>
              <w:rPr>
                <w:szCs w:val="24"/>
                <w:lang w:val="es-ES_tradnl"/>
              </w:rPr>
              <w:t>Addéndum 1 a la</w:t>
            </w:r>
          </w:p>
          <w:p w:rsidR="00E53DCE" w:rsidRPr="00211854" w:rsidRDefault="00A96D3A" w:rsidP="00F83DC2">
            <w:pPr>
              <w:spacing w:before="0"/>
              <w:jc w:val="left"/>
              <w:rPr>
                <w:szCs w:val="24"/>
                <w:lang w:val="es-ES_tradnl"/>
              </w:rPr>
            </w:pPr>
            <w:r w:rsidRPr="00211854">
              <w:rPr>
                <w:szCs w:val="24"/>
                <w:lang w:val="es-ES_tradnl"/>
              </w:rPr>
              <w:t>Circular Administrativa</w:t>
            </w:r>
          </w:p>
          <w:p w:rsidR="00E53DCE" w:rsidRPr="00211854" w:rsidRDefault="00E53DCE" w:rsidP="00F83DC2">
            <w:pPr>
              <w:spacing w:before="0"/>
              <w:jc w:val="left"/>
              <w:rPr>
                <w:b/>
                <w:bCs/>
                <w:szCs w:val="24"/>
                <w:lang w:val="es-ES_tradnl"/>
              </w:rPr>
            </w:pPr>
            <w:r w:rsidRPr="00211854">
              <w:rPr>
                <w:b/>
                <w:bCs/>
                <w:szCs w:val="24"/>
                <w:lang w:val="es-ES_tradnl"/>
              </w:rPr>
              <w:t>CA/</w:t>
            </w:r>
            <w:r w:rsidR="00450A07" w:rsidRPr="00211854">
              <w:rPr>
                <w:b/>
                <w:bCs/>
                <w:szCs w:val="24"/>
                <w:lang w:val="es-ES_tradnl"/>
              </w:rPr>
              <w:t>219</w:t>
            </w:r>
          </w:p>
        </w:tc>
        <w:tc>
          <w:tcPr>
            <w:tcW w:w="2835" w:type="dxa"/>
            <w:shd w:val="clear" w:color="auto" w:fill="auto"/>
          </w:tcPr>
          <w:p w:rsidR="00E53DCE" w:rsidRPr="00211854" w:rsidRDefault="00DC21CC" w:rsidP="00DC21CC">
            <w:pPr>
              <w:spacing w:before="0"/>
              <w:jc w:val="right"/>
              <w:rPr>
                <w:szCs w:val="24"/>
                <w:lang w:val="es-ES_tradnl"/>
              </w:rPr>
            </w:pPr>
            <w:r>
              <w:rPr>
                <w:bCs/>
                <w:szCs w:val="24"/>
                <w:lang w:val="es-ES_tradnl"/>
              </w:rPr>
              <w:t>7</w:t>
            </w:r>
            <w:bookmarkStart w:id="0" w:name="_GoBack"/>
            <w:bookmarkEnd w:id="0"/>
            <w:r w:rsidR="00450A07" w:rsidRPr="00211854">
              <w:rPr>
                <w:bCs/>
                <w:szCs w:val="24"/>
                <w:lang w:val="es-ES_tradnl"/>
              </w:rPr>
              <w:t xml:space="preserve"> de </w:t>
            </w:r>
            <w:r>
              <w:rPr>
                <w:bCs/>
                <w:szCs w:val="24"/>
                <w:lang w:val="es-ES_tradnl"/>
              </w:rPr>
              <w:t>mayo</w:t>
            </w:r>
            <w:r w:rsidR="00450A07" w:rsidRPr="00211854">
              <w:rPr>
                <w:bCs/>
                <w:szCs w:val="24"/>
                <w:lang w:val="es-ES_tradnl"/>
              </w:rPr>
              <w:t xml:space="preserve"> de 2015</w:t>
            </w:r>
          </w:p>
        </w:tc>
      </w:tr>
      <w:tr w:rsidR="00E53DCE" w:rsidRPr="00211854" w:rsidTr="00EF178D">
        <w:trPr>
          <w:jc w:val="center"/>
        </w:trPr>
        <w:tc>
          <w:tcPr>
            <w:tcW w:w="9889" w:type="dxa"/>
            <w:gridSpan w:val="3"/>
            <w:shd w:val="clear" w:color="auto" w:fill="auto"/>
          </w:tcPr>
          <w:p w:rsidR="00E53DCE" w:rsidRPr="00211854" w:rsidRDefault="00E53DCE" w:rsidP="00F83DC2">
            <w:pPr>
              <w:spacing w:before="0"/>
              <w:jc w:val="left"/>
              <w:rPr>
                <w:rFonts w:cs="Arial"/>
                <w:szCs w:val="24"/>
                <w:lang w:val="es-ES_tradnl"/>
              </w:rPr>
            </w:pPr>
          </w:p>
        </w:tc>
      </w:tr>
      <w:tr w:rsidR="00E53DCE" w:rsidRPr="00211854" w:rsidTr="00EF178D">
        <w:trPr>
          <w:jc w:val="center"/>
        </w:trPr>
        <w:tc>
          <w:tcPr>
            <w:tcW w:w="9889" w:type="dxa"/>
            <w:gridSpan w:val="3"/>
            <w:shd w:val="clear" w:color="auto" w:fill="auto"/>
          </w:tcPr>
          <w:p w:rsidR="00E53DCE" w:rsidRPr="00211854" w:rsidRDefault="00E53DCE" w:rsidP="00F83DC2">
            <w:pPr>
              <w:spacing w:before="0"/>
              <w:jc w:val="left"/>
              <w:rPr>
                <w:szCs w:val="24"/>
                <w:lang w:val="es-ES_tradnl"/>
              </w:rPr>
            </w:pPr>
          </w:p>
        </w:tc>
      </w:tr>
      <w:tr w:rsidR="00E53DCE" w:rsidRPr="00DC21CC" w:rsidTr="00EF178D">
        <w:trPr>
          <w:jc w:val="center"/>
        </w:trPr>
        <w:tc>
          <w:tcPr>
            <w:tcW w:w="9889" w:type="dxa"/>
            <w:gridSpan w:val="3"/>
            <w:shd w:val="clear" w:color="auto" w:fill="auto"/>
          </w:tcPr>
          <w:p w:rsidR="00E53DCE" w:rsidRPr="00211854" w:rsidRDefault="00450A07" w:rsidP="00F83DC2">
            <w:pPr>
              <w:spacing w:before="0"/>
              <w:jc w:val="left"/>
              <w:rPr>
                <w:b/>
                <w:bCs/>
                <w:szCs w:val="24"/>
                <w:lang w:val="es-ES_tradnl"/>
              </w:rPr>
            </w:pPr>
            <w:r w:rsidRPr="00211854">
              <w:rPr>
                <w:b/>
                <w:szCs w:val="24"/>
                <w:lang w:val="es-ES_tradnl"/>
              </w:rPr>
              <w:t>A las Administraciones de los Estados Miembros de la UIT y a los Observadores en la CMR-15</w:t>
            </w:r>
          </w:p>
          <w:p w:rsidR="00E53DCE" w:rsidRPr="00211854" w:rsidRDefault="00E53DCE" w:rsidP="00F83DC2">
            <w:pPr>
              <w:spacing w:before="0"/>
              <w:jc w:val="left"/>
              <w:rPr>
                <w:b/>
                <w:bCs/>
                <w:szCs w:val="24"/>
                <w:lang w:val="es-ES_tradnl"/>
              </w:rPr>
            </w:pPr>
          </w:p>
        </w:tc>
      </w:tr>
      <w:tr w:rsidR="00E53DCE" w:rsidRPr="00DC21CC" w:rsidTr="00EF178D">
        <w:trPr>
          <w:jc w:val="center"/>
        </w:trPr>
        <w:tc>
          <w:tcPr>
            <w:tcW w:w="9889" w:type="dxa"/>
            <w:gridSpan w:val="3"/>
            <w:shd w:val="clear" w:color="auto" w:fill="auto"/>
          </w:tcPr>
          <w:p w:rsidR="00E53DCE" w:rsidRPr="00211854" w:rsidRDefault="00E53DCE" w:rsidP="00F83DC2">
            <w:pPr>
              <w:spacing w:before="0"/>
              <w:jc w:val="left"/>
              <w:rPr>
                <w:szCs w:val="24"/>
                <w:lang w:val="es-ES_tradnl"/>
              </w:rPr>
            </w:pPr>
          </w:p>
        </w:tc>
      </w:tr>
      <w:tr w:rsidR="00E53DCE" w:rsidRPr="00DC21CC" w:rsidTr="00EF178D">
        <w:trPr>
          <w:jc w:val="center"/>
        </w:trPr>
        <w:tc>
          <w:tcPr>
            <w:tcW w:w="9889" w:type="dxa"/>
            <w:gridSpan w:val="3"/>
            <w:shd w:val="clear" w:color="auto" w:fill="auto"/>
          </w:tcPr>
          <w:p w:rsidR="00E53DCE" w:rsidRPr="00211854" w:rsidRDefault="00E53DCE" w:rsidP="00F83DC2">
            <w:pPr>
              <w:spacing w:before="0"/>
              <w:jc w:val="left"/>
              <w:rPr>
                <w:szCs w:val="24"/>
                <w:lang w:val="es-ES_tradnl"/>
              </w:rPr>
            </w:pPr>
          </w:p>
        </w:tc>
      </w:tr>
      <w:tr w:rsidR="00E53DCE" w:rsidRPr="00DC21CC" w:rsidTr="00EF178D">
        <w:trPr>
          <w:jc w:val="center"/>
        </w:trPr>
        <w:tc>
          <w:tcPr>
            <w:tcW w:w="1526" w:type="dxa"/>
            <w:shd w:val="clear" w:color="auto" w:fill="auto"/>
          </w:tcPr>
          <w:p w:rsidR="00E53DCE" w:rsidRPr="00BD4B51" w:rsidRDefault="00450A07" w:rsidP="00F83DC2">
            <w:pPr>
              <w:tabs>
                <w:tab w:val="clear" w:pos="1588"/>
                <w:tab w:val="left" w:pos="1560"/>
              </w:tabs>
              <w:spacing w:before="0"/>
              <w:jc w:val="left"/>
              <w:rPr>
                <w:szCs w:val="24"/>
                <w:lang w:val="es-ES_tradnl"/>
              </w:rPr>
            </w:pPr>
            <w:r w:rsidRPr="00BD4B51">
              <w:rPr>
                <w:szCs w:val="24"/>
                <w:lang w:val="es-ES_tradnl"/>
              </w:rPr>
              <w:t>Asunto</w:t>
            </w:r>
            <w:r w:rsidR="00A96D3A" w:rsidRPr="00BD4B51">
              <w:rPr>
                <w:szCs w:val="24"/>
                <w:lang w:val="es-ES_tradnl"/>
              </w:rPr>
              <w:t>:</w:t>
            </w:r>
          </w:p>
        </w:tc>
        <w:tc>
          <w:tcPr>
            <w:tcW w:w="8363" w:type="dxa"/>
            <w:gridSpan w:val="2"/>
            <w:vMerge w:val="restart"/>
            <w:shd w:val="clear" w:color="auto" w:fill="auto"/>
          </w:tcPr>
          <w:p w:rsidR="00E53DCE" w:rsidRPr="00211854" w:rsidRDefault="00450A07" w:rsidP="00F83DC2">
            <w:pPr>
              <w:tabs>
                <w:tab w:val="clear" w:pos="1588"/>
                <w:tab w:val="left" w:pos="1560"/>
              </w:tabs>
              <w:spacing w:before="0"/>
              <w:rPr>
                <w:b/>
                <w:bCs/>
                <w:szCs w:val="24"/>
                <w:lang w:val="es-ES_tradnl"/>
              </w:rPr>
            </w:pPr>
            <w:r w:rsidRPr="00211854">
              <w:rPr>
                <w:b/>
                <w:bCs/>
                <w:szCs w:val="24"/>
                <w:lang w:val="es-ES_tradnl"/>
              </w:rPr>
              <w:t>Conferencia Mundial de Radiocomunicaciones de 2015 (CMR-15)</w:t>
            </w:r>
            <w:r w:rsidR="00B769DF">
              <w:rPr>
                <w:b/>
                <w:bCs/>
                <w:szCs w:val="24"/>
                <w:lang w:val="es-ES_tradnl"/>
              </w:rPr>
              <w:t xml:space="preserve"> – Presentación de propuest</w:t>
            </w:r>
            <w:r w:rsidR="00F83DC2">
              <w:rPr>
                <w:b/>
                <w:bCs/>
                <w:szCs w:val="24"/>
                <w:lang w:val="es-ES_tradnl"/>
              </w:rPr>
              <w:t>a</w:t>
            </w:r>
            <w:r w:rsidR="00B769DF">
              <w:rPr>
                <w:b/>
                <w:bCs/>
                <w:szCs w:val="24"/>
                <w:lang w:val="es-ES_tradnl"/>
              </w:rPr>
              <w:t>s a la CMR-15</w:t>
            </w:r>
          </w:p>
        </w:tc>
      </w:tr>
      <w:tr w:rsidR="00E53DCE" w:rsidRPr="00DC21CC" w:rsidTr="00EF178D">
        <w:trPr>
          <w:jc w:val="center"/>
        </w:trPr>
        <w:tc>
          <w:tcPr>
            <w:tcW w:w="1526" w:type="dxa"/>
            <w:shd w:val="clear" w:color="auto" w:fill="auto"/>
          </w:tcPr>
          <w:p w:rsidR="00E53DCE" w:rsidRPr="00211854" w:rsidRDefault="00E53DCE" w:rsidP="00F83DC2">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211854" w:rsidRDefault="00E53DCE" w:rsidP="00F83DC2">
            <w:pPr>
              <w:tabs>
                <w:tab w:val="clear" w:pos="1588"/>
                <w:tab w:val="left" w:pos="1560"/>
              </w:tabs>
              <w:spacing w:before="0"/>
              <w:rPr>
                <w:b/>
                <w:bCs/>
                <w:szCs w:val="24"/>
                <w:lang w:val="es-ES_tradnl"/>
              </w:rPr>
            </w:pPr>
          </w:p>
        </w:tc>
      </w:tr>
    </w:tbl>
    <w:p w:rsidR="00E1398F" w:rsidRPr="00211854" w:rsidRDefault="00E1398F" w:rsidP="00F83DC2">
      <w:pPr>
        <w:pStyle w:val="Heading1"/>
        <w:rPr>
          <w:lang w:val="es-ES_tradnl"/>
        </w:rPr>
      </w:pPr>
      <w:r w:rsidRPr="00211854">
        <w:rPr>
          <w:lang w:val="es-ES_tradnl"/>
        </w:rPr>
        <w:t>1</w:t>
      </w:r>
      <w:r w:rsidRPr="00211854">
        <w:rPr>
          <w:lang w:val="es-ES_tradnl"/>
        </w:rPr>
        <w:tab/>
        <w:t>Invitación, fecha y lugar de celebración</w:t>
      </w:r>
    </w:p>
    <w:p w:rsidR="00E1398F" w:rsidRPr="00211854" w:rsidRDefault="00E1398F" w:rsidP="00156E9E">
      <w:pPr>
        <w:rPr>
          <w:lang w:val="es-ES_tradnl"/>
        </w:rPr>
      </w:pPr>
      <w:r w:rsidRPr="00211854">
        <w:rPr>
          <w:lang w:val="es-ES_tradnl"/>
        </w:rPr>
        <w:t>Conforme a lo anunciado por el Secretario General en las Cartas Circulares CL-002 y DM-15/1000 de</w:t>
      </w:r>
      <w:r w:rsidR="0091225D" w:rsidRPr="00211854">
        <w:rPr>
          <w:lang w:val="es-ES_tradnl"/>
        </w:rPr>
        <w:t> </w:t>
      </w:r>
      <w:r w:rsidRPr="00211854">
        <w:rPr>
          <w:lang w:val="es-ES_tradnl"/>
        </w:rPr>
        <w:t>19 de enero de 2015, la Conferencia Mundial de Radiocomunicaciones de 2015 (CMR-15) se celebrará del 2 al 27 de noviembre de 2015 en la Sede de la UIT en Ginebra y en el Centro Internacional de Conferencias de Ginebra</w:t>
      </w:r>
      <w:r w:rsidRPr="00211854">
        <w:rPr>
          <w:rFonts w:asciiTheme="minorHAnsi" w:hAnsiTheme="minorHAnsi"/>
          <w:lang w:val="es-ES_tradnl"/>
        </w:rPr>
        <w:t xml:space="preserve"> (CICG), inmediatamente después de la Asamblea de Radiocomunicaciones de</w:t>
      </w:r>
      <w:r w:rsidRPr="00211854">
        <w:rPr>
          <w:lang w:val="es-ES_tradnl"/>
        </w:rPr>
        <w:t xml:space="preserve"> 2015 (AR-15). En </w:t>
      </w:r>
      <w:r w:rsidR="00F83DC2">
        <w:rPr>
          <w:lang w:val="es-ES_tradnl"/>
        </w:rPr>
        <w:t>la</w:t>
      </w:r>
      <w:r w:rsidRPr="00211854">
        <w:rPr>
          <w:lang w:val="es-ES_tradnl"/>
        </w:rPr>
        <w:t xml:space="preserve"> Circular Administrativa </w:t>
      </w:r>
      <w:hyperlink r:id="rId8" w:history="1">
        <w:r w:rsidR="00F83DC2" w:rsidRPr="00156E9E">
          <w:rPr>
            <w:rStyle w:val="Hyperlink"/>
            <w:rFonts w:asciiTheme="minorHAnsi" w:hAnsiTheme="minorHAnsi"/>
            <w:lang w:val="es-ES_tradnl"/>
          </w:rPr>
          <w:t>CA/219</w:t>
        </w:r>
      </w:hyperlink>
      <w:r w:rsidR="00F83DC2">
        <w:rPr>
          <w:lang w:val="es-ES_tradnl"/>
        </w:rPr>
        <w:t>, del 17 de febrero de</w:t>
      </w:r>
      <w:r w:rsidR="00156E9E">
        <w:rPr>
          <w:lang w:val="es-ES_tradnl"/>
        </w:rPr>
        <w:t> </w:t>
      </w:r>
      <w:r w:rsidR="00F83DC2">
        <w:rPr>
          <w:lang w:val="es-ES_tradnl"/>
        </w:rPr>
        <w:t xml:space="preserve">2015, </w:t>
      </w:r>
      <w:r w:rsidRPr="00211854">
        <w:rPr>
          <w:lang w:val="es-ES_tradnl"/>
        </w:rPr>
        <w:t>se facilita información detallada sobre la CMR-15 que resultará útil a los miembros en los preparativos de la misma.</w:t>
      </w:r>
      <w:r w:rsidR="00F83DC2">
        <w:rPr>
          <w:lang w:val="es-ES_tradnl"/>
        </w:rPr>
        <w:t xml:space="preserve"> El objeto de este Addéndum a la </w:t>
      </w:r>
      <w:r w:rsidR="00F83DC2" w:rsidRPr="00F83DC2">
        <w:rPr>
          <w:lang w:val="es-ES_tradnl"/>
        </w:rPr>
        <w:t>Circular Administrativa CA/219</w:t>
      </w:r>
      <w:r w:rsidR="00F83DC2">
        <w:rPr>
          <w:lang w:val="es-ES_tradnl"/>
        </w:rPr>
        <w:t xml:space="preserve"> es facilitar más detalles para los preparativos de la CMR-15.</w:t>
      </w:r>
    </w:p>
    <w:p w:rsidR="00E1398F" w:rsidRPr="00211854" w:rsidRDefault="00E1398F" w:rsidP="00E1398F">
      <w:pPr>
        <w:pStyle w:val="Heading1"/>
        <w:rPr>
          <w:lang w:val="es-ES_tradnl"/>
        </w:rPr>
      </w:pPr>
      <w:r w:rsidRPr="00211854">
        <w:rPr>
          <w:lang w:val="es-ES_tradnl"/>
        </w:rPr>
        <w:t>2</w:t>
      </w:r>
      <w:r w:rsidRPr="00211854">
        <w:rPr>
          <w:lang w:val="es-ES_tradnl"/>
        </w:rPr>
        <w:tab/>
        <w:t>Presentación de propuestas preparadas antes de la CMR-15</w:t>
      </w:r>
    </w:p>
    <w:p w:rsidR="00E1398F" w:rsidRPr="00144183" w:rsidRDefault="00F83DC2" w:rsidP="00144183">
      <w:pPr>
        <w:rPr>
          <w:lang w:val="es-ES_tradnl"/>
        </w:rPr>
      </w:pPr>
      <w:r w:rsidRPr="00144183">
        <w:rPr>
          <w:lang w:val="es-ES_tradnl"/>
        </w:rPr>
        <w:t>Se recuerda a los Estados Miembros y a</w:t>
      </w:r>
      <w:r w:rsidR="00E1398F" w:rsidRPr="00144183">
        <w:rPr>
          <w:lang w:val="es-ES_tradnl"/>
        </w:rPr>
        <w:t xml:space="preserve">l Estado de Palestina </w:t>
      </w:r>
      <w:r w:rsidRPr="00144183">
        <w:rPr>
          <w:lang w:val="es-ES_tradnl"/>
        </w:rPr>
        <w:t xml:space="preserve">que pueden remitirse a la Sección 2 de la Circular Administrativa </w:t>
      </w:r>
      <w:hyperlink r:id="rId9" w:history="1">
        <w:r w:rsidR="00144183" w:rsidRPr="00156E9E">
          <w:rPr>
            <w:rStyle w:val="Hyperlink"/>
            <w:rFonts w:asciiTheme="minorHAnsi" w:hAnsiTheme="minorHAnsi"/>
            <w:lang w:val="es-ES_tradnl"/>
          </w:rPr>
          <w:t>CA/219</w:t>
        </w:r>
      </w:hyperlink>
      <w:r w:rsidR="00E1398F" w:rsidRPr="00144183">
        <w:rPr>
          <w:lang w:val="es-ES_tradnl"/>
        </w:rPr>
        <w:t xml:space="preserve"> </w:t>
      </w:r>
      <w:r w:rsidRPr="00144183">
        <w:rPr>
          <w:lang w:val="es-ES_tradnl"/>
        </w:rPr>
        <w:t xml:space="preserve">a efectos de la presentación de sus </w:t>
      </w:r>
      <w:r w:rsidR="00E1398F" w:rsidRPr="00144183">
        <w:rPr>
          <w:lang w:val="es-ES_tradnl"/>
        </w:rPr>
        <w:t xml:space="preserve">propuestas para los trabajos de la CMR-15. </w:t>
      </w:r>
      <w:r w:rsidRPr="00144183">
        <w:rPr>
          <w:lang w:val="es-ES_tradnl"/>
        </w:rPr>
        <w:t>En especial</w:t>
      </w:r>
      <w:r w:rsidR="00E1398F" w:rsidRPr="00144183">
        <w:rPr>
          <w:lang w:val="es-ES_tradnl"/>
        </w:rPr>
        <w:t xml:space="preserve">, </w:t>
      </w:r>
      <w:r w:rsidRPr="00144183">
        <w:rPr>
          <w:lang w:val="es-ES_tradnl"/>
        </w:rPr>
        <w:t xml:space="preserve">y </w:t>
      </w:r>
      <w:r w:rsidR="00E1398F" w:rsidRPr="00144183">
        <w:rPr>
          <w:lang w:val="es-ES_tradnl"/>
        </w:rPr>
        <w:t xml:space="preserve">de conformidad con la Resolución 165 (Guadalajara, 2010), a fin de garantizar la traducción a tiempo y el examen detallado por las </w:t>
      </w:r>
      <w:r w:rsidR="00144183">
        <w:rPr>
          <w:lang w:val="es-ES_tradnl"/>
        </w:rPr>
        <w:t>d</w:t>
      </w:r>
      <w:r w:rsidR="00E1398F" w:rsidRPr="00144183">
        <w:rPr>
          <w:lang w:val="es-ES_tradnl"/>
        </w:rPr>
        <w:t xml:space="preserve">elegaciones de los documentos sometidos a la CMR-15, los Estados Miembros </w:t>
      </w:r>
      <w:r w:rsidRPr="00144183">
        <w:rPr>
          <w:lang w:val="es-ES_tradnl"/>
        </w:rPr>
        <w:t xml:space="preserve">y el Estado de Palestina </w:t>
      </w:r>
      <w:r w:rsidR="00E1398F" w:rsidRPr="00144183">
        <w:rPr>
          <w:lang w:val="es-ES_tradnl"/>
        </w:rPr>
        <w:t xml:space="preserve">deben </w:t>
      </w:r>
      <w:r w:rsidR="00E1398F" w:rsidRPr="00144183">
        <w:rPr>
          <w:b/>
          <w:bCs/>
          <w:lang w:val="es-ES_tradnl"/>
        </w:rPr>
        <w:t xml:space="preserve">someter sus propuestas a más tardar </w:t>
      </w:r>
      <w:r w:rsidR="0019138B" w:rsidRPr="00144183">
        <w:rPr>
          <w:b/>
          <w:bCs/>
          <w:lang w:val="es-ES_tradnl"/>
        </w:rPr>
        <w:t>catorce (</w:t>
      </w:r>
      <w:r w:rsidR="00E1398F" w:rsidRPr="00144183">
        <w:rPr>
          <w:b/>
          <w:bCs/>
          <w:lang w:val="es-ES_tradnl"/>
        </w:rPr>
        <w:t>14</w:t>
      </w:r>
      <w:r w:rsidR="0019138B" w:rsidRPr="00144183">
        <w:rPr>
          <w:b/>
          <w:bCs/>
          <w:lang w:val="es-ES_tradnl"/>
        </w:rPr>
        <w:t>)</w:t>
      </w:r>
      <w:r w:rsidR="00E1398F" w:rsidRPr="00144183">
        <w:rPr>
          <w:b/>
          <w:bCs/>
          <w:lang w:val="es-ES_tradnl"/>
        </w:rPr>
        <w:t xml:space="preserve"> días ant</w:t>
      </w:r>
      <w:r w:rsidR="0019138B" w:rsidRPr="00144183">
        <w:rPr>
          <w:b/>
          <w:bCs/>
          <w:lang w:val="es-ES_tradnl"/>
        </w:rPr>
        <w:t>es del inicio de la Conferencia</w:t>
      </w:r>
      <w:r w:rsidR="00E1398F" w:rsidRPr="00144183">
        <w:rPr>
          <w:b/>
          <w:bCs/>
          <w:lang w:val="es-ES_tradnl"/>
        </w:rPr>
        <w:t xml:space="preserve"> </w:t>
      </w:r>
      <w:r w:rsidR="0019138B" w:rsidRPr="00144183">
        <w:rPr>
          <w:b/>
          <w:bCs/>
          <w:lang w:val="es-ES_tradnl"/>
        </w:rPr>
        <w:t>(a más tardar</w:t>
      </w:r>
      <w:r w:rsidR="00E1398F" w:rsidRPr="00144183">
        <w:rPr>
          <w:b/>
          <w:bCs/>
          <w:lang w:val="es-ES_tradnl"/>
        </w:rPr>
        <w:t xml:space="preserve"> el 19 de octubre de 2015</w:t>
      </w:r>
      <w:r w:rsidR="0019138B" w:rsidRPr="00144183">
        <w:rPr>
          <w:b/>
          <w:bCs/>
          <w:lang w:val="es-ES_tradnl"/>
        </w:rPr>
        <w:t>)</w:t>
      </w:r>
      <w:r w:rsidR="00E1398F" w:rsidRPr="00144183">
        <w:rPr>
          <w:lang w:val="es-ES_tradnl"/>
        </w:rPr>
        <w:t>.</w:t>
      </w:r>
    </w:p>
    <w:p w:rsidR="00E1398F" w:rsidRPr="008A1EDB" w:rsidRDefault="002724BF" w:rsidP="008A1EDB">
      <w:pPr>
        <w:rPr>
          <w:lang w:val="es-ES_tradnl"/>
        </w:rPr>
      </w:pPr>
      <w:r w:rsidRPr="008A1EDB">
        <w:rPr>
          <w:lang w:val="es-ES_tradnl"/>
        </w:rPr>
        <w:t xml:space="preserve">La Secretaría se complace en informarle que ya está disponible en el </w:t>
      </w:r>
      <w:r w:rsidRPr="008A1EDB">
        <w:rPr>
          <w:b/>
          <w:bCs/>
          <w:lang w:val="es-ES_tradnl"/>
        </w:rPr>
        <w:t>sitio web de la CMR-15</w:t>
      </w:r>
      <w:r w:rsidR="00141BBC" w:rsidRPr="008A1EDB">
        <w:rPr>
          <w:b/>
          <w:bCs/>
          <w:lang w:val="es-ES_tradnl"/>
        </w:rPr>
        <w:t>,</w:t>
      </w:r>
      <w:r w:rsidRPr="008A1EDB">
        <w:rPr>
          <w:b/>
          <w:bCs/>
          <w:lang w:val="es-ES_tradnl"/>
        </w:rPr>
        <w:t xml:space="preserve"> en la dirección </w:t>
      </w:r>
      <w:hyperlink r:id="rId10" w:tooltip="click to update" w:history="1">
        <w:r w:rsidR="008A1EDB" w:rsidRPr="00156E9E">
          <w:rPr>
            <w:rStyle w:val="Hyperlink"/>
            <w:rFonts w:asciiTheme="minorHAnsi" w:hAnsiTheme="minorHAnsi" w:cstheme="majorBidi"/>
            <w:b/>
            <w:bCs/>
            <w:szCs w:val="24"/>
            <w:shd w:val="clear" w:color="auto" w:fill="FFFFFF"/>
            <w:lang w:val="es-ES_tradnl"/>
          </w:rPr>
          <w:t>www.itu.int/go/ITU-R/wrc-15</w:t>
        </w:r>
      </w:hyperlink>
      <w:r w:rsidR="00141BBC" w:rsidRPr="008A1EDB">
        <w:rPr>
          <w:lang w:val="es-ES_tradnl"/>
        </w:rPr>
        <w:t xml:space="preserve">, </w:t>
      </w:r>
      <w:r w:rsidRPr="008A1EDB">
        <w:rPr>
          <w:lang w:val="es-ES_tradnl"/>
        </w:rPr>
        <w:t xml:space="preserve">una herramienta electrónica destinada a facilitar la preparación y presentación de propuestas a la CMR-15. Dicha herramienta, llamada </w:t>
      </w:r>
      <w:r w:rsidRPr="008A1EDB">
        <w:rPr>
          <w:b/>
          <w:bCs/>
          <w:lang w:val="es-ES_tradnl"/>
        </w:rPr>
        <w:t>Interfaz de Propuestas a la Conferencia (CPI)</w:t>
      </w:r>
      <w:r w:rsidRPr="008A1EDB">
        <w:rPr>
          <w:lang w:val="es-ES_tradnl"/>
        </w:rPr>
        <w:t xml:space="preserve"> se ha desarrollado a fin de ayudar al cumplimiento de las disposiciones 41 y 42 del Reglamento General de las conferencias, asambleas </w:t>
      </w:r>
      <w:r w:rsidRPr="008A1EDB">
        <w:rPr>
          <w:lang w:val="es-ES_tradnl"/>
        </w:rPr>
        <w:lastRenderedPageBreak/>
        <w:t xml:space="preserve">y reuniones de la Unión en lo que respecta al formato de las propuestas destinadas a la Conferencia. Puede accederse mediante una </w:t>
      </w:r>
      <w:hyperlink r:id="rId11" w:history="1">
        <w:r w:rsidR="008A1EDB" w:rsidRPr="00595B94">
          <w:rPr>
            <w:rStyle w:val="Hyperlink"/>
            <w:lang w:val="es-ES_tradnl"/>
          </w:rPr>
          <w:t>cuenta TIES</w:t>
        </w:r>
      </w:hyperlink>
      <w:r w:rsidRPr="008A1EDB">
        <w:rPr>
          <w:lang w:val="es-ES_tradnl"/>
        </w:rPr>
        <w:t xml:space="preserve"> a la CPI, así como a las directrices relativas a la manera de utilizar el sistema. Pronto se dispondrá en la misma página de un vídeo en los seis idiomas de la Unión acerca de la manera de </w:t>
      </w:r>
      <w:r w:rsidR="00303C4F" w:rsidRPr="008A1EDB">
        <w:rPr>
          <w:lang w:val="es-ES_tradnl"/>
        </w:rPr>
        <w:t>utilizar la CPI.</w:t>
      </w:r>
    </w:p>
    <w:p w:rsidR="00E1398F" w:rsidRDefault="00E1398F" w:rsidP="00156E9E">
      <w:pPr>
        <w:rPr>
          <w:lang w:val="es-ES_tradnl"/>
        </w:rPr>
      </w:pPr>
      <w:r w:rsidRPr="00211854">
        <w:rPr>
          <w:lang w:val="es-ES_tradnl"/>
        </w:rPr>
        <w:t xml:space="preserve">Se insta a los Estados Miembros </w:t>
      </w:r>
      <w:r w:rsidR="002724BF">
        <w:rPr>
          <w:lang w:val="es-ES_tradnl"/>
        </w:rPr>
        <w:t>a utilizar el CPI para</w:t>
      </w:r>
      <w:r w:rsidRPr="00211854">
        <w:rPr>
          <w:lang w:val="es-ES_tradnl"/>
        </w:rPr>
        <w:t xml:space="preserve"> preparar </w:t>
      </w:r>
      <w:r w:rsidR="002724BF">
        <w:rPr>
          <w:lang w:val="es-ES_tradnl"/>
        </w:rPr>
        <w:t xml:space="preserve">y someter </w:t>
      </w:r>
      <w:r w:rsidRPr="00211854">
        <w:rPr>
          <w:lang w:val="es-ES_tradnl"/>
        </w:rPr>
        <w:t xml:space="preserve">sus propuestas iniciales </w:t>
      </w:r>
      <w:r w:rsidR="00141BBC">
        <w:rPr>
          <w:lang w:val="es-ES_tradnl"/>
        </w:rPr>
        <w:t>a la CMR-15</w:t>
      </w:r>
      <w:r w:rsidR="00141BBC" w:rsidRPr="00211854">
        <w:rPr>
          <w:lang w:val="es-ES_tradnl"/>
        </w:rPr>
        <w:t xml:space="preserve">. </w:t>
      </w:r>
      <w:r w:rsidR="00141BBC">
        <w:rPr>
          <w:lang w:val="es-ES_tradnl"/>
        </w:rPr>
        <w:t xml:space="preserve">Con ello se </w:t>
      </w:r>
      <w:r w:rsidRPr="00211854">
        <w:rPr>
          <w:lang w:val="es-ES_tradnl"/>
        </w:rPr>
        <w:t xml:space="preserve">facilita </w:t>
      </w:r>
      <w:r w:rsidR="00141BBC">
        <w:rPr>
          <w:lang w:val="es-ES_tradnl"/>
        </w:rPr>
        <w:t xml:space="preserve">y optimiza </w:t>
      </w:r>
      <w:r w:rsidRPr="00211854">
        <w:rPr>
          <w:lang w:val="es-ES_tradnl"/>
        </w:rPr>
        <w:t xml:space="preserve">la preparación de las </w:t>
      </w:r>
      <w:r w:rsidR="00141BBC">
        <w:rPr>
          <w:lang w:val="es-ES_tradnl"/>
        </w:rPr>
        <w:t xml:space="preserve">contribuciones por parte de la Secretaría y se acelera su publicación en los seis idiomas de la Unión. </w:t>
      </w:r>
    </w:p>
    <w:p w:rsidR="00FB0433" w:rsidRDefault="00FB0433" w:rsidP="00FB0433">
      <w:pPr>
        <w:rPr>
          <w:lang w:val="es-ES_tradnl"/>
        </w:rPr>
      </w:pPr>
      <w:r>
        <w:rPr>
          <w:lang w:val="es-ES_tradnl"/>
        </w:rPr>
        <w:t xml:space="preserve">Las propuestas deben someterse a través del </w:t>
      </w:r>
      <w:hyperlink r:id="rId12" w:history="1">
        <w:r w:rsidR="008A1EDB" w:rsidRPr="00FB0433">
          <w:rPr>
            <w:rStyle w:val="Hyperlink"/>
            <w:lang w:val="es-ES_tradnl"/>
          </w:rPr>
          <w:t>coordinador designado</w:t>
        </w:r>
      </w:hyperlink>
      <w:r>
        <w:rPr>
          <w:lang w:val="es-ES_tradnl"/>
        </w:rPr>
        <w:t xml:space="preserve"> de la Administración, o, alternativamente, por una persona acreditada (en cuyo caso debe informarse de ello a la Oficina de Radiocomunicaciones)</w:t>
      </w:r>
      <w:r w:rsidR="005B7CEF">
        <w:rPr>
          <w:lang w:val="es-ES_tradnl"/>
        </w:rPr>
        <w:t xml:space="preserve">. Las administraciones pueden presentar sus propuestas utilizando el mecanismo de presentación de propuestas CPI o por correo-e a la Secretaría de la CMR en la dirección </w:t>
      </w:r>
      <w:hyperlink r:id="rId13" w:history="1">
        <w:r w:rsidR="005B7CEF" w:rsidRPr="00C64297">
          <w:rPr>
            <w:rStyle w:val="Hyperlink"/>
            <w:lang w:val="es-ES_tradnl"/>
          </w:rPr>
          <w:t>wrc15@itu.int</w:t>
        </w:r>
      </w:hyperlink>
      <w:r w:rsidR="005B7CEF">
        <w:rPr>
          <w:lang w:val="es-ES_tradnl"/>
        </w:rPr>
        <w:t>.</w:t>
      </w:r>
    </w:p>
    <w:p w:rsidR="00E1398F" w:rsidRPr="00211854" w:rsidRDefault="00E1398F" w:rsidP="005B7CEF">
      <w:pPr>
        <w:pStyle w:val="Heading1"/>
        <w:rPr>
          <w:lang w:val="es-ES_tradnl"/>
        </w:rPr>
      </w:pPr>
      <w:r w:rsidRPr="00211854">
        <w:rPr>
          <w:lang w:val="es-ES_tradnl"/>
        </w:rPr>
        <w:t>3</w:t>
      </w:r>
      <w:r w:rsidRPr="00211854">
        <w:rPr>
          <w:lang w:val="es-ES_tradnl"/>
        </w:rPr>
        <w:tab/>
      </w:r>
      <w:r w:rsidR="005B7CEF">
        <w:rPr>
          <w:lang w:val="es-ES_tradnl"/>
        </w:rPr>
        <w:t>Sistema de gestión de propuestas de la CMR-15</w:t>
      </w:r>
    </w:p>
    <w:p w:rsidR="005B7CEF" w:rsidRPr="008A1EDB" w:rsidRDefault="005B7CEF" w:rsidP="008A1EDB">
      <w:pPr>
        <w:rPr>
          <w:lang w:val="es-ES_tradnl"/>
        </w:rPr>
      </w:pPr>
      <w:r w:rsidRPr="008A1EDB">
        <w:rPr>
          <w:lang w:val="es-ES_tradnl"/>
        </w:rPr>
        <w:t>Se ha desarrollado un Sistema de gestión de propuestas para la CMR-1</w:t>
      </w:r>
      <w:r w:rsidR="00144183" w:rsidRPr="008A1EDB">
        <w:rPr>
          <w:lang w:val="es-ES_tradnl"/>
        </w:rPr>
        <w:t>5</w:t>
      </w:r>
      <w:r w:rsidRPr="008A1EDB">
        <w:rPr>
          <w:lang w:val="es-ES_tradnl"/>
        </w:rPr>
        <w:t>, a fin de proporcionar un acceso web facilitado a las propuestas para las labores de la Conferencia. Está disponible en</w:t>
      </w:r>
      <w:r>
        <w:rPr>
          <w:lang w:val="es-ES_tradnl"/>
        </w:rPr>
        <w:t xml:space="preserve"> </w:t>
      </w:r>
      <w:r w:rsidR="00144183">
        <w:rPr>
          <w:lang w:val="es-ES_tradnl"/>
        </w:rPr>
        <w:t>el</w:t>
      </w:r>
      <w:r>
        <w:rPr>
          <w:lang w:val="es-ES_tradnl"/>
        </w:rPr>
        <w:t xml:space="preserve"> </w:t>
      </w:r>
      <w:hyperlink r:id="rId14" w:history="1">
        <w:r w:rsidR="008A1EDB" w:rsidRPr="005B7CEF">
          <w:rPr>
            <w:rStyle w:val="Hyperlink"/>
            <w:lang w:val="es-ES_tradnl"/>
          </w:rPr>
          <w:t>sitio web de la CMR-15</w:t>
        </w:r>
      </w:hyperlink>
      <w:r>
        <w:rPr>
          <w:lang w:val="es-ES_tradnl"/>
        </w:rPr>
        <w:t>.</w:t>
      </w:r>
    </w:p>
    <w:p w:rsidR="00E1398F" w:rsidRPr="00156E9E" w:rsidRDefault="005B7CEF" w:rsidP="005B7CEF">
      <w:pPr>
        <w:pStyle w:val="Heading1"/>
        <w:rPr>
          <w:lang w:val="es-ES_tradnl"/>
        </w:rPr>
      </w:pPr>
      <w:r>
        <w:rPr>
          <w:lang w:val="es-ES_tradnl"/>
        </w:rPr>
        <w:t>4</w:t>
      </w:r>
      <w:r>
        <w:rPr>
          <w:lang w:val="es-ES_tradnl"/>
        </w:rPr>
        <w:tab/>
      </w:r>
      <w:r w:rsidRPr="00211854">
        <w:rPr>
          <w:lang w:val="es-ES_tradnl"/>
        </w:rPr>
        <w:t xml:space="preserve">Disponibilidad de los documentos preparados antes de la CMR-15 y durante la misma </w:t>
      </w:r>
    </w:p>
    <w:p w:rsidR="005B7CEF" w:rsidRPr="00211854" w:rsidRDefault="005B7CEF" w:rsidP="008A1EDB">
      <w:pPr>
        <w:rPr>
          <w:lang w:val="es-ES_tradnl"/>
        </w:rPr>
      </w:pPr>
      <w:r w:rsidRPr="008A1EDB">
        <w:rPr>
          <w:lang w:val="es-ES_tradnl"/>
        </w:rPr>
        <w:t xml:space="preserve">De conformidad con el número 9 del Anexo 2 a la Decisión 5 (Rev. Busán, 2014), a fin de reducir el costo de documentación de las conferencias de la UIT, </w:t>
      </w:r>
      <w:r w:rsidRPr="008A1EDB">
        <w:rPr>
          <w:b/>
          <w:bCs/>
          <w:lang w:val="es-ES_tradnl"/>
        </w:rPr>
        <w:t>la CMR-15 se celebrará íntegramente sin papel</w:t>
      </w:r>
      <w:r w:rsidRPr="008A1EDB">
        <w:rPr>
          <w:lang w:val="es-ES_tradnl"/>
        </w:rPr>
        <w:t xml:space="preserve">. No obstante, en los cibercafés del CICG y la UIT habrá impresoras disponibles para los participantes que deseen imprimir los documentos. Todos los documentos podrán consultarse en formato electrónico en el </w:t>
      </w:r>
      <w:hyperlink r:id="rId15" w:history="1">
        <w:r w:rsidR="008A1EDB" w:rsidRPr="005B7CEF">
          <w:rPr>
            <w:rStyle w:val="Hyperlink"/>
            <w:lang w:val="es-ES_tradnl"/>
          </w:rPr>
          <w:t>sitio web de la CMR-15</w:t>
        </w:r>
      </w:hyperlink>
      <w:r w:rsidRPr="00211854">
        <w:rPr>
          <w:lang w:val="es-ES_tradnl"/>
        </w:rPr>
        <w:t xml:space="preserve">. Los delegados dispondrán de instalaciones de LAN inalámbrica en las salas de reunión. Además, la Secretaría está preparando una </w:t>
      </w:r>
      <w:r w:rsidR="00303C4F">
        <w:rPr>
          <w:lang w:val="es-ES_tradnl"/>
        </w:rPr>
        <w:t>a</w:t>
      </w:r>
      <w:r w:rsidRPr="00211854">
        <w:rPr>
          <w:lang w:val="es-ES_tradnl"/>
        </w:rPr>
        <w:t xml:space="preserve">plicación Sync de la UIT para facilitar la descarga y sincronización rápidas de los documentos de la CMR-15 a partir de los servidores de la UIT. A fin de acceder a los documentos de la CMR-15 y demás recursos electrónicos será necesario disponer de una </w:t>
      </w:r>
      <w:hyperlink r:id="rId16" w:history="1">
        <w:r w:rsidR="008A1EDB" w:rsidRPr="00595B94">
          <w:rPr>
            <w:rStyle w:val="Hyperlink"/>
            <w:lang w:val="es-ES_tradnl"/>
          </w:rPr>
          <w:t>cuenta TIES</w:t>
        </w:r>
      </w:hyperlink>
      <w:r w:rsidRPr="00211854">
        <w:rPr>
          <w:lang w:val="es-ES_tradnl"/>
        </w:rPr>
        <w:t xml:space="preserve"> de la UIT</w:t>
      </w:r>
      <w:r w:rsidRPr="008A1EDB">
        <w:rPr>
          <w:lang w:val="es-ES_tradnl"/>
        </w:rPr>
        <w:t>.</w:t>
      </w:r>
    </w:p>
    <w:p w:rsidR="005B7CEF" w:rsidRDefault="005B7CEF" w:rsidP="00303C4F">
      <w:pPr>
        <w:rPr>
          <w:lang w:val="es-ES_tradnl"/>
        </w:rPr>
      </w:pPr>
      <w:r>
        <w:rPr>
          <w:lang w:val="es-ES_tradnl"/>
        </w:rPr>
        <w:t>L</w:t>
      </w:r>
      <w:r w:rsidR="000349AF">
        <w:rPr>
          <w:lang w:val="es-ES_tradnl"/>
        </w:rPr>
        <w:t>a</w:t>
      </w:r>
      <w:r>
        <w:rPr>
          <w:lang w:val="es-ES_tradnl"/>
        </w:rPr>
        <w:t xml:space="preserve"> Secretaría se complace en anunciar la publicación de los Documentos 1 (Orden del día de la Conferencia), 2 (Credenciales de las delegaciones a la Conferencia Mundial de Radiocomunicaciones) y 3 (Informe de la RPC a la Conferencia Mundial de Radiocomunicaciones de</w:t>
      </w:r>
      <w:r w:rsidR="00303C4F">
        <w:rPr>
          <w:lang w:val="es-ES_tradnl"/>
        </w:rPr>
        <w:t> </w:t>
      </w:r>
      <w:r>
        <w:rPr>
          <w:lang w:val="es-ES_tradnl"/>
        </w:rPr>
        <w:t xml:space="preserve">2015) </w:t>
      </w:r>
      <w:r w:rsidR="00303C4F">
        <w:rPr>
          <w:lang w:val="es-ES_tradnl"/>
        </w:rPr>
        <w:t xml:space="preserve">de la CMR-15 </w:t>
      </w:r>
      <w:r>
        <w:rPr>
          <w:lang w:val="es-ES_tradnl"/>
        </w:rPr>
        <w:t xml:space="preserve">en la siguiente página web: </w:t>
      </w:r>
      <w:hyperlink r:id="rId17" w:history="1">
        <w:r w:rsidR="00303C4F" w:rsidRPr="00D56F2A">
          <w:rPr>
            <w:rStyle w:val="Hyperlink"/>
            <w:rFonts w:asciiTheme="minorHAnsi" w:hAnsiTheme="minorHAnsi" w:cs="Times New Roman"/>
            <w:szCs w:val="24"/>
            <w:shd w:val="clear" w:color="auto" w:fill="FFFFFF"/>
            <w:lang w:val="es-ES_tradnl"/>
          </w:rPr>
          <w:t>www.itu.int/md/R15-WRC15-C/es</w:t>
        </w:r>
      </w:hyperlink>
      <w:r>
        <w:rPr>
          <w:lang w:val="es-ES_tradnl"/>
        </w:rPr>
        <w:t>.</w:t>
      </w:r>
    </w:p>
    <w:p w:rsidR="005B7CEF" w:rsidRPr="00211854" w:rsidRDefault="005B7CEF" w:rsidP="005B7CEF">
      <w:pPr>
        <w:rPr>
          <w:lang w:val="es-ES_tradnl"/>
        </w:rPr>
      </w:pPr>
      <w:r w:rsidRPr="00211854">
        <w:rPr>
          <w:lang w:val="es-ES_tradnl"/>
        </w:rPr>
        <w:t xml:space="preserve">Al final de la Conferencia se entregará a cada Jefe de Delegación, o a su representante designado, una copia </w:t>
      </w:r>
      <w:r>
        <w:rPr>
          <w:lang w:val="es-ES_tradnl"/>
        </w:rPr>
        <w:t>impresa</w:t>
      </w:r>
      <w:r w:rsidRPr="00211854">
        <w:rPr>
          <w:lang w:val="es-ES_tradnl"/>
        </w:rPr>
        <w:t xml:space="preserve"> de las Actas Finales Provisionales.</w:t>
      </w:r>
    </w:p>
    <w:p w:rsidR="000349AF" w:rsidRPr="00156E9E" w:rsidRDefault="000349AF" w:rsidP="00156E9E">
      <w:pPr>
        <w:pStyle w:val="Heading1"/>
        <w:rPr>
          <w:lang w:val="es-ES_tradnl"/>
        </w:rPr>
      </w:pPr>
      <w:r w:rsidRPr="00156E9E">
        <w:rPr>
          <w:lang w:val="es-ES_tradnl"/>
        </w:rPr>
        <w:lastRenderedPageBreak/>
        <w:t>5</w:t>
      </w:r>
      <w:r w:rsidRPr="00156E9E">
        <w:rPr>
          <w:lang w:val="es-ES_tradnl"/>
        </w:rPr>
        <w:tab/>
        <w:t xml:space="preserve">Sincronización de los documentos de la CMR-15 </w:t>
      </w:r>
    </w:p>
    <w:p w:rsidR="000349AF" w:rsidRPr="00BB3298" w:rsidRDefault="000349AF" w:rsidP="00303C4F">
      <w:pPr>
        <w:rPr>
          <w:lang w:val="es-ES_tradnl"/>
        </w:rPr>
      </w:pPr>
      <w:r w:rsidRPr="00BB3298">
        <w:rPr>
          <w:lang w:val="es-ES_tradnl"/>
        </w:rPr>
        <w:t xml:space="preserve">La Secretaría ha puesto a disposición en el </w:t>
      </w:r>
      <w:hyperlink r:id="rId18" w:history="1">
        <w:r w:rsidRPr="00BB3298">
          <w:rPr>
            <w:rStyle w:val="Hyperlink"/>
            <w:rFonts w:asciiTheme="minorHAnsi" w:hAnsiTheme="minorHAnsi" w:cstheme="majorBidi"/>
            <w:lang w:val="es-ES_tradnl"/>
          </w:rPr>
          <w:t>sitio web de la CMR-15</w:t>
        </w:r>
      </w:hyperlink>
      <w:r w:rsidRPr="00BB3298">
        <w:rPr>
          <w:rFonts w:eastAsia="SimSun" w:cstheme="majorBidi"/>
          <w:lang w:val="es-ES_tradnl"/>
        </w:rPr>
        <w:t xml:space="preserve"> </w:t>
      </w:r>
      <w:r w:rsidRPr="00BB3298">
        <w:rPr>
          <w:lang w:val="es-ES_tradnl"/>
        </w:rPr>
        <w:t xml:space="preserve">la </w:t>
      </w:r>
      <w:r w:rsidR="00303C4F">
        <w:rPr>
          <w:lang w:val="es-ES_tradnl"/>
        </w:rPr>
        <w:t>a</w:t>
      </w:r>
      <w:r w:rsidRPr="00303C4F">
        <w:rPr>
          <w:lang w:val="es-ES_tradnl"/>
        </w:rPr>
        <w:t>plicación ITU WRC-15 Sync</w:t>
      </w:r>
      <w:r w:rsidRPr="00BB3298">
        <w:rPr>
          <w:lang w:val="es-ES_tradnl"/>
        </w:rPr>
        <w:t xml:space="preserve"> para permitir la sincronización de los documentos de la CMR</w:t>
      </w:r>
      <w:r w:rsidRPr="00BB3298">
        <w:rPr>
          <w:lang w:val="es-ES_tradnl"/>
        </w:rPr>
        <w:noBreakHyphen/>
        <w:t>15 en una unidad de disco local de una computadora personal antes y durante la Conferencia. Dicha aplicación se ha configurado para acceder al servidor de la UIT en Ginebra y sincronizarse a la demanda con los últimos documentos publicados. Puede procederse a la instalación de esta aplicación mediante una cuenta TIES de la UIT.</w:t>
      </w:r>
    </w:p>
    <w:p w:rsidR="000349AF" w:rsidRPr="00156E9E" w:rsidRDefault="000349AF" w:rsidP="00156E9E">
      <w:pPr>
        <w:pStyle w:val="Heading1"/>
        <w:rPr>
          <w:lang w:val="es-ES_tradnl"/>
        </w:rPr>
      </w:pPr>
      <w:r w:rsidRPr="00156E9E">
        <w:rPr>
          <w:lang w:val="es-ES_tradnl"/>
        </w:rPr>
        <w:t>6</w:t>
      </w:r>
      <w:r w:rsidRPr="00156E9E">
        <w:rPr>
          <w:lang w:val="es-ES_tradnl"/>
        </w:rPr>
        <w:tab/>
        <w:t>Sitio de encu</w:t>
      </w:r>
      <w:r w:rsidR="008A1EDB">
        <w:rPr>
          <w:lang w:val="es-ES_tradnl"/>
        </w:rPr>
        <w:t>entro SharePoint para la CMR-15</w:t>
      </w:r>
    </w:p>
    <w:p w:rsidR="000349AF" w:rsidRPr="00BB3298" w:rsidRDefault="000349AF" w:rsidP="008A1EDB">
      <w:pPr>
        <w:keepNext/>
        <w:keepLines/>
        <w:rPr>
          <w:lang w:val="es-ES_tradnl"/>
        </w:rPr>
      </w:pPr>
      <w:r w:rsidRPr="00BB3298">
        <w:rPr>
          <w:lang w:val="es-ES_tradnl"/>
        </w:rPr>
        <w:t xml:space="preserve">Se creará un sitio SharePoint para la Conferencia, accesible a partir del </w:t>
      </w:r>
      <w:hyperlink r:id="rId19" w:history="1">
        <w:r w:rsidRPr="00BB3298">
          <w:rPr>
            <w:rStyle w:val="Hyperlink"/>
            <w:rFonts w:asciiTheme="minorHAnsi" w:hAnsiTheme="minorHAnsi" w:cstheme="majorBidi"/>
            <w:lang w:val="es-ES_tradnl"/>
          </w:rPr>
          <w:t>sitio web de la CMR-15</w:t>
        </w:r>
      </w:hyperlink>
      <w:r w:rsidRPr="00BB3298">
        <w:rPr>
          <w:lang w:val="es-ES_tradnl"/>
        </w:rPr>
        <w:t xml:space="preserve">. Éste incluirá subsitios para cada Comisión y Grupo de Trabajo de la CMR en los que se crearán «Carpetas compartidas» para los intercambios informales de documentos entre los participantes. Además, estos sitios pueden incluir información pertinente acerca de las labores de los grupos. Para acceder al sitio SharePoint de la CMR-15 se requiere una cuenta TIES de la UIT. </w:t>
      </w:r>
    </w:p>
    <w:p w:rsidR="000349AF" w:rsidRPr="00156E9E" w:rsidRDefault="000349AF" w:rsidP="00156E9E">
      <w:pPr>
        <w:pStyle w:val="Heading1"/>
        <w:rPr>
          <w:lang w:val="es-ES_tradnl"/>
        </w:rPr>
      </w:pPr>
      <w:r w:rsidRPr="00156E9E">
        <w:rPr>
          <w:lang w:val="es-ES_tradnl"/>
        </w:rPr>
        <w:t>7</w:t>
      </w:r>
      <w:r w:rsidRPr="00156E9E">
        <w:rPr>
          <w:lang w:val="es-ES_tradnl"/>
        </w:rPr>
        <w:tab/>
      </w:r>
      <w:r w:rsidR="006F1663" w:rsidRPr="00156E9E">
        <w:rPr>
          <w:lang w:val="es-ES_tradnl"/>
        </w:rPr>
        <w:t>Participación/requisitos de visado/alojamiento</w:t>
      </w:r>
    </w:p>
    <w:p w:rsidR="000349AF" w:rsidRPr="00BB3298" w:rsidRDefault="000349AF" w:rsidP="00303C4F">
      <w:pPr>
        <w:rPr>
          <w:lang w:val="es-ES_tradnl"/>
        </w:rPr>
      </w:pPr>
      <w:r w:rsidRPr="00BB3298">
        <w:rPr>
          <w:lang w:val="es-ES_tradnl"/>
        </w:rPr>
        <w:t>La inscripción para la Conferencia Mundial de Radiocomunicaciones se abrirá el 1 de junio de</w:t>
      </w:r>
      <w:r w:rsidR="006F1663" w:rsidRPr="00BB3298">
        <w:rPr>
          <w:lang w:val="es-ES_tradnl"/>
        </w:rPr>
        <w:t xml:space="preserve"> </w:t>
      </w:r>
      <w:r w:rsidRPr="00BB3298">
        <w:rPr>
          <w:lang w:val="es-ES_tradnl"/>
        </w:rPr>
        <w:t xml:space="preserve">2015. La inscripción anticipada para las </w:t>
      </w:r>
      <w:r w:rsidR="00303C4F">
        <w:rPr>
          <w:lang w:val="es-ES_tradnl"/>
        </w:rPr>
        <w:t>c</w:t>
      </w:r>
      <w:r w:rsidRPr="00BB3298">
        <w:rPr>
          <w:lang w:val="es-ES_tradnl"/>
        </w:rPr>
        <w:t>onferencias de la UIT es obligatoria y se lleva a cabo</w:t>
      </w:r>
      <w:r w:rsidR="006F1663" w:rsidRPr="00BB3298">
        <w:rPr>
          <w:lang w:val="es-ES_tradnl"/>
        </w:rPr>
        <w:t xml:space="preserve"> </w:t>
      </w:r>
      <w:r w:rsidRPr="00BB3298">
        <w:rPr>
          <w:lang w:val="es-ES_tradnl"/>
        </w:rPr>
        <w:t xml:space="preserve">exclusivamente en línea a través de los </w:t>
      </w:r>
      <w:hyperlink r:id="rId20" w:history="1">
        <w:r w:rsidRPr="00BB3298">
          <w:rPr>
            <w:rStyle w:val="Hyperlink"/>
            <w:rFonts w:asciiTheme="minorHAnsi" w:hAnsiTheme="minorHAnsi" w:cs="Times New Roman"/>
            <w:szCs w:val="24"/>
            <w:lang w:val="es-ES_tradnl"/>
          </w:rPr>
          <w:t>coordinadores designados (DFP)</w:t>
        </w:r>
      </w:hyperlink>
      <w:r w:rsidRPr="00BB3298">
        <w:rPr>
          <w:lang w:val="es-ES_tradnl"/>
        </w:rPr>
        <w:t xml:space="preserve">. </w:t>
      </w:r>
      <w:r w:rsidR="006F1663" w:rsidRPr="00BB3298">
        <w:rPr>
          <w:lang w:val="es-ES_tradnl"/>
        </w:rPr>
        <w:t>Se ha pedido a cada</w:t>
      </w:r>
      <w:r w:rsidRPr="00BB3298">
        <w:rPr>
          <w:lang w:val="es-ES_tradnl"/>
        </w:rPr>
        <w:t xml:space="preserve"> Miembro y</w:t>
      </w:r>
      <w:r w:rsidR="006F1663" w:rsidRPr="00BB3298">
        <w:rPr>
          <w:lang w:val="es-ES_tradnl"/>
        </w:rPr>
        <w:t xml:space="preserve"> </w:t>
      </w:r>
      <w:r w:rsidRPr="00BB3298">
        <w:rPr>
          <w:lang w:val="es-ES_tradnl"/>
        </w:rPr>
        <w:t xml:space="preserve">Observador de la UIT </w:t>
      </w:r>
      <w:r w:rsidR="006F1663" w:rsidRPr="00BB3298">
        <w:rPr>
          <w:lang w:val="es-ES_tradnl"/>
        </w:rPr>
        <w:t>que designe</w:t>
      </w:r>
      <w:r w:rsidRPr="00BB3298">
        <w:rPr>
          <w:lang w:val="es-ES_tradnl"/>
        </w:rPr>
        <w:t xml:space="preserve"> un coordinador responsable de la tramitación de</w:t>
      </w:r>
      <w:r w:rsidR="006F1663" w:rsidRPr="00BB3298">
        <w:rPr>
          <w:lang w:val="es-ES_tradnl"/>
        </w:rPr>
        <w:t xml:space="preserve"> </w:t>
      </w:r>
      <w:r w:rsidRPr="00BB3298">
        <w:rPr>
          <w:lang w:val="es-ES_tradnl"/>
        </w:rPr>
        <w:t>todas las solicitudes de inscripción, incluidas las solicitudes de visado, que también deberá</w:t>
      </w:r>
      <w:r w:rsidR="006F1663" w:rsidRPr="00BB3298">
        <w:rPr>
          <w:lang w:val="es-ES_tradnl"/>
        </w:rPr>
        <w:t xml:space="preserve"> </w:t>
      </w:r>
      <w:r w:rsidRPr="00BB3298">
        <w:rPr>
          <w:lang w:val="es-ES_tradnl"/>
        </w:rPr>
        <w:t xml:space="preserve">presentar el coordinador durante </w:t>
      </w:r>
      <w:r w:rsidR="006F1663" w:rsidRPr="00BB3298">
        <w:rPr>
          <w:lang w:val="es-ES_tradnl"/>
        </w:rPr>
        <w:t>el proceso de</w:t>
      </w:r>
      <w:r w:rsidRPr="00BB3298">
        <w:rPr>
          <w:lang w:val="es-ES_tradnl"/>
        </w:rPr>
        <w:t xml:space="preserve"> inscripción en línea. </w:t>
      </w:r>
      <w:r w:rsidR="006F1663" w:rsidRPr="00BB3298">
        <w:rPr>
          <w:lang w:val="es-ES_tradnl"/>
        </w:rPr>
        <w:t xml:space="preserve">Para modificar un DFP o sus detalles de contacto, los Estados Miembros y Observadores de la UIT tienen que comunicarse con </w:t>
      </w:r>
      <w:hyperlink r:id="rId21" w:history="1">
        <w:r w:rsidR="006F1663" w:rsidRPr="00BB3298">
          <w:rPr>
            <w:rStyle w:val="Hyperlink"/>
            <w:rFonts w:asciiTheme="minorHAnsi" w:hAnsiTheme="minorHAnsi" w:cs="Times New Roman"/>
            <w:szCs w:val="24"/>
            <w:lang w:val="es-ES_tradnl"/>
          </w:rPr>
          <w:t>itu-r.registrations@itu.int</w:t>
        </w:r>
      </w:hyperlink>
      <w:r w:rsidR="00490807">
        <w:rPr>
          <w:lang w:val="es-ES_tradnl"/>
        </w:rPr>
        <w:t>.</w:t>
      </w:r>
    </w:p>
    <w:p w:rsidR="006F1663" w:rsidRPr="00BB3298" w:rsidRDefault="006F1663" w:rsidP="00156E9E">
      <w:pPr>
        <w:rPr>
          <w:lang w:val="es-ES_tradnl"/>
        </w:rPr>
      </w:pPr>
      <w:r w:rsidRPr="00BB3298">
        <w:rPr>
          <w:lang w:val="es-ES_tradnl"/>
        </w:rPr>
        <w:t xml:space="preserve">Las personas que deseen inscribirse a la CMR-15 deben ponerse en contacto directamente con el coordinador designado por su entidad. En el </w:t>
      </w:r>
      <w:hyperlink r:id="rId22" w:history="1">
        <w:r w:rsidRPr="00BB3298">
          <w:rPr>
            <w:rStyle w:val="Hyperlink"/>
            <w:rFonts w:asciiTheme="minorHAnsi" w:hAnsiTheme="minorHAnsi" w:cstheme="majorBidi"/>
            <w:lang w:val="es-ES_tradnl"/>
          </w:rPr>
          <w:t>sitio web de la CMR-15</w:t>
        </w:r>
      </w:hyperlink>
      <w:r w:rsidRPr="00BB3298">
        <w:rPr>
          <w:lang w:val="es-ES_tradnl"/>
        </w:rPr>
        <w:t xml:space="preserve"> puede consultarse la lista de coordinadores designados del UIT-R, así como información detallada sobre la admisión a la CMR-15, la inscripción, los requisitos para la obtención de visado, el alojamiento, etc.</w:t>
      </w:r>
    </w:p>
    <w:p w:rsidR="006F1663" w:rsidRPr="00156E9E" w:rsidRDefault="006F1663" w:rsidP="00156E9E">
      <w:pPr>
        <w:pStyle w:val="Heading1"/>
        <w:rPr>
          <w:lang w:val="es-ES_tradnl"/>
        </w:rPr>
      </w:pPr>
      <w:r w:rsidRPr="00156E9E">
        <w:rPr>
          <w:lang w:val="es-ES_tradnl"/>
        </w:rPr>
        <w:t>8</w:t>
      </w:r>
      <w:r w:rsidR="000349AF" w:rsidRPr="00156E9E">
        <w:rPr>
          <w:lang w:val="es-ES_tradnl"/>
        </w:rPr>
        <w:tab/>
      </w:r>
      <w:r w:rsidRPr="00156E9E">
        <w:rPr>
          <w:lang w:val="es-ES_tradnl"/>
        </w:rPr>
        <w:t>Información adicional</w:t>
      </w:r>
    </w:p>
    <w:p w:rsidR="000349AF" w:rsidRPr="00BB3298" w:rsidRDefault="000349AF" w:rsidP="00490807">
      <w:pPr>
        <w:rPr>
          <w:szCs w:val="20"/>
          <w:lang w:val="es-ES_tradnl"/>
        </w:rPr>
      </w:pPr>
      <w:r w:rsidRPr="00BB3298">
        <w:rPr>
          <w:lang w:val="es-ES_tradnl"/>
        </w:rPr>
        <w:t>La persona de contacto para cuestiones generales relacionadas con la CMR</w:t>
      </w:r>
      <w:r w:rsidR="006F1663" w:rsidRPr="00BB3298">
        <w:rPr>
          <w:lang w:val="es-ES_tradnl"/>
        </w:rPr>
        <w:t>-</w:t>
      </w:r>
      <w:r w:rsidRPr="00BB3298">
        <w:rPr>
          <w:lang w:val="es-ES_tradnl"/>
        </w:rPr>
        <w:t>1</w:t>
      </w:r>
      <w:r w:rsidR="006F1663" w:rsidRPr="00BB3298">
        <w:rPr>
          <w:lang w:val="es-ES_tradnl"/>
        </w:rPr>
        <w:t>5</w:t>
      </w:r>
      <w:r w:rsidRPr="00BB3298">
        <w:rPr>
          <w:lang w:val="es-ES_tradnl"/>
        </w:rPr>
        <w:t xml:space="preserve"> es el Sr. </w:t>
      </w:r>
      <w:r w:rsidR="006F1663" w:rsidRPr="00BB3298">
        <w:rPr>
          <w:lang w:val="es-ES_tradnl"/>
        </w:rPr>
        <w:t>Mario Maniewicz</w:t>
      </w:r>
      <w:r w:rsidRPr="00BB3298">
        <w:rPr>
          <w:lang w:val="es-ES_tradnl"/>
        </w:rPr>
        <w:t>, Director Adjunto de la Oficina de Radiocomunicaciones (Tel.:</w:t>
      </w:r>
      <w:r w:rsidR="00490807">
        <w:rPr>
          <w:lang w:val="es-ES_tradnl"/>
        </w:rPr>
        <w:t> </w:t>
      </w:r>
      <w:r w:rsidRPr="00BB3298">
        <w:rPr>
          <w:lang w:val="es-ES_tradnl"/>
        </w:rPr>
        <w:t>+41</w:t>
      </w:r>
      <w:r w:rsidR="00490807">
        <w:rPr>
          <w:lang w:val="es-ES_tradnl"/>
        </w:rPr>
        <w:t> </w:t>
      </w:r>
      <w:r w:rsidRPr="00BB3298">
        <w:rPr>
          <w:lang w:val="es-ES_tradnl"/>
        </w:rPr>
        <w:t>22</w:t>
      </w:r>
      <w:r w:rsidR="00490807">
        <w:rPr>
          <w:lang w:val="es-ES_tradnl"/>
        </w:rPr>
        <w:t> </w:t>
      </w:r>
      <w:r w:rsidRPr="00BB3298">
        <w:rPr>
          <w:lang w:val="es-ES_tradnl"/>
        </w:rPr>
        <w:t>730</w:t>
      </w:r>
      <w:r w:rsidR="00490807">
        <w:rPr>
          <w:lang w:val="es-ES_tradnl"/>
        </w:rPr>
        <w:t> </w:t>
      </w:r>
      <w:r w:rsidRPr="00BB3298">
        <w:rPr>
          <w:lang w:val="es-ES_tradnl"/>
        </w:rPr>
        <w:t>5940, correo</w:t>
      </w:r>
      <w:r w:rsidR="00156E9E">
        <w:rPr>
          <w:lang w:val="es-ES_tradnl"/>
        </w:rPr>
        <w:noBreakHyphen/>
      </w:r>
      <w:r w:rsidRPr="00BB3298">
        <w:rPr>
          <w:lang w:val="es-ES_tradnl"/>
        </w:rPr>
        <w:t>e:</w:t>
      </w:r>
      <w:r w:rsidR="00156E9E">
        <w:rPr>
          <w:lang w:val="es-ES_tradnl"/>
        </w:rPr>
        <w:t> </w:t>
      </w:r>
      <w:hyperlink r:id="rId23" w:history="1">
        <w:r w:rsidR="006F1663" w:rsidRPr="00BB3298">
          <w:rPr>
            <w:rStyle w:val="Hyperlink"/>
            <w:rFonts w:asciiTheme="minorHAnsi" w:hAnsiTheme="minorHAnsi" w:cs="Times New Roman"/>
            <w:szCs w:val="24"/>
            <w:lang w:val="es-ES_tradnl"/>
          </w:rPr>
          <w:t>mario.maniewicz@itu.int</w:t>
        </w:r>
      </w:hyperlink>
      <w:r w:rsidR="006F1663" w:rsidRPr="00BB3298">
        <w:rPr>
          <w:lang w:val="es-ES_tradnl"/>
        </w:rPr>
        <w:t>)</w:t>
      </w:r>
      <w:r w:rsidRPr="00BB3298">
        <w:rPr>
          <w:lang w:val="es-ES_tradnl"/>
        </w:rPr>
        <w:t>.</w:t>
      </w:r>
    </w:p>
    <w:p w:rsidR="00E1398F" w:rsidRPr="00BB3298" w:rsidRDefault="00E1398F" w:rsidP="00490807">
      <w:pPr>
        <w:spacing w:before="1320"/>
        <w:jc w:val="left"/>
        <w:rPr>
          <w:rFonts w:cstheme="minorHAnsi"/>
          <w:szCs w:val="24"/>
          <w:lang w:val="es-ES_tradnl"/>
        </w:rPr>
      </w:pPr>
      <w:r w:rsidRPr="00BB3298">
        <w:rPr>
          <w:lang w:val="es-ES_tradnl"/>
        </w:rPr>
        <w:lastRenderedPageBreak/>
        <w:t>François Rancy</w:t>
      </w:r>
      <w:r w:rsidR="00156E9E">
        <w:rPr>
          <w:lang w:val="es-ES_tradnl"/>
        </w:rPr>
        <w:br/>
      </w:r>
      <w:r w:rsidRPr="00BB3298">
        <w:rPr>
          <w:rFonts w:cstheme="minorHAnsi"/>
          <w:szCs w:val="24"/>
          <w:lang w:val="es-ES_tradnl"/>
        </w:rPr>
        <w:t>Director</w:t>
      </w:r>
    </w:p>
    <w:p w:rsidR="00E1398F" w:rsidRPr="00211854" w:rsidRDefault="00E1398F" w:rsidP="00490807">
      <w:pPr>
        <w:spacing w:before="1320"/>
        <w:jc w:val="left"/>
        <w:rPr>
          <w:b/>
          <w:bCs/>
          <w:sz w:val="18"/>
          <w:szCs w:val="18"/>
          <w:lang w:val="es-ES_tradnl"/>
        </w:rPr>
      </w:pPr>
      <w:r w:rsidRPr="00211854">
        <w:rPr>
          <w:b/>
          <w:bCs/>
          <w:sz w:val="18"/>
          <w:szCs w:val="18"/>
          <w:lang w:val="es-ES_tradnl"/>
        </w:rPr>
        <w:t>Distribución:</w:t>
      </w:r>
    </w:p>
    <w:p w:rsidR="00E1398F" w:rsidRPr="00211854" w:rsidRDefault="00E1398F" w:rsidP="00490807">
      <w:pPr>
        <w:spacing w:before="80" w:line="240" w:lineRule="auto"/>
        <w:jc w:val="left"/>
        <w:rPr>
          <w:sz w:val="18"/>
          <w:szCs w:val="18"/>
          <w:lang w:val="es-ES_tradnl"/>
        </w:rPr>
      </w:pPr>
      <w:r w:rsidRPr="005E2681">
        <w:rPr>
          <w:sz w:val="18"/>
          <w:szCs w:val="18"/>
          <w:lang w:val="es-ES_tradnl"/>
        </w:rPr>
        <w:t>–</w:t>
      </w:r>
      <w:r w:rsidRPr="005E2681">
        <w:rPr>
          <w:sz w:val="18"/>
          <w:szCs w:val="18"/>
          <w:lang w:val="es-ES_tradnl"/>
        </w:rPr>
        <w:tab/>
      </w:r>
      <w:r w:rsidRPr="00211854">
        <w:rPr>
          <w:sz w:val="18"/>
          <w:szCs w:val="18"/>
          <w:lang w:val="es-ES_tradnl"/>
        </w:rPr>
        <w:t>Administraciones de los Estados Miembros de la UIT</w:t>
      </w:r>
    </w:p>
    <w:p w:rsidR="00E1398F" w:rsidRPr="00211854" w:rsidRDefault="00E1398F" w:rsidP="00490807">
      <w:pPr>
        <w:spacing w:before="0" w:line="240" w:lineRule="auto"/>
        <w:jc w:val="left"/>
        <w:rPr>
          <w:sz w:val="18"/>
          <w:szCs w:val="18"/>
          <w:lang w:val="es-ES_tradnl"/>
        </w:rPr>
      </w:pPr>
      <w:r w:rsidRPr="005E2681">
        <w:rPr>
          <w:sz w:val="18"/>
          <w:szCs w:val="18"/>
          <w:lang w:val="es-ES_tradnl"/>
        </w:rPr>
        <w:t>–</w:t>
      </w:r>
      <w:r w:rsidRPr="00211854">
        <w:rPr>
          <w:sz w:val="18"/>
          <w:szCs w:val="18"/>
          <w:lang w:val="es-ES_tradnl"/>
        </w:rPr>
        <w:tab/>
        <w:t>Observador (Resolución 99 (Rev. Busán, 2014))</w:t>
      </w:r>
    </w:p>
    <w:p w:rsidR="00E1398F" w:rsidRPr="00211854" w:rsidRDefault="00E1398F" w:rsidP="00490807">
      <w:pPr>
        <w:spacing w:before="0" w:line="240" w:lineRule="auto"/>
        <w:jc w:val="left"/>
        <w:rPr>
          <w:sz w:val="18"/>
          <w:szCs w:val="18"/>
          <w:lang w:val="es-ES_tradnl"/>
        </w:rPr>
      </w:pPr>
      <w:r w:rsidRPr="005E2681">
        <w:rPr>
          <w:sz w:val="18"/>
          <w:szCs w:val="18"/>
          <w:lang w:val="es-ES_tradnl"/>
        </w:rPr>
        <w:t>–</w:t>
      </w:r>
      <w:r w:rsidRPr="005E2681">
        <w:rPr>
          <w:sz w:val="18"/>
          <w:szCs w:val="18"/>
          <w:lang w:val="es-ES_tradnl"/>
        </w:rPr>
        <w:tab/>
      </w:r>
      <w:r w:rsidRPr="00211854">
        <w:rPr>
          <w:sz w:val="18"/>
          <w:szCs w:val="18"/>
          <w:lang w:val="es-ES_tradnl"/>
        </w:rPr>
        <w:t>Observadores que participan con carácter consultivo con arreglo a los números 278 y 279 del Convenio de la UIT</w:t>
      </w:r>
    </w:p>
    <w:p w:rsidR="00E1398F" w:rsidRPr="00211854" w:rsidRDefault="00E1398F" w:rsidP="00490807">
      <w:pPr>
        <w:spacing w:before="0" w:line="240" w:lineRule="auto"/>
        <w:ind w:left="794" w:hanging="794"/>
        <w:jc w:val="left"/>
        <w:rPr>
          <w:b/>
          <w:bCs/>
          <w:sz w:val="18"/>
          <w:szCs w:val="18"/>
          <w:lang w:val="es-ES_tradnl"/>
        </w:rPr>
      </w:pPr>
      <w:r w:rsidRPr="005E2681">
        <w:rPr>
          <w:sz w:val="18"/>
          <w:szCs w:val="18"/>
          <w:lang w:val="es-ES_tradnl"/>
        </w:rPr>
        <w:t>–</w:t>
      </w:r>
      <w:r w:rsidRPr="005E2681">
        <w:rPr>
          <w:sz w:val="18"/>
          <w:szCs w:val="18"/>
          <w:lang w:val="es-ES_tradnl"/>
        </w:rPr>
        <w:tab/>
      </w:r>
      <w:r w:rsidRPr="00211854">
        <w:rPr>
          <w:sz w:val="18"/>
          <w:szCs w:val="18"/>
          <w:lang w:val="es-ES_tradnl"/>
        </w:rPr>
        <w:t>Observadores de Miembros del Sector de Radiocomunicaciones que no participan con carácter consultivo con arreglo al número 280 del Convenio de la UIT</w:t>
      </w:r>
    </w:p>
    <w:p w:rsidR="00E1398F" w:rsidRPr="00211854" w:rsidRDefault="00E1398F" w:rsidP="00490807">
      <w:pPr>
        <w:spacing w:before="0" w:line="240" w:lineRule="auto"/>
        <w:ind w:left="794" w:hanging="794"/>
        <w:jc w:val="left"/>
        <w:rPr>
          <w:b/>
          <w:bCs/>
          <w:sz w:val="18"/>
          <w:szCs w:val="18"/>
          <w:lang w:val="es-ES_tradnl"/>
        </w:rPr>
      </w:pPr>
      <w:r w:rsidRPr="005E2681">
        <w:rPr>
          <w:sz w:val="18"/>
          <w:szCs w:val="18"/>
          <w:lang w:val="es-ES_tradnl"/>
        </w:rPr>
        <w:t>–</w:t>
      </w:r>
      <w:r w:rsidRPr="005E2681">
        <w:rPr>
          <w:sz w:val="18"/>
          <w:szCs w:val="18"/>
          <w:lang w:val="es-ES_tradnl"/>
        </w:rPr>
        <w:tab/>
      </w:r>
      <w:r w:rsidRPr="00211854">
        <w:rPr>
          <w:sz w:val="18"/>
          <w:szCs w:val="18"/>
          <w:lang w:val="es-ES_tradnl"/>
        </w:rPr>
        <w:t>Presidentes y Vicepresidentes de las Comisiones de Estudio de Radiocomunicaciones y de la Comisión Especial para asuntos reglamentarios y de procedimiento</w:t>
      </w:r>
    </w:p>
    <w:p w:rsidR="00E1398F" w:rsidRPr="00211854" w:rsidRDefault="00E1398F" w:rsidP="00490807">
      <w:pPr>
        <w:spacing w:before="0" w:line="240" w:lineRule="auto"/>
        <w:jc w:val="left"/>
        <w:rPr>
          <w:sz w:val="18"/>
          <w:szCs w:val="18"/>
          <w:lang w:val="es-ES_tradnl"/>
        </w:rPr>
      </w:pPr>
      <w:r w:rsidRPr="005E2681">
        <w:rPr>
          <w:sz w:val="18"/>
          <w:szCs w:val="18"/>
          <w:lang w:val="es-ES_tradnl"/>
        </w:rPr>
        <w:t>–</w:t>
      </w:r>
      <w:r w:rsidRPr="005E2681">
        <w:rPr>
          <w:sz w:val="18"/>
          <w:szCs w:val="18"/>
          <w:lang w:val="es-ES_tradnl"/>
        </w:rPr>
        <w:tab/>
      </w:r>
      <w:r w:rsidRPr="00211854">
        <w:rPr>
          <w:sz w:val="18"/>
          <w:szCs w:val="18"/>
          <w:lang w:val="es-ES_tradnl"/>
        </w:rPr>
        <w:t>Presidente y Vicepresidentes del Grupo Asesor de Radiocomunicaciones</w:t>
      </w:r>
    </w:p>
    <w:p w:rsidR="00E1398F" w:rsidRPr="00211854" w:rsidRDefault="00E1398F" w:rsidP="00490807">
      <w:pPr>
        <w:spacing w:before="0" w:line="240" w:lineRule="auto"/>
        <w:jc w:val="left"/>
        <w:rPr>
          <w:sz w:val="18"/>
          <w:szCs w:val="18"/>
          <w:lang w:val="es-ES_tradnl"/>
        </w:rPr>
      </w:pPr>
      <w:r w:rsidRPr="005E2681">
        <w:rPr>
          <w:sz w:val="18"/>
          <w:szCs w:val="18"/>
          <w:lang w:val="es-ES_tradnl"/>
        </w:rPr>
        <w:t>–</w:t>
      </w:r>
      <w:r w:rsidRPr="005E2681">
        <w:rPr>
          <w:sz w:val="18"/>
          <w:szCs w:val="18"/>
          <w:lang w:val="es-ES_tradnl"/>
        </w:rPr>
        <w:tab/>
      </w:r>
      <w:r w:rsidRPr="00211854">
        <w:rPr>
          <w:sz w:val="18"/>
          <w:szCs w:val="18"/>
          <w:lang w:val="es-ES_tradnl"/>
        </w:rPr>
        <w:t>Presidente y Vicepresidentes de la Reunión Preparatoria de la Conferencia</w:t>
      </w:r>
    </w:p>
    <w:p w:rsidR="00E1398F" w:rsidRPr="00211854" w:rsidRDefault="00E1398F" w:rsidP="00490807">
      <w:pPr>
        <w:spacing w:before="0" w:line="240" w:lineRule="auto"/>
        <w:jc w:val="left"/>
        <w:rPr>
          <w:sz w:val="18"/>
          <w:szCs w:val="18"/>
          <w:lang w:val="es-ES_tradnl"/>
        </w:rPr>
      </w:pPr>
      <w:r w:rsidRPr="005E2681">
        <w:rPr>
          <w:sz w:val="18"/>
          <w:szCs w:val="18"/>
          <w:lang w:val="es-ES_tradnl"/>
        </w:rPr>
        <w:t>–</w:t>
      </w:r>
      <w:r w:rsidRPr="005E2681">
        <w:rPr>
          <w:sz w:val="18"/>
          <w:szCs w:val="18"/>
          <w:lang w:val="es-ES_tradnl"/>
        </w:rPr>
        <w:tab/>
      </w:r>
      <w:r w:rsidRPr="00211854">
        <w:rPr>
          <w:sz w:val="18"/>
          <w:szCs w:val="18"/>
          <w:lang w:val="es-ES_tradnl"/>
        </w:rPr>
        <w:t>Miembros de la Junta del Reglamento de Radiocomunicaciones</w:t>
      </w:r>
    </w:p>
    <w:p w:rsidR="00E1398F" w:rsidRPr="00211854" w:rsidRDefault="00E1398F" w:rsidP="00490807">
      <w:pPr>
        <w:spacing w:before="0" w:line="240" w:lineRule="auto"/>
        <w:ind w:left="794" w:hanging="794"/>
        <w:jc w:val="left"/>
        <w:rPr>
          <w:lang w:val="es-ES_tradnl"/>
        </w:rPr>
      </w:pPr>
      <w:r w:rsidRPr="005E2681">
        <w:rPr>
          <w:sz w:val="18"/>
          <w:szCs w:val="18"/>
          <w:lang w:val="es-ES_tradnl"/>
        </w:rPr>
        <w:t>–</w:t>
      </w:r>
      <w:r w:rsidRPr="005E2681">
        <w:rPr>
          <w:sz w:val="18"/>
          <w:szCs w:val="18"/>
          <w:lang w:val="es-ES_tradnl"/>
        </w:rPr>
        <w:tab/>
      </w:r>
      <w:r w:rsidRPr="00211854">
        <w:rPr>
          <w:sz w:val="18"/>
          <w:szCs w:val="18"/>
          <w:lang w:val="es-ES_tradnl"/>
        </w:rPr>
        <w:t>Secretario General de la UIT, Vicesecretario General de la UIT, Director de la Oficina de Normalización de las Telecomunicaciones, Director de la Oficina de Desarrollo de las Telecomunicaciones</w:t>
      </w:r>
    </w:p>
    <w:sectPr w:rsidR="00E1398F" w:rsidRPr="00211854" w:rsidSect="00303C4F">
      <w:headerReference w:type="even" r:id="rId24"/>
      <w:headerReference w:type="default" r:id="rId25"/>
      <w:footerReference w:type="even" r:id="rId26"/>
      <w:footerReference w:type="default" r:id="rId27"/>
      <w:headerReference w:type="first" r:id="rId28"/>
      <w:footerReference w:type="first" r:id="rId29"/>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298" w:rsidRDefault="00BB3298">
      <w:r>
        <w:separator/>
      </w:r>
    </w:p>
  </w:endnote>
  <w:endnote w:type="continuationSeparator" w:id="0">
    <w:p w:rsidR="00BB3298" w:rsidRDefault="00BB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98" w:rsidRPr="00B65903" w:rsidRDefault="00BB3298" w:rsidP="00B65903">
    <w:pPr>
      <w:pStyle w:val="Footer"/>
      <w:rPr>
        <w:sz w:val="16"/>
        <w:szCs w:val="16"/>
        <w:lang w:val="es-ES_tradnl"/>
      </w:rPr>
    </w:pPr>
    <w:r w:rsidRPr="00B65903">
      <w:rPr>
        <w:sz w:val="16"/>
        <w:szCs w:val="16"/>
      </w:rPr>
      <w:fldChar w:fldCharType="begin"/>
    </w:r>
    <w:r w:rsidRPr="00B65903">
      <w:rPr>
        <w:sz w:val="16"/>
        <w:szCs w:val="16"/>
        <w:lang w:val="es-ES_tradnl"/>
      </w:rPr>
      <w:instrText xml:space="preserve"> FILENAME \p  \* MERGEFORMAT </w:instrText>
    </w:r>
    <w:r w:rsidRPr="00B65903">
      <w:rPr>
        <w:sz w:val="16"/>
        <w:szCs w:val="16"/>
      </w:rPr>
      <w:fldChar w:fldCharType="separate"/>
    </w:r>
    <w:r w:rsidR="00FB1FA0">
      <w:rPr>
        <w:noProof/>
        <w:sz w:val="16"/>
        <w:szCs w:val="16"/>
        <w:lang w:val="es-ES_tradnl"/>
      </w:rPr>
      <w:t>P:\ESP\ITU-R\BR\DIR\CA\200\219ADD01S.docx</w:t>
    </w:r>
    <w:r w:rsidRPr="00B65903">
      <w:rPr>
        <w:noProof/>
        <w:sz w:val="16"/>
        <w:szCs w:val="16"/>
      </w:rPr>
      <w:fldChar w:fldCharType="end"/>
    </w:r>
    <w:r w:rsidRPr="00B65903">
      <w:rPr>
        <w:noProof/>
        <w:sz w:val="16"/>
        <w:szCs w:val="16"/>
        <w:lang w:val="es-ES_tradnl"/>
      </w:rPr>
      <w:t xml:space="preserve"> (375695)</w:t>
    </w:r>
    <w:r w:rsidRPr="00B65903">
      <w:rPr>
        <w:sz w:val="16"/>
        <w:szCs w:val="16"/>
        <w:lang w:val="es-ES_tradnl"/>
      </w:rPr>
      <w:tab/>
    </w:r>
    <w:r w:rsidRPr="00B65903">
      <w:rPr>
        <w:sz w:val="16"/>
        <w:szCs w:val="16"/>
      </w:rPr>
      <w:fldChar w:fldCharType="begin"/>
    </w:r>
    <w:r w:rsidRPr="00B65903">
      <w:rPr>
        <w:sz w:val="16"/>
        <w:szCs w:val="16"/>
      </w:rPr>
      <w:instrText xml:space="preserve"> SAVEDATE \@ DD.MM.YY </w:instrText>
    </w:r>
    <w:r w:rsidRPr="00B65903">
      <w:rPr>
        <w:sz w:val="16"/>
        <w:szCs w:val="16"/>
      </w:rPr>
      <w:fldChar w:fldCharType="separate"/>
    </w:r>
    <w:r w:rsidR="00DC21CC">
      <w:rPr>
        <w:noProof/>
        <w:sz w:val="16"/>
        <w:szCs w:val="16"/>
      </w:rPr>
      <w:t>23.04.15</w:t>
    </w:r>
    <w:r w:rsidRPr="00B65903">
      <w:rPr>
        <w:sz w:val="16"/>
        <w:szCs w:val="16"/>
      </w:rPr>
      <w:fldChar w:fldCharType="end"/>
    </w:r>
    <w:r w:rsidRPr="00B65903">
      <w:rPr>
        <w:sz w:val="16"/>
        <w:szCs w:val="16"/>
        <w:lang w:val="es-ES_tradnl"/>
      </w:rPr>
      <w:tab/>
    </w:r>
    <w:r w:rsidRPr="00B65903">
      <w:rPr>
        <w:sz w:val="16"/>
        <w:szCs w:val="16"/>
      </w:rPr>
      <w:fldChar w:fldCharType="begin"/>
    </w:r>
    <w:r w:rsidRPr="00B65903">
      <w:rPr>
        <w:sz w:val="16"/>
        <w:szCs w:val="16"/>
      </w:rPr>
      <w:instrText xml:space="preserve"> PRINTDATE \@ DD.MM.YY </w:instrText>
    </w:r>
    <w:r w:rsidRPr="00B65903">
      <w:rPr>
        <w:sz w:val="16"/>
        <w:szCs w:val="16"/>
      </w:rPr>
      <w:fldChar w:fldCharType="separate"/>
    </w:r>
    <w:r w:rsidR="00FB1FA0">
      <w:rPr>
        <w:noProof/>
        <w:sz w:val="16"/>
        <w:szCs w:val="16"/>
      </w:rPr>
      <w:t>23.04.15</w:t>
    </w:r>
    <w:r w:rsidRPr="00B65903">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98" w:rsidRPr="00156E9E" w:rsidRDefault="00156E9E" w:rsidP="00156E9E">
    <w:pPr>
      <w:pStyle w:val="Footer"/>
      <w:tabs>
        <w:tab w:val="clear" w:pos="4320"/>
        <w:tab w:val="center" w:pos="5529"/>
      </w:tabs>
      <w:rPr>
        <w:sz w:val="16"/>
        <w:szCs w:val="16"/>
        <w:lang w:val="es-ES_tradnl"/>
      </w:rPr>
    </w:pPr>
    <w:r w:rsidRPr="00156E9E">
      <w:rPr>
        <w:sz w:val="16"/>
        <w:szCs w:val="16"/>
      </w:rPr>
      <w:fldChar w:fldCharType="begin"/>
    </w:r>
    <w:r w:rsidRPr="00156E9E">
      <w:rPr>
        <w:sz w:val="16"/>
        <w:szCs w:val="16"/>
        <w:lang w:val="es-ES_tradnl"/>
      </w:rPr>
      <w:instrText xml:space="preserve"> FILENAME \p  \* MERGEFORMAT </w:instrText>
    </w:r>
    <w:r w:rsidRPr="00156E9E">
      <w:rPr>
        <w:sz w:val="16"/>
        <w:szCs w:val="16"/>
      </w:rPr>
      <w:fldChar w:fldCharType="separate"/>
    </w:r>
    <w:r w:rsidR="00A256D0">
      <w:rPr>
        <w:noProof/>
        <w:sz w:val="16"/>
        <w:szCs w:val="16"/>
        <w:lang w:val="es-ES_tradnl"/>
      </w:rPr>
      <w:t>P:\ESP\ITU-R\BR\DIR\CA\200\219ADD01S.docx</w:t>
    </w:r>
    <w:r w:rsidRPr="00156E9E">
      <w:rPr>
        <w:noProof/>
        <w:sz w:val="16"/>
        <w:szCs w:val="16"/>
      </w:rPr>
      <w:fldChar w:fldCharType="end"/>
    </w:r>
    <w:r w:rsidRPr="00156E9E">
      <w:rPr>
        <w:noProof/>
        <w:sz w:val="16"/>
        <w:szCs w:val="16"/>
        <w:lang w:val="es-ES_tradnl"/>
      </w:rPr>
      <w:t xml:space="preserve"> (378928)</w:t>
    </w:r>
    <w:r w:rsidRPr="00156E9E">
      <w:rPr>
        <w:sz w:val="16"/>
        <w:szCs w:val="16"/>
        <w:lang w:val="es-ES_tradnl"/>
      </w:rPr>
      <w:tab/>
    </w:r>
    <w:r w:rsidRPr="00156E9E">
      <w:rPr>
        <w:sz w:val="16"/>
        <w:szCs w:val="16"/>
      </w:rPr>
      <w:fldChar w:fldCharType="begin"/>
    </w:r>
    <w:r w:rsidRPr="00156E9E">
      <w:rPr>
        <w:sz w:val="16"/>
        <w:szCs w:val="16"/>
      </w:rPr>
      <w:instrText xml:space="preserve"> SAVEDATE \@ DD.MM.YY </w:instrText>
    </w:r>
    <w:r w:rsidRPr="00156E9E">
      <w:rPr>
        <w:sz w:val="16"/>
        <w:szCs w:val="16"/>
      </w:rPr>
      <w:fldChar w:fldCharType="separate"/>
    </w:r>
    <w:r w:rsidR="00DC21CC">
      <w:rPr>
        <w:noProof/>
        <w:sz w:val="16"/>
        <w:szCs w:val="16"/>
      </w:rPr>
      <w:t>23.04.15</w:t>
    </w:r>
    <w:r w:rsidRPr="00156E9E">
      <w:rPr>
        <w:sz w:val="16"/>
        <w:szCs w:val="16"/>
      </w:rPr>
      <w:fldChar w:fldCharType="end"/>
    </w:r>
    <w:r w:rsidRPr="00156E9E">
      <w:rPr>
        <w:sz w:val="16"/>
        <w:szCs w:val="16"/>
        <w:lang w:val="es-ES_tradnl"/>
      </w:rPr>
      <w:tab/>
    </w:r>
    <w:r w:rsidRPr="00156E9E">
      <w:rPr>
        <w:sz w:val="16"/>
        <w:szCs w:val="16"/>
      </w:rPr>
      <w:fldChar w:fldCharType="begin"/>
    </w:r>
    <w:r w:rsidRPr="00156E9E">
      <w:rPr>
        <w:sz w:val="16"/>
        <w:szCs w:val="16"/>
      </w:rPr>
      <w:instrText xml:space="preserve"> PRINTDATE \@ DD.MM.YY </w:instrText>
    </w:r>
    <w:r w:rsidRPr="00156E9E">
      <w:rPr>
        <w:sz w:val="16"/>
        <w:szCs w:val="16"/>
      </w:rPr>
      <w:fldChar w:fldCharType="separate"/>
    </w:r>
    <w:r w:rsidR="00A256D0">
      <w:rPr>
        <w:noProof/>
        <w:sz w:val="16"/>
        <w:szCs w:val="16"/>
      </w:rPr>
      <w:t>23.04.15</w:t>
    </w:r>
    <w:r w:rsidRPr="00156E9E">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98" w:rsidRPr="00836C8A" w:rsidRDefault="00BB3298" w:rsidP="00805A02">
    <w:pPr>
      <w:pStyle w:val="FirstFooter"/>
      <w:spacing w:line="240" w:lineRule="auto"/>
      <w:ind w:left="-397" w:right="-397"/>
      <w:jc w:val="center"/>
      <w:rPr>
        <w:color w:val="3E8EDE"/>
        <w:sz w:val="18"/>
        <w:szCs w:val="18"/>
        <w:lang w:val="es-ES_tradnl"/>
      </w:rPr>
    </w:pPr>
    <w:r w:rsidRPr="00836C8A">
      <w:rPr>
        <w:color w:val="3E8EDE"/>
        <w:sz w:val="18"/>
        <w:szCs w:val="18"/>
        <w:lang w:val="es-ES_tradnl"/>
      </w:rPr>
      <w:t>Unión Internacional de Telecomunicaciones • Place des Nations • CH</w:t>
    </w:r>
    <w:r w:rsidRPr="00836C8A">
      <w:rPr>
        <w:color w:val="3E8EDE"/>
        <w:sz w:val="18"/>
        <w:szCs w:val="18"/>
        <w:lang w:val="es-ES_tradnl"/>
      </w:rPr>
      <w:noBreakHyphen/>
      <w:t>1211 Ginebra 20 • Suiza</w:t>
    </w:r>
    <w:r w:rsidRPr="00836C8A">
      <w:rPr>
        <w:color w:val="3E8EDE"/>
        <w:sz w:val="18"/>
        <w:szCs w:val="18"/>
        <w:lang w:val="es-ES_tradnl"/>
      </w:rPr>
      <w:br/>
      <w:t>Tel</w:t>
    </w:r>
    <w:r>
      <w:rPr>
        <w:color w:val="3E8EDE"/>
        <w:sz w:val="18"/>
        <w:szCs w:val="18"/>
        <w:lang w:val="es-ES_tradnl"/>
      </w:rPr>
      <w:t>.</w:t>
    </w:r>
    <w:r w:rsidRPr="00836C8A">
      <w:rPr>
        <w:color w:val="3E8EDE"/>
        <w:sz w:val="18"/>
        <w:szCs w:val="18"/>
        <w:lang w:val="es-ES_tradnl"/>
      </w:rPr>
      <w:t xml:space="preserve">: +41 22 730 5111 • Fax: +41 22 733 7256 • </w:t>
    </w:r>
    <w:r>
      <w:rPr>
        <w:color w:val="3E8EDE"/>
        <w:sz w:val="18"/>
        <w:szCs w:val="18"/>
        <w:lang w:val="es-ES_tradnl"/>
      </w:rPr>
      <w:br/>
    </w:r>
    <w:r w:rsidRPr="00836C8A">
      <w:rPr>
        <w:color w:val="3E8EDE"/>
        <w:sz w:val="18"/>
        <w:szCs w:val="18"/>
        <w:lang w:val="es-ES_tradnl"/>
      </w:rPr>
      <w:t xml:space="preserve">Correo-e: </w:t>
    </w:r>
    <w:hyperlink r:id="rId1" w:history="1">
      <w:r w:rsidRPr="00836C8A">
        <w:rPr>
          <w:color w:val="3E8EDE"/>
          <w:sz w:val="18"/>
          <w:szCs w:val="18"/>
          <w:lang w:val="es-ES_tradnl"/>
        </w:rPr>
        <w:t>itumail@itu.int</w:t>
      </w:r>
    </w:hyperlink>
    <w:r w:rsidRPr="00836C8A">
      <w:rPr>
        <w:color w:val="3E8EDE"/>
        <w:sz w:val="18"/>
        <w:szCs w:val="18"/>
        <w:lang w:val="es-ES_tradnl"/>
      </w:rPr>
      <w:t xml:space="preserve"> • </w:t>
    </w:r>
    <w:hyperlink r:id="rId2" w:history="1">
      <w:r w:rsidRPr="00836C8A">
        <w:rPr>
          <w:color w:val="3E8EDE"/>
          <w:sz w:val="18"/>
          <w:szCs w:val="18"/>
          <w:lang w:val="es-ES_tradnl"/>
        </w:rPr>
        <w:t>www.itu.int</w:t>
      </w:r>
    </w:hyperlink>
    <w:r w:rsidRPr="00836C8A">
      <w:rPr>
        <w:color w:val="3E8EDE"/>
        <w:sz w:val="18"/>
        <w:szCs w:val="18"/>
        <w:lang w:val="es-ES_tradnl"/>
      </w:rPr>
      <w:t xml:space="preserve"> • </w:t>
    </w:r>
    <w:hyperlink r:id="rId3" w:history="1">
      <w:r w:rsidRPr="00450A07">
        <w:rPr>
          <w:color w:val="3E8EDE"/>
          <w:sz w:val="18"/>
          <w:lang w:val="es-ES_tradnl"/>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298" w:rsidRDefault="00BB3298">
      <w:r>
        <w:t>____________________</w:t>
      </w:r>
    </w:p>
  </w:footnote>
  <w:footnote w:type="continuationSeparator" w:id="0">
    <w:p w:rsidR="00BB3298" w:rsidRDefault="00BB3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98" w:rsidRPr="00D239B4" w:rsidRDefault="00BB3298" w:rsidP="00E1398F">
    <w:pPr>
      <w:pStyle w:val="Header"/>
      <w:jc w:val="center"/>
      <w:rPr>
        <w:sz w:val="18"/>
        <w:szCs w:val="16"/>
      </w:rPr>
    </w:pPr>
    <w:r>
      <w:rPr>
        <w:rStyle w:val="PageNumbe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noProof/>
        <w:sz w:val="18"/>
        <w:szCs w:val="16"/>
      </w:rPr>
      <w:t>2</w:t>
    </w:r>
    <w:r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298" w:rsidRPr="00B65903" w:rsidRDefault="00BB3298" w:rsidP="00B65903">
    <w:pPr>
      <w:pStyle w:val="Header"/>
      <w:jc w:val="center"/>
      <w:rPr>
        <w:sz w:val="18"/>
        <w:szCs w:val="16"/>
      </w:rPr>
    </w:pPr>
    <w:r>
      <w:rPr>
        <w:rStyle w:val="PageNumbe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DC21CC">
      <w:rPr>
        <w:rStyle w:val="PageNumber"/>
        <w:noProof/>
        <w:sz w:val="18"/>
        <w:szCs w:val="16"/>
      </w:rPr>
      <w:t>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B3298" w:rsidTr="00EF178D">
      <w:trPr>
        <w:jc w:val="center"/>
      </w:trPr>
      <w:tc>
        <w:tcPr>
          <w:tcW w:w="4889" w:type="dxa"/>
        </w:tcPr>
        <w:p w:rsidR="00BB3298" w:rsidRDefault="00BB3298" w:rsidP="009E4595">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B3298" w:rsidRDefault="00BB3298" w:rsidP="009E4595">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BB3298" w:rsidRPr="009E4595" w:rsidRDefault="00BB3298"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50A07"/>
    <w:rsid w:val="00006A31"/>
    <w:rsid w:val="00006C82"/>
    <w:rsid w:val="00010E30"/>
    <w:rsid w:val="00015C76"/>
    <w:rsid w:val="00026CF8"/>
    <w:rsid w:val="00030BD7"/>
    <w:rsid w:val="00031E64"/>
    <w:rsid w:val="00034340"/>
    <w:rsid w:val="000349AF"/>
    <w:rsid w:val="00035CB3"/>
    <w:rsid w:val="00045A8D"/>
    <w:rsid w:val="00050560"/>
    <w:rsid w:val="0005167A"/>
    <w:rsid w:val="00054E5D"/>
    <w:rsid w:val="00070258"/>
    <w:rsid w:val="0007323C"/>
    <w:rsid w:val="00086D03"/>
    <w:rsid w:val="000A096A"/>
    <w:rsid w:val="000A375E"/>
    <w:rsid w:val="000A7051"/>
    <w:rsid w:val="000B0AF6"/>
    <w:rsid w:val="000B0E9B"/>
    <w:rsid w:val="000B2CAE"/>
    <w:rsid w:val="000C03C7"/>
    <w:rsid w:val="000C2AD0"/>
    <w:rsid w:val="000D1C40"/>
    <w:rsid w:val="000E3DEE"/>
    <w:rsid w:val="00100B72"/>
    <w:rsid w:val="00101F7D"/>
    <w:rsid w:val="00103C76"/>
    <w:rsid w:val="0011265F"/>
    <w:rsid w:val="00117282"/>
    <w:rsid w:val="00117389"/>
    <w:rsid w:val="00121C2D"/>
    <w:rsid w:val="00134404"/>
    <w:rsid w:val="00141BBC"/>
    <w:rsid w:val="00144183"/>
    <w:rsid w:val="00144DFB"/>
    <w:rsid w:val="00156E9E"/>
    <w:rsid w:val="00187CA3"/>
    <w:rsid w:val="0019138B"/>
    <w:rsid w:val="00196710"/>
    <w:rsid w:val="00196770"/>
    <w:rsid w:val="00197324"/>
    <w:rsid w:val="001B351B"/>
    <w:rsid w:val="001B42C9"/>
    <w:rsid w:val="001C06DB"/>
    <w:rsid w:val="001C6971"/>
    <w:rsid w:val="001D2785"/>
    <w:rsid w:val="001D51F2"/>
    <w:rsid w:val="001D7070"/>
    <w:rsid w:val="001F2170"/>
    <w:rsid w:val="001F3948"/>
    <w:rsid w:val="001F5A49"/>
    <w:rsid w:val="00201097"/>
    <w:rsid w:val="00201B6E"/>
    <w:rsid w:val="00211854"/>
    <w:rsid w:val="002302B3"/>
    <w:rsid w:val="00230C66"/>
    <w:rsid w:val="00235375"/>
    <w:rsid w:val="00235A29"/>
    <w:rsid w:val="00241526"/>
    <w:rsid w:val="002443A2"/>
    <w:rsid w:val="00266E74"/>
    <w:rsid w:val="002724BF"/>
    <w:rsid w:val="00283C3B"/>
    <w:rsid w:val="002861E6"/>
    <w:rsid w:val="00287D18"/>
    <w:rsid w:val="002A2618"/>
    <w:rsid w:val="002A5DD7"/>
    <w:rsid w:val="002B0CAC"/>
    <w:rsid w:val="002D5A15"/>
    <w:rsid w:val="002D5BDD"/>
    <w:rsid w:val="002E3D27"/>
    <w:rsid w:val="002F0890"/>
    <w:rsid w:val="002F2531"/>
    <w:rsid w:val="002F4967"/>
    <w:rsid w:val="00303C4F"/>
    <w:rsid w:val="00316935"/>
    <w:rsid w:val="003266ED"/>
    <w:rsid w:val="00326C68"/>
    <w:rsid w:val="0033029C"/>
    <w:rsid w:val="003370B8"/>
    <w:rsid w:val="00345D38"/>
    <w:rsid w:val="00352097"/>
    <w:rsid w:val="003666FF"/>
    <w:rsid w:val="0037309C"/>
    <w:rsid w:val="003748E9"/>
    <w:rsid w:val="00376D86"/>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0A07"/>
    <w:rsid w:val="004623F7"/>
    <w:rsid w:val="00480F51"/>
    <w:rsid w:val="00481124"/>
    <w:rsid w:val="004815EB"/>
    <w:rsid w:val="00487569"/>
    <w:rsid w:val="00490807"/>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144"/>
    <w:rsid w:val="00534372"/>
    <w:rsid w:val="00543DF8"/>
    <w:rsid w:val="00546101"/>
    <w:rsid w:val="00553DD7"/>
    <w:rsid w:val="005638CF"/>
    <w:rsid w:val="0056741E"/>
    <w:rsid w:val="0057325A"/>
    <w:rsid w:val="0057469A"/>
    <w:rsid w:val="00580814"/>
    <w:rsid w:val="00583A0B"/>
    <w:rsid w:val="00595B94"/>
    <w:rsid w:val="005A03A3"/>
    <w:rsid w:val="005A2B92"/>
    <w:rsid w:val="005A3F66"/>
    <w:rsid w:val="005A79E9"/>
    <w:rsid w:val="005B214C"/>
    <w:rsid w:val="005B4CDA"/>
    <w:rsid w:val="005B7CEF"/>
    <w:rsid w:val="005D3669"/>
    <w:rsid w:val="005E2681"/>
    <w:rsid w:val="005E5EB3"/>
    <w:rsid w:val="005F3CB6"/>
    <w:rsid w:val="005F657C"/>
    <w:rsid w:val="005F6AD1"/>
    <w:rsid w:val="00602D53"/>
    <w:rsid w:val="006047E5"/>
    <w:rsid w:val="00622D41"/>
    <w:rsid w:val="0064371D"/>
    <w:rsid w:val="00650543"/>
    <w:rsid w:val="00650B2A"/>
    <w:rsid w:val="00651777"/>
    <w:rsid w:val="006550F8"/>
    <w:rsid w:val="006777EF"/>
    <w:rsid w:val="006829F3"/>
    <w:rsid w:val="006A518B"/>
    <w:rsid w:val="006B0590"/>
    <w:rsid w:val="006B49DA"/>
    <w:rsid w:val="006C53F8"/>
    <w:rsid w:val="006C5783"/>
    <w:rsid w:val="006C7CDE"/>
    <w:rsid w:val="006F1663"/>
    <w:rsid w:val="007234B1"/>
    <w:rsid w:val="00723D08"/>
    <w:rsid w:val="00725FDA"/>
    <w:rsid w:val="00727816"/>
    <w:rsid w:val="00730B9A"/>
    <w:rsid w:val="00745E92"/>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A1EDB"/>
    <w:rsid w:val="008B35A3"/>
    <w:rsid w:val="008B37E1"/>
    <w:rsid w:val="008B45F8"/>
    <w:rsid w:val="008B4849"/>
    <w:rsid w:val="008C2E74"/>
    <w:rsid w:val="008D5409"/>
    <w:rsid w:val="008E006D"/>
    <w:rsid w:val="008E38B4"/>
    <w:rsid w:val="008F4F21"/>
    <w:rsid w:val="00904D4A"/>
    <w:rsid w:val="009076D7"/>
    <w:rsid w:val="0091225D"/>
    <w:rsid w:val="009151BA"/>
    <w:rsid w:val="00925023"/>
    <w:rsid w:val="009277BC"/>
    <w:rsid w:val="00927D57"/>
    <w:rsid w:val="00931A51"/>
    <w:rsid w:val="00947185"/>
    <w:rsid w:val="009518B3"/>
    <w:rsid w:val="0096176A"/>
    <w:rsid w:val="00963D9D"/>
    <w:rsid w:val="0098013E"/>
    <w:rsid w:val="009806C5"/>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7913"/>
    <w:rsid w:val="00A119E6"/>
    <w:rsid w:val="00A17D08"/>
    <w:rsid w:val="00A20FBC"/>
    <w:rsid w:val="00A256D0"/>
    <w:rsid w:val="00A31370"/>
    <w:rsid w:val="00A31D04"/>
    <w:rsid w:val="00A34D6F"/>
    <w:rsid w:val="00A41F91"/>
    <w:rsid w:val="00A63355"/>
    <w:rsid w:val="00A7596D"/>
    <w:rsid w:val="00A80EFE"/>
    <w:rsid w:val="00A963DF"/>
    <w:rsid w:val="00A96D3A"/>
    <w:rsid w:val="00AC0C22"/>
    <w:rsid w:val="00AC3896"/>
    <w:rsid w:val="00AD1501"/>
    <w:rsid w:val="00AD2CF2"/>
    <w:rsid w:val="00AE2D88"/>
    <w:rsid w:val="00AE6F6F"/>
    <w:rsid w:val="00AF3325"/>
    <w:rsid w:val="00AF34D9"/>
    <w:rsid w:val="00AF70DA"/>
    <w:rsid w:val="00B019D3"/>
    <w:rsid w:val="00B34CF9"/>
    <w:rsid w:val="00B34D0B"/>
    <w:rsid w:val="00B37559"/>
    <w:rsid w:val="00B4054B"/>
    <w:rsid w:val="00B579B0"/>
    <w:rsid w:val="00B57D11"/>
    <w:rsid w:val="00B649D7"/>
    <w:rsid w:val="00B65903"/>
    <w:rsid w:val="00B769DF"/>
    <w:rsid w:val="00B81C2F"/>
    <w:rsid w:val="00B90743"/>
    <w:rsid w:val="00B90C45"/>
    <w:rsid w:val="00B933BE"/>
    <w:rsid w:val="00BB3298"/>
    <w:rsid w:val="00BD4B51"/>
    <w:rsid w:val="00BD6738"/>
    <w:rsid w:val="00BD7E5E"/>
    <w:rsid w:val="00BE63DB"/>
    <w:rsid w:val="00BE6574"/>
    <w:rsid w:val="00BF3E4E"/>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006B"/>
    <w:rsid w:val="00CE076A"/>
    <w:rsid w:val="00CE463D"/>
    <w:rsid w:val="00CE712F"/>
    <w:rsid w:val="00D10BA0"/>
    <w:rsid w:val="00D21694"/>
    <w:rsid w:val="00D239B4"/>
    <w:rsid w:val="00D24EB5"/>
    <w:rsid w:val="00D35AB9"/>
    <w:rsid w:val="00D36556"/>
    <w:rsid w:val="00D41571"/>
    <w:rsid w:val="00D416A0"/>
    <w:rsid w:val="00D47672"/>
    <w:rsid w:val="00D5123C"/>
    <w:rsid w:val="00D55560"/>
    <w:rsid w:val="00D61C5A"/>
    <w:rsid w:val="00D63BFF"/>
    <w:rsid w:val="00D6790C"/>
    <w:rsid w:val="00D73277"/>
    <w:rsid w:val="00D76586"/>
    <w:rsid w:val="00D82657"/>
    <w:rsid w:val="00D87E20"/>
    <w:rsid w:val="00DA4037"/>
    <w:rsid w:val="00DC21CC"/>
    <w:rsid w:val="00DE66A5"/>
    <w:rsid w:val="00DF2B50"/>
    <w:rsid w:val="00E01059"/>
    <w:rsid w:val="00E04C86"/>
    <w:rsid w:val="00E1398F"/>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F178D"/>
    <w:rsid w:val="00F424BF"/>
    <w:rsid w:val="00F44FC3"/>
    <w:rsid w:val="00F46107"/>
    <w:rsid w:val="00F468C5"/>
    <w:rsid w:val="00F52F39"/>
    <w:rsid w:val="00F6184F"/>
    <w:rsid w:val="00F65837"/>
    <w:rsid w:val="00F8310E"/>
    <w:rsid w:val="00F83DC2"/>
    <w:rsid w:val="00F914DD"/>
    <w:rsid w:val="00FA2358"/>
    <w:rsid w:val="00FB0433"/>
    <w:rsid w:val="00FB1FA0"/>
    <w:rsid w:val="00FB2592"/>
    <w:rsid w:val="00FB2810"/>
    <w:rsid w:val="00FB7A2C"/>
    <w:rsid w:val="00FC2947"/>
    <w:rsid w:val="00FC72BF"/>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6D54C83B-1268-4C3C-B61A-5822319D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E1398F"/>
    <w:rPr>
      <w:b/>
      <w:sz w:val="24"/>
      <w:szCs w:val="22"/>
      <w:lang w:val="en-US" w:eastAsia="en-US"/>
    </w:rPr>
  </w:style>
  <w:style w:type="character" w:customStyle="1" w:styleId="Heading2Char">
    <w:name w:val="Heading 2 Char"/>
    <w:link w:val="Heading2"/>
    <w:uiPriority w:val="99"/>
    <w:locked/>
    <w:rsid w:val="00E1398F"/>
    <w:rPr>
      <w:b/>
      <w:sz w:val="24"/>
      <w:szCs w:val="22"/>
      <w:lang w:val="en-US" w:eastAsia="en-US"/>
    </w:rPr>
  </w:style>
  <w:style w:type="paragraph" w:customStyle="1" w:styleId="AnnexNotitle0">
    <w:name w:val="Annex_No &amp; title"/>
    <w:basedOn w:val="Normal"/>
    <w:next w:val="Normalaftertitle"/>
    <w:rsid w:val="00E1398F"/>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link w:val="NormalaftertitleChar"/>
    <w:rsid w:val="00E1398F"/>
    <w:pPr>
      <w:widowControl w:val="0"/>
      <w:spacing w:before="32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rsid w:val="00E1398F"/>
    <w:rPr>
      <w:rFonts w:ascii="Times New Roman" w:hAnsi="Times New Roman" w:cs="Times New Roman"/>
      <w:sz w:val="24"/>
      <w:lang w:val="en-GB" w:eastAsia="en-US"/>
    </w:rPr>
  </w:style>
  <w:style w:type="character" w:customStyle="1" w:styleId="CallChar">
    <w:name w:val="Call Char"/>
    <w:basedOn w:val="DefaultParagraphFont"/>
    <w:link w:val="Call"/>
    <w:rsid w:val="00E1398F"/>
    <w:rPr>
      <w:i/>
      <w:sz w:val="24"/>
      <w:szCs w:val="22"/>
      <w:lang w:val="en-US" w:eastAsia="en-US"/>
    </w:rPr>
  </w:style>
  <w:style w:type="character" w:customStyle="1" w:styleId="FootnoteTextChar">
    <w:name w:val="Footnote Text Char"/>
    <w:link w:val="FootnoteText"/>
    <w:uiPriority w:val="99"/>
    <w:semiHidden/>
    <w:locked/>
    <w:rsid w:val="00E1398F"/>
    <w:rPr>
      <w:szCs w:val="22"/>
      <w:lang w:val="en-US" w:eastAsia="en-US"/>
    </w:rPr>
  </w:style>
  <w:style w:type="character" w:styleId="FollowedHyperlink">
    <w:name w:val="FollowedHyperlink"/>
    <w:basedOn w:val="DefaultParagraphFont"/>
    <w:semiHidden/>
    <w:unhideWhenUsed/>
    <w:rsid w:val="000D1C40"/>
    <w:rPr>
      <w:color w:val="800080" w:themeColor="followedHyperlink"/>
      <w:u w:val="single"/>
    </w:rPr>
  </w:style>
  <w:style w:type="paragraph" w:customStyle="1" w:styleId="Reasons">
    <w:name w:val="Reasons"/>
    <w:basedOn w:val="Normal"/>
    <w:qFormat/>
    <w:rsid w:val="001D51F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A-CIR-0219/es" TargetMode="External"/><Relationship Id="rId13" Type="http://schemas.openxmlformats.org/officeDocument/2006/relationships/hyperlink" Target="mailto:wrc15@itu.int" TargetMode="External"/><Relationship Id="rId18" Type="http://schemas.openxmlformats.org/officeDocument/2006/relationships/hyperlink" Target="http://www.itu.int/go/ITU-R/wrc-1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tu-r.registrations@itu.int" TargetMode="External"/><Relationship Id="rId7" Type="http://schemas.openxmlformats.org/officeDocument/2006/relationships/endnotes" Target="endnotes.xml"/><Relationship Id="rId12" Type="http://schemas.openxmlformats.org/officeDocument/2006/relationships/hyperlink" Target="http://www.itu.int/online/regsys/TIES/auth/ITU-R/SGs/edrs.focalpoint" TargetMode="External"/><Relationship Id="rId17" Type="http://schemas.openxmlformats.org/officeDocument/2006/relationships/hyperlink" Target="http://www.itu.int/md/R15-WRC15-C/e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TIES/index-es.html" TargetMode="External"/><Relationship Id="rId20" Type="http://schemas.openxmlformats.org/officeDocument/2006/relationships/hyperlink" Target="http://www.itu.int/online/regsys/TIES/auth/ITU-R/SGs/edrs.focalpo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TIES/index-es.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go/ITU-R/wrc-15" TargetMode="External"/><Relationship Id="rId23" Type="http://schemas.openxmlformats.org/officeDocument/2006/relationships/hyperlink" Target="mailto:mario.maniewicz@itu.int" TargetMode="External"/><Relationship Id="rId28" Type="http://schemas.openxmlformats.org/officeDocument/2006/relationships/header" Target="header3.xml"/><Relationship Id="rId10" Type="http://schemas.openxmlformats.org/officeDocument/2006/relationships/hyperlink" Target="http://www.itu.int/en/ITU-R/conferences/wrc/2015/" TargetMode="External"/><Relationship Id="rId19" Type="http://schemas.openxmlformats.org/officeDocument/2006/relationships/hyperlink" Target="http://www.itu.int/go/ITU-R/wrc-1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00-CA-CIR-0219/es" TargetMode="External"/><Relationship Id="rId14" Type="http://schemas.openxmlformats.org/officeDocument/2006/relationships/hyperlink" Target="http://www.itu.int/go/ITU-R/wrc-15" TargetMode="External"/><Relationship Id="rId22" Type="http://schemas.openxmlformats.org/officeDocument/2006/relationships/hyperlink" Target="http://www.itu.int/go/ITU-R/wrc-15"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3C5B2-06BE-45E9-B942-CACD3071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0</TotalTime>
  <Pages>3</Pages>
  <Words>1367</Words>
  <Characters>7793</Characters>
  <Application>Microsoft Office Word</Application>
  <DocSecurity>4</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9142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Jones, Jacqueline</cp:lastModifiedBy>
  <cp:revision>2</cp:revision>
  <cp:lastPrinted>2015-04-23T08:49:00Z</cp:lastPrinted>
  <dcterms:created xsi:type="dcterms:W3CDTF">2015-05-05T09:44:00Z</dcterms:created>
  <dcterms:modified xsi:type="dcterms:W3CDTF">2015-05-05T09:44:00Z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