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18110C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18110C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:rsidR="00E53DCE" w:rsidRPr="0018110C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</w:p>
          <w:p w:rsidR="00E53DCE" w:rsidRPr="0018110C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18110C" w:rsidTr="006160CB">
        <w:tc>
          <w:tcPr>
            <w:tcW w:w="7054" w:type="dxa"/>
            <w:gridSpan w:val="2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sz w:val="28"/>
                <w:szCs w:val="28"/>
                <w:lang w:val="fr-FR"/>
              </w:rPr>
            </w:pPr>
            <w:r w:rsidRPr="0018110C">
              <w:rPr>
                <w:szCs w:val="24"/>
                <w:lang w:val="fr-FR"/>
              </w:rPr>
              <w:t>Circulaire administrative</w:t>
            </w:r>
          </w:p>
          <w:p w:rsidR="00E53DCE" w:rsidRPr="0018110C" w:rsidRDefault="00E53DCE" w:rsidP="006160CB">
            <w:pPr>
              <w:spacing w:before="0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18110C">
              <w:rPr>
                <w:b/>
                <w:bCs/>
                <w:szCs w:val="24"/>
                <w:lang w:val="fr-FR"/>
              </w:rPr>
              <w:t>CA/</w:t>
            </w:r>
            <w:r w:rsidR="00E4291B" w:rsidRPr="0018110C">
              <w:rPr>
                <w:b/>
                <w:bCs/>
                <w:szCs w:val="24"/>
                <w:lang w:val="fr-FR"/>
              </w:rPr>
              <w:t>214</w:t>
            </w:r>
          </w:p>
        </w:tc>
        <w:tc>
          <w:tcPr>
            <w:tcW w:w="2835" w:type="dxa"/>
            <w:shd w:val="clear" w:color="auto" w:fill="auto"/>
          </w:tcPr>
          <w:p w:rsidR="00E53DCE" w:rsidRPr="0018110C" w:rsidRDefault="00257D5B" w:rsidP="00E47B04">
            <w:pPr>
              <w:spacing w:before="0"/>
              <w:jc w:val="right"/>
              <w:rPr>
                <w:sz w:val="28"/>
                <w:szCs w:val="28"/>
                <w:lang w:val="fr-FR"/>
              </w:rPr>
            </w:pPr>
            <w:r>
              <w:rPr>
                <w:szCs w:val="24"/>
                <w:lang w:val="fr-FR"/>
              </w:rPr>
              <w:t xml:space="preserve">Le </w:t>
            </w:r>
            <w:r w:rsidR="001E74D9">
              <w:rPr>
                <w:szCs w:val="24"/>
                <w:lang w:val="fr-FR"/>
              </w:rPr>
              <w:t>19</w:t>
            </w:r>
            <w:bookmarkStart w:id="0" w:name="_GoBack"/>
            <w:bookmarkEnd w:id="0"/>
            <w:r>
              <w:rPr>
                <w:szCs w:val="24"/>
                <w:lang w:val="fr-FR"/>
              </w:rPr>
              <w:t xml:space="preserve"> juin 2014</w:t>
            </w:r>
          </w:p>
        </w:tc>
      </w:tr>
      <w:tr w:rsidR="00E53DCE" w:rsidRPr="0018110C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18110C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E1A57" w:rsidP="00B62FBA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8110C">
              <w:rPr>
                <w:b/>
                <w:bCs/>
                <w:szCs w:val="24"/>
                <w:lang w:val="fr-FR"/>
              </w:rPr>
              <w:t xml:space="preserve">Aux Administrations des </w:t>
            </w:r>
            <w:proofErr w:type="spellStart"/>
            <w:r w:rsidRPr="0018110C">
              <w:rPr>
                <w:b/>
                <w:bCs/>
                <w:szCs w:val="24"/>
                <w:lang w:val="fr-FR"/>
              </w:rPr>
              <w:t>Etats</w:t>
            </w:r>
            <w:proofErr w:type="spellEnd"/>
            <w:r w:rsidRPr="0018110C">
              <w:rPr>
                <w:b/>
                <w:bCs/>
                <w:szCs w:val="24"/>
                <w:lang w:val="fr-FR"/>
              </w:rPr>
              <w:t xml:space="preserve"> Membres de l</w:t>
            </w:r>
            <w:r w:rsidR="00B72856">
              <w:rPr>
                <w:b/>
                <w:bCs/>
                <w:szCs w:val="24"/>
                <w:lang w:val="fr-FR"/>
              </w:rPr>
              <w:t>'</w:t>
            </w:r>
            <w:r w:rsidRPr="0018110C">
              <w:rPr>
                <w:b/>
                <w:bCs/>
                <w:szCs w:val="24"/>
                <w:lang w:val="fr-FR"/>
              </w:rPr>
              <w:t>UIT</w:t>
            </w:r>
            <w:r w:rsidR="0018110C">
              <w:rPr>
                <w:b/>
                <w:bCs/>
                <w:szCs w:val="24"/>
                <w:lang w:val="fr-FR"/>
              </w:rPr>
              <w:t xml:space="preserve"> </w:t>
            </w:r>
            <w:r w:rsidR="00E4291B" w:rsidRPr="0018110C">
              <w:rPr>
                <w:b/>
                <w:bCs/>
                <w:szCs w:val="24"/>
                <w:lang w:val="fr-FR"/>
              </w:rPr>
              <w:t>et</w:t>
            </w:r>
            <w:r w:rsidR="00B62FBA">
              <w:rPr>
                <w:b/>
                <w:bCs/>
                <w:szCs w:val="24"/>
                <w:lang w:val="fr-FR"/>
              </w:rPr>
              <w:t xml:space="preserve"> </w:t>
            </w:r>
            <w:r w:rsidR="00E4291B" w:rsidRPr="0018110C">
              <w:rPr>
                <w:b/>
                <w:bCs/>
                <w:szCs w:val="24"/>
                <w:lang w:val="fr-FR"/>
              </w:rPr>
              <w:t>aux Membres du Secteur des radiocommunications</w:t>
            </w:r>
          </w:p>
          <w:p w:rsidR="00E53DCE" w:rsidRPr="0018110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1526" w:type="dxa"/>
            <w:shd w:val="clear" w:color="auto" w:fill="auto"/>
          </w:tcPr>
          <w:p w:rsidR="00E53DCE" w:rsidRPr="0018110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  <w:r w:rsidRPr="0018110C">
              <w:rPr>
                <w:szCs w:val="24"/>
                <w:lang w:val="fr-FR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18110C" w:rsidRDefault="00E4291B" w:rsidP="00257D5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  <w:r w:rsidRPr="0018110C">
              <w:rPr>
                <w:b/>
                <w:bCs/>
                <w:szCs w:val="24"/>
                <w:lang w:val="fr-FR"/>
              </w:rPr>
              <w:t xml:space="preserve">Deuxième </w:t>
            </w:r>
            <w:r w:rsidR="00257D5B">
              <w:rPr>
                <w:b/>
                <w:bCs/>
                <w:szCs w:val="24"/>
                <w:lang w:val="fr-FR"/>
              </w:rPr>
              <w:t>a</w:t>
            </w:r>
            <w:r w:rsidRPr="0018110C">
              <w:rPr>
                <w:b/>
                <w:bCs/>
                <w:szCs w:val="24"/>
                <w:lang w:val="fr-FR"/>
              </w:rPr>
              <w:t>telier interrégional de l</w:t>
            </w:r>
            <w:r w:rsidR="00B72856">
              <w:rPr>
                <w:b/>
                <w:bCs/>
                <w:szCs w:val="24"/>
                <w:lang w:val="fr-FR"/>
              </w:rPr>
              <w:t>'</w:t>
            </w:r>
            <w:r w:rsidRPr="0018110C">
              <w:rPr>
                <w:b/>
                <w:bCs/>
                <w:szCs w:val="24"/>
                <w:lang w:val="fr-FR"/>
              </w:rPr>
              <w:t>UIT sur la préparation de la CMR-15</w:t>
            </w:r>
            <w:r w:rsidRPr="0018110C">
              <w:rPr>
                <w:b/>
                <w:bCs/>
                <w:szCs w:val="24"/>
                <w:lang w:val="fr-FR"/>
              </w:rPr>
              <w:br/>
              <w:t>Genève, 12 et 13 novembre 2014</w:t>
            </w:r>
          </w:p>
        </w:tc>
      </w:tr>
      <w:tr w:rsidR="00E53DCE" w:rsidRPr="001E74D9" w:rsidTr="006160CB">
        <w:tc>
          <w:tcPr>
            <w:tcW w:w="1526" w:type="dxa"/>
            <w:shd w:val="clear" w:color="auto" w:fill="auto"/>
          </w:tcPr>
          <w:p w:rsidR="00E53DCE" w:rsidRPr="0018110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8110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1526" w:type="dxa"/>
            <w:shd w:val="clear" w:color="auto" w:fill="auto"/>
          </w:tcPr>
          <w:p w:rsidR="00E53DCE" w:rsidRPr="0018110C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18110C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FR"/>
              </w:rPr>
            </w:pPr>
          </w:p>
        </w:tc>
      </w:tr>
      <w:tr w:rsidR="00E53DCE" w:rsidRPr="001E74D9" w:rsidTr="006160CB">
        <w:tc>
          <w:tcPr>
            <w:tcW w:w="9889" w:type="dxa"/>
            <w:gridSpan w:val="3"/>
            <w:shd w:val="clear" w:color="auto" w:fill="auto"/>
          </w:tcPr>
          <w:p w:rsidR="00E53DCE" w:rsidRPr="0018110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FR"/>
              </w:rPr>
            </w:pPr>
          </w:p>
        </w:tc>
      </w:tr>
    </w:tbl>
    <w:p w:rsidR="00E4291B" w:rsidRPr="0018110C" w:rsidRDefault="00E4291B" w:rsidP="00E4291B">
      <w:pPr>
        <w:rPr>
          <w:szCs w:val="24"/>
          <w:lang w:val="fr-FR"/>
        </w:rPr>
      </w:pPr>
      <w:r w:rsidRPr="0018110C">
        <w:rPr>
          <w:bCs/>
          <w:szCs w:val="24"/>
          <w:lang w:val="fr-FR"/>
        </w:rPr>
        <w:t xml:space="preserve">Le Bureau </w:t>
      </w:r>
      <w:r w:rsidRPr="0018110C">
        <w:rPr>
          <w:szCs w:val="24"/>
          <w:lang w:val="fr-FR"/>
        </w:rPr>
        <w:t>des radiocommunications de 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UIT a 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 xml:space="preserve">honneur, </w:t>
      </w:r>
      <w:r w:rsidRPr="0018110C">
        <w:rPr>
          <w:bCs/>
          <w:szCs w:val="24"/>
          <w:lang w:val="fr-FR"/>
        </w:rPr>
        <w:t xml:space="preserve">par la présente Circulaire administrative, </w:t>
      </w:r>
      <w:r w:rsidRPr="0018110C">
        <w:rPr>
          <w:szCs w:val="24"/>
          <w:lang w:val="fr-FR"/>
        </w:rPr>
        <w:t>d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inviter votre Administration ou votre organisation à assister au deuxième atelier interrégional de 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UIT sur la préparation de la CMR-15 qui est organisé en application de la Résolution 72 (Rév.CMR</w:t>
      </w:r>
      <w:r w:rsidRPr="0018110C">
        <w:rPr>
          <w:szCs w:val="24"/>
          <w:lang w:val="fr-FR"/>
        </w:rPr>
        <w:noBreakHyphen/>
        <w:t>07).</w:t>
      </w:r>
    </w:p>
    <w:p w:rsidR="00E4291B" w:rsidRPr="0018110C" w:rsidRDefault="00E4291B" w:rsidP="00E4291B">
      <w:pPr>
        <w:rPr>
          <w:szCs w:val="24"/>
          <w:lang w:val="fr-FR"/>
        </w:rPr>
      </w:pPr>
      <w:r w:rsidRPr="0018110C">
        <w:rPr>
          <w:szCs w:val="24"/>
          <w:lang w:val="fr-FR"/>
        </w:rPr>
        <w:t>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 xml:space="preserve">atelier sera présidé par M. </w:t>
      </w:r>
      <w:proofErr w:type="spellStart"/>
      <w:r w:rsidRPr="0018110C">
        <w:rPr>
          <w:szCs w:val="24"/>
          <w:lang w:val="fr-FR"/>
        </w:rPr>
        <w:t>Aboubakar</w:t>
      </w:r>
      <w:proofErr w:type="spellEnd"/>
      <w:r w:rsidRPr="0018110C">
        <w:rPr>
          <w:szCs w:val="24"/>
          <w:lang w:val="fr-FR"/>
        </w:rPr>
        <w:t xml:space="preserve"> </w:t>
      </w:r>
      <w:proofErr w:type="spellStart"/>
      <w:r w:rsidRPr="0018110C">
        <w:rPr>
          <w:szCs w:val="24"/>
          <w:lang w:val="fr-FR"/>
        </w:rPr>
        <w:t>Zourmba</w:t>
      </w:r>
      <w:proofErr w:type="spellEnd"/>
      <w:r w:rsidRPr="0018110C">
        <w:rPr>
          <w:szCs w:val="24"/>
          <w:lang w:val="fr-FR"/>
        </w:rPr>
        <w:t>, Président de la Réunion de préparation à la Conférence de 2015 (RPC-15). Il se tiendra au siège de 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UIT à Genève les 12 et 13 novembre 2014. La séance d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ouverture débutera à 9 h 30 le 12 novembre 2014.</w:t>
      </w:r>
    </w:p>
    <w:p w:rsidR="00E4291B" w:rsidRPr="0018110C" w:rsidRDefault="00E4291B" w:rsidP="00E4291B">
      <w:pPr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Sur la base de la présentation, par les Rapporteurs pour les différents chapitres, des études préparatoires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UIT-R figurant dans le projet de Rapport de la RPC à la CMR-15, ainsi que de renseignements mis à jour concernant le Bureau et les travaux préparatoires régionaux en vue de la RPC15-2,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AR-15 et de la CMR-15, cet atelier offrira aux participants la possibilité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 xml:space="preserve">échanger des vues et de mieux comprendre les projets de vues, de positions et/ou de propositions communes des entités concernées. </w:t>
      </w:r>
    </w:p>
    <w:p w:rsidR="00E4291B" w:rsidRPr="0018110C" w:rsidRDefault="00E4291B" w:rsidP="00E4291B">
      <w:pPr>
        <w:spacing w:line="240" w:lineRule="auto"/>
        <w:rPr>
          <w:rFonts w:asciiTheme="minorHAnsi" w:hAnsiTheme="minorHAnsi"/>
          <w:szCs w:val="24"/>
          <w:lang w:val="fr-FR"/>
        </w:rPr>
      </w:pPr>
      <w:proofErr w:type="spellStart"/>
      <w:r w:rsidRPr="0018110C">
        <w:rPr>
          <w:rFonts w:asciiTheme="minorHAnsi" w:hAnsiTheme="minorHAnsi"/>
          <w:szCs w:val="24"/>
          <w:lang w:val="fr-FR"/>
        </w:rPr>
        <w:t>A</w:t>
      </w:r>
      <w:proofErr w:type="spellEnd"/>
      <w:r w:rsidRPr="0018110C">
        <w:rPr>
          <w:rFonts w:asciiTheme="minorHAnsi" w:hAnsiTheme="minorHAnsi"/>
          <w:szCs w:val="24"/>
          <w:lang w:val="fr-FR"/>
        </w:rPr>
        <w:t xml:space="preserve"> cet effet, les participants, en particulier les groupes régionaux, sont invités à soumettre des contributions en anglais. Elles peuvent être communiquées par courrier électronique au secrétariat du BR (</w:t>
      </w:r>
      <w:hyperlink r:id="rId9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brsgd@itu.int</w:t>
        </w:r>
      </w:hyperlink>
      <w:r w:rsidRPr="0018110C">
        <w:rPr>
          <w:rFonts w:asciiTheme="minorHAnsi" w:hAnsiTheme="minorHAnsi"/>
          <w:szCs w:val="24"/>
          <w:lang w:val="fr-FR"/>
        </w:rPr>
        <w:t xml:space="preserve">), </w:t>
      </w:r>
      <w:r w:rsidRPr="0018110C">
        <w:rPr>
          <w:rFonts w:asciiTheme="minorHAnsi" w:hAnsiTheme="minorHAnsi"/>
          <w:b/>
          <w:szCs w:val="24"/>
          <w:lang w:val="fr-FR"/>
        </w:rPr>
        <w:t>au plus tard le 3 novembre 2014.</w:t>
      </w:r>
    </w:p>
    <w:p w:rsidR="00E4291B" w:rsidRPr="0018110C" w:rsidRDefault="00E4291B" w:rsidP="00E4291B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Un programme provisoire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 xml:space="preserve">atelier est joint en </w:t>
      </w:r>
      <w:r w:rsidRPr="0018110C">
        <w:rPr>
          <w:rFonts w:asciiTheme="minorHAnsi" w:hAnsiTheme="minorHAnsi"/>
          <w:b/>
          <w:bCs/>
          <w:szCs w:val="24"/>
          <w:lang w:val="fr-FR"/>
        </w:rPr>
        <w:t>Annexe</w:t>
      </w:r>
      <w:r w:rsidRPr="0018110C">
        <w:rPr>
          <w:rFonts w:asciiTheme="minorHAnsi" w:hAnsiTheme="minorHAnsi"/>
          <w:szCs w:val="24"/>
          <w:lang w:val="fr-FR"/>
        </w:rPr>
        <w:t xml:space="preserve">. Il sera disponible sur le site web </w:t>
      </w:r>
      <w:hyperlink r:id="rId10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http://www.itu.int/ITU-R/go/wrc-15-irwsp-14</w:t>
        </w:r>
      </w:hyperlink>
      <w:r w:rsidRPr="0018110C">
        <w:rPr>
          <w:rFonts w:asciiTheme="minorHAnsi" w:hAnsiTheme="minorHAnsi"/>
          <w:szCs w:val="24"/>
          <w:lang w:val="fr-FR"/>
        </w:rPr>
        <w:t xml:space="preserve"> et sera mis à jour dès que des renseignements nouveaux ou modifiés seront ajoutés. </w:t>
      </w:r>
    </w:p>
    <w:p w:rsidR="00E4291B" w:rsidRPr="0018110C" w:rsidRDefault="00E4291B" w:rsidP="00E4291B">
      <w:pPr>
        <w:keepLines/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Veuillez noter que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atelier se tiendra dans un environnement «sans papier», c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est-à-dire que tous les documents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atelier seront disponibles sur le site web précité. En conséquence, les participants sont invités à apporter leur ordinateur portable. Le service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assistance informatique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 (</w:t>
      </w:r>
      <w:hyperlink r:id="rId11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servicedesk@itu.int</w:t>
        </w:r>
      </w:hyperlink>
      <w:r w:rsidRPr="0018110C">
        <w:rPr>
          <w:rFonts w:asciiTheme="minorHAnsi" w:hAnsiTheme="minorHAnsi"/>
          <w:szCs w:val="24"/>
          <w:lang w:val="fr-FR"/>
        </w:rPr>
        <w:t xml:space="preserve">) </w:t>
      </w:r>
      <w:r w:rsidRPr="0018110C">
        <w:rPr>
          <w:rFonts w:asciiTheme="minorHAnsi" w:hAnsiTheme="minorHAnsi" w:cs="Segoe UI"/>
          <w:color w:val="000000"/>
          <w:szCs w:val="24"/>
          <w:lang w:val="fr-FR"/>
        </w:rPr>
        <w:t>a prévu un nombre limité d</w:t>
      </w:r>
      <w:r w:rsidR="00B72856">
        <w:rPr>
          <w:rFonts w:asciiTheme="minorHAnsi" w:hAnsiTheme="minorHAnsi" w:cs="Segoe UI"/>
          <w:color w:val="000000"/>
          <w:szCs w:val="24"/>
          <w:lang w:val="fr-FR"/>
        </w:rPr>
        <w:t>'</w:t>
      </w:r>
      <w:r w:rsidRPr="0018110C">
        <w:rPr>
          <w:rFonts w:asciiTheme="minorHAnsi" w:hAnsiTheme="minorHAnsi" w:cs="Segoe UI"/>
          <w:color w:val="000000"/>
          <w:szCs w:val="24"/>
          <w:lang w:val="fr-FR"/>
        </w:rPr>
        <w:t>ordinateurs portables, prêtés aux délégués qui n</w:t>
      </w:r>
      <w:r w:rsidR="00B72856">
        <w:rPr>
          <w:rFonts w:asciiTheme="minorHAnsi" w:hAnsiTheme="minorHAnsi" w:cs="Segoe UI"/>
          <w:color w:val="000000"/>
          <w:szCs w:val="24"/>
          <w:lang w:val="fr-FR"/>
        </w:rPr>
        <w:t>'</w:t>
      </w:r>
      <w:r w:rsidRPr="0018110C">
        <w:rPr>
          <w:rFonts w:asciiTheme="minorHAnsi" w:hAnsiTheme="minorHAnsi" w:cs="Segoe UI"/>
          <w:color w:val="000000"/>
          <w:szCs w:val="24"/>
          <w:lang w:val="fr-FR"/>
        </w:rPr>
        <w:t>en auront pas.</w:t>
      </w:r>
    </w:p>
    <w:p w:rsidR="00E4291B" w:rsidRPr="0018110C" w:rsidRDefault="00E4291B" w:rsidP="00E4291B">
      <w:pPr>
        <w:keepNext/>
        <w:keepLines/>
        <w:spacing w:line="240" w:lineRule="auto"/>
        <w:rPr>
          <w:rFonts w:asciiTheme="minorHAnsi" w:hAnsiTheme="minorHAnsi"/>
          <w:b/>
          <w:szCs w:val="24"/>
          <w:lang w:val="fr-FR"/>
        </w:rPr>
      </w:pPr>
      <w:r w:rsidRPr="0018110C">
        <w:rPr>
          <w:rFonts w:asciiTheme="minorHAnsi" w:hAnsiTheme="minorHAnsi"/>
          <w:b/>
          <w:szCs w:val="24"/>
          <w:lang w:val="fr-FR"/>
        </w:rPr>
        <w:t>Interprétation</w:t>
      </w:r>
    </w:p>
    <w:p w:rsidR="00E4291B" w:rsidRPr="0018110C" w:rsidRDefault="00E4291B" w:rsidP="00E4291B">
      <w:pPr>
        <w:rPr>
          <w:szCs w:val="24"/>
          <w:lang w:val="fr-FR"/>
        </w:rPr>
      </w:pPr>
      <w:r w:rsidRPr="0018110C">
        <w:rPr>
          <w:szCs w:val="24"/>
          <w:lang w:val="fr-FR"/>
        </w:rPr>
        <w:t>L</w:t>
      </w:r>
      <w:r w:rsidR="00B72856">
        <w:rPr>
          <w:szCs w:val="24"/>
          <w:lang w:val="fr-FR"/>
        </w:rPr>
        <w:t>'</w:t>
      </w:r>
      <w:r w:rsidRPr="0018110C">
        <w:rPr>
          <w:szCs w:val="24"/>
          <w:lang w:val="fr-FR"/>
        </w:rPr>
        <w:t>interprétation sera assurée dans les six langues officielles.</w:t>
      </w:r>
    </w:p>
    <w:p w:rsidR="00E4291B" w:rsidRPr="0018110C" w:rsidRDefault="00E4291B" w:rsidP="00E4291B">
      <w:pPr>
        <w:keepNext/>
        <w:keepLines/>
        <w:spacing w:line="240" w:lineRule="auto"/>
        <w:rPr>
          <w:rFonts w:asciiTheme="minorHAnsi" w:hAnsiTheme="minorHAnsi"/>
          <w:b/>
          <w:szCs w:val="24"/>
          <w:lang w:val="fr-FR"/>
        </w:rPr>
      </w:pPr>
      <w:r w:rsidRPr="0018110C">
        <w:rPr>
          <w:rFonts w:asciiTheme="minorHAnsi" w:hAnsiTheme="minorHAnsi"/>
          <w:b/>
          <w:szCs w:val="24"/>
          <w:lang w:val="fr-FR"/>
        </w:rPr>
        <w:lastRenderedPageBreak/>
        <w:t>Participation à distance</w:t>
      </w:r>
    </w:p>
    <w:p w:rsidR="00E4291B" w:rsidRPr="0018110C" w:rsidRDefault="00E4291B" w:rsidP="00E4291B">
      <w:pPr>
        <w:keepNext/>
        <w:keepLines/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Afin de faciliter la participation à distance, il est prévu de diffuser les exposés et les débats en mode audio et vidéo sur le web, dans les six langues officielles, grâce au Service de radiodiffusion Internet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 (IBS). Les participants n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ont pas besoin de s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inscrire à la réunion pour pouvoir suivre les débats sur le web.</w:t>
      </w:r>
    </w:p>
    <w:p w:rsidR="00E4291B" w:rsidRPr="0018110C" w:rsidRDefault="00E4291B" w:rsidP="00E4291B">
      <w:pPr>
        <w:pStyle w:val="Headingb"/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Participation/Visas/Logement</w:t>
      </w:r>
    </w:p>
    <w:p w:rsidR="00E4291B" w:rsidRPr="0018110C" w:rsidRDefault="00E4291B" w:rsidP="00E4291B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La préinscription aux conférences et réunions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UIT-R est obligatoire et s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effectue uniquement en ligne par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intermédiaire des coordonnateurs désignés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UIT-R. La préinscription en ligne à cet atelier débutera le 12 août 2014. Les personnes souhaitant s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inscrire devront prendre contact avec le coordonnateur désigné pour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entité qu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elles représentent. La liste des coordonnateurs désignés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UIT-R est disponible à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adresse:</w:t>
      </w:r>
    </w:p>
    <w:p w:rsidR="00E4291B" w:rsidRPr="0018110C" w:rsidRDefault="001E74D9" w:rsidP="00E4291B">
      <w:pPr>
        <w:spacing w:line="240" w:lineRule="auto"/>
        <w:jc w:val="center"/>
        <w:rPr>
          <w:rFonts w:asciiTheme="minorHAnsi" w:hAnsiTheme="minorHAnsi"/>
          <w:szCs w:val="24"/>
          <w:lang w:val="fr-FR"/>
        </w:rPr>
      </w:pPr>
      <w:hyperlink r:id="rId12" w:history="1">
        <w:r w:rsidR="00E4291B" w:rsidRPr="0018110C">
          <w:rPr>
            <w:rStyle w:val="Hyperlink"/>
            <w:rFonts w:asciiTheme="minorHAnsi" w:hAnsiTheme="minorHAnsi"/>
            <w:szCs w:val="24"/>
            <w:lang w:val="fr-FR"/>
          </w:rPr>
          <w:t>www.itu.int/en/ITU-R/information/events</w:t>
        </w:r>
      </w:hyperlink>
    </w:p>
    <w:p w:rsidR="00E4291B" w:rsidRPr="0018110C" w:rsidRDefault="00E4291B" w:rsidP="00E4291B">
      <w:pPr>
        <w:spacing w:before="240"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Le retrait des badges et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enregistrement se feront à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 xml:space="preserve">entrée du bâtiment </w:t>
      </w:r>
      <w:proofErr w:type="spellStart"/>
      <w:r w:rsidRPr="0018110C">
        <w:rPr>
          <w:rFonts w:asciiTheme="minorHAnsi" w:hAnsiTheme="minorHAnsi"/>
          <w:szCs w:val="24"/>
          <w:lang w:val="fr-FR"/>
        </w:rPr>
        <w:t>Montbrillant</w:t>
      </w:r>
      <w:proofErr w:type="spellEnd"/>
      <w:r w:rsidRPr="0018110C">
        <w:rPr>
          <w:rFonts w:asciiTheme="minorHAnsi" w:hAnsiTheme="minorHAnsi"/>
          <w:szCs w:val="24"/>
          <w:lang w:val="fr-FR"/>
        </w:rPr>
        <w:t xml:space="preserve">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</w:t>
      </w:r>
      <w:r w:rsidRPr="0018110C" w:rsidDel="00693450">
        <w:rPr>
          <w:rFonts w:asciiTheme="minorHAnsi" w:hAnsiTheme="minorHAnsi"/>
          <w:szCs w:val="24"/>
          <w:lang w:val="fr-FR"/>
        </w:rPr>
        <w:t xml:space="preserve"> </w:t>
      </w:r>
      <w:r w:rsidRPr="0018110C">
        <w:rPr>
          <w:rFonts w:asciiTheme="minorHAnsi" w:hAnsiTheme="minorHAnsi"/>
          <w:szCs w:val="24"/>
          <w:lang w:val="fr-FR"/>
        </w:rPr>
        <w:t xml:space="preserve">(2 rue de </w:t>
      </w:r>
      <w:proofErr w:type="spellStart"/>
      <w:r w:rsidRPr="0018110C">
        <w:rPr>
          <w:rFonts w:asciiTheme="minorHAnsi" w:hAnsiTheme="minorHAnsi"/>
          <w:szCs w:val="24"/>
          <w:lang w:val="fr-FR"/>
        </w:rPr>
        <w:t>Varembé</w:t>
      </w:r>
      <w:proofErr w:type="spellEnd"/>
      <w:r w:rsidRPr="0018110C">
        <w:rPr>
          <w:rFonts w:asciiTheme="minorHAnsi" w:hAnsiTheme="minorHAnsi"/>
          <w:szCs w:val="24"/>
          <w:lang w:val="fr-FR"/>
        </w:rPr>
        <w:t>, 1202 Genève) à partir de 8 heures les 12 et 13 novembre 2014. Vous voudrez bien noter que chaque participant devra présenter la confirmation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inscription qui lui aura été envoyée par courrier électronique, ainsi qu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une pièce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identité avec photo pour pouvoir recevoir le badge remis aux participants à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atelier.</w:t>
      </w:r>
    </w:p>
    <w:p w:rsidR="00E4291B" w:rsidRPr="0018110C" w:rsidRDefault="00E4291B" w:rsidP="00E4291B">
      <w:pPr>
        <w:spacing w:line="240" w:lineRule="auto"/>
        <w:rPr>
          <w:rStyle w:val="Hyperlink"/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En ce qui concerne les réservations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hôtel, pour les réunions tenues à Genève, veuillez consulter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 xml:space="preserve">adresse: </w:t>
      </w:r>
      <w:hyperlink r:id="rId13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www.itu.int/travel</w:t>
        </w:r>
      </w:hyperlink>
      <w:r w:rsidRPr="0018110C">
        <w:rPr>
          <w:rFonts w:asciiTheme="minorHAnsi" w:hAnsiTheme="minorHAnsi"/>
          <w:szCs w:val="24"/>
          <w:lang w:val="fr-FR"/>
        </w:rPr>
        <w:t>.</w:t>
      </w:r>
    </w:p>
    <w:p w:rsidR="00E4291B" w:rsidRPr="0018110C" w:rsidRDefault="00E4291B" w:rsidP="00E4291B">
      <w:pPr>
        <w:spacing w:line="240" w:lineRule="auto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>Pour les ressortissants de certains pays,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entrée sur le territoire de la Suisse est soumise à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obtention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un visa. Au besoin, les demandes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assistance de la part de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 pour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établissement de visas doivent aussi être faites par les coordonnateurs désignés pendant le processus d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inscription en ligne. Veuillez compter jusqu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à quatre (4) semaines pour obtenir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assistance fournie par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>UIT. Vous trouverez de plus amples renseignements à l</w:t>
      </w:r>
      <w:r w:rsidR="00B72856">
        <w:rPr>
          <w:rFonts w:asciiTheme="minorHAnsi" w:hAnsiTheme="minorHAnsi"/>
          <w:szCs w:val="24"/>
          <w:lang w:val="fr-FR"/>
        </w:rPr>
        <w:t>'</w:t>
      </w:r>
      <w:r w:rsidRPr="0018110C">
        <w:rPr>
          <w:rFonts w:asciiTheme="minorHAnsi" w:hAnsiTheme="minorHAnsi"/>
          <w:szCs w:val="24"/>
          <w:lang w:val="fr-FR"/>
        </w:rPr>
        <w:t xml:space="preserve">adresse: </w:t>
      </w:r>
      <w:hyperlink r:id="rId14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www.itu.int/en/ITU</w:t>
        </w:r>
        <w:r w:rsidRPr="0018110C">
          <w:rPr>
            <w:rStyle w:val="Hyperlink"/>
            <w:rFonts w:asciiTheme="minorHAnsi" w:hAnsiTheme="minorHAnsi"/>
            <w:szCs w:val="24"/>
            <w:lang w:val="fr-FR"/>
          </w:rPr>
          <w:noBreakHyphen/>
          <w:t>R/information/events</w:t>
        </w:r>
      </w:hyperlink>
      <w:r w:rsidRPr="0018110C">
        <w:rPr>
          <w:rFonts w:asciiTheme="minorHAnsi" w:hAnsiTheme="minorHAnsi"/>
          <w:szCs w:val="24"/>
          <w:lang w:val="fr-FR"/>
        </w:rPr>
        <w:t>.</w:t>
      </w:r>
    </w:p>
    <w:p w:rsidR="00E4291B" w:rsidRPr="0018110C" w:rsidRDefault="00E4291B" w:rsidP="00B62FBA">
      <w:pPr>
        <w:spacing w:line="240" w:lineRule="auto"/>
        <w:rPr>
          <w:rFonts w:asciiTheme="minorHAnsi" w:eastAsia="Batang" w:hAnsiTheme="minorHAnsi"/>
          <w:szCs w:val="24"/>
          <w:lang w:val="fr-FR"/>
        </w:rPr>
      </w:pPr>
      <w:r w:rsidRPr="0018110C">
        <w:rPr>
          <w:rFonts w:asciiTheme="minorHAnsi" w:eastAsia="SimSun" w:hAnsiTheme="minorHAnsi"/>
          <w:szCs w:val="24"/>
          <w:lang w:val="fr-FR" w:eastAsia="zh-CN"/>
        </w:rPr>
        <w:t>Pour tout complément d</w:t>
      </w:r>
      <w:r w:rsidR="00B72856">
        <w:rPr>
          <w:rFonts w:asciiTheme="minorHAnsi" w:eastAsia="SimSun" w:hAnsiTheme="minorHAnsi"/>
          <w:szCs w:val="24"/>
          <w:lang w:val="fr-FR" w:eastAsia="zh-CN"/>
        </w:rPr>
        <w:t>'</w:t>
      </w:r>
      <w:r w:rsidRPr="0018110C">
        <w:rPr>
          <w:rFonts w:asciiTheme="minorHAnsi" w:eastAsia="SimSun" w:hAnsiTheme="minorHAnsi"/>
          <w:szCs w:val="24"/>
          <w:lang w:val="fr-FR" w:eastAsia="zh-CN"/>
        </w:rPr>
        <w:t xml:space="preserve">information concernant </w:t>
      </w:r>
      <w:r w:rsidRPr="0018110C">
        <w:rPr>
          <w:rFonts w:asciiTheme="minorHAnsi" w:hAnsiTheme="minorHAnsi"/>
          <w:szCs w:val="24"/>
          <w:lang w:val="fr-FR"/>
        </w:rPr>
        <w:t xml:space="preserve">ce deuxième atelier interrégional </w:t>
      </w:r>
      <w:r w:rsidR="00B62FBA">
        <w:rPr>
          <w:rFonts w:asciiTheme="minorHAnsi" w:eastAsia="SimSun" w:hAnsiTheme="minorHAnsi"/>
          <w:szCs w:val="24"/>
          <w:lang w:val="fr-FR" w:eastAsia="zh-CN"/>
        </w:rPr>
        <w:t xml:space="preserve">de </w:t>
      </w:r>
      <w:r w:rsidRPr="0018110C">
        <w:rPr>
          <w:rFonts w:asciiTheme="minorHAnsi" w:eastAsia="SimSun" w:hAnsiTheme="minorHAnsi"/>
          <w:szCs w:val="24"/>
          <w:lang w:val="fr-FR" w:eastAsia="zh-CN"/>
        </w:rPr>
        <w:t>l</w:t>
      </w:r>
      <w:r w:rsidR="00B72856">
        <w:rPr>
          <w:rFonts w:asciiTheme="minorHAnsi" w:eastAsia="SimSun" w:hAnsiTheme="minorHAnsi"/>
          <w:szCs w:val="24"/>
          <w:lang w:val="fr-FR" w:eastAsia="zh-CN"/>
        </w:rPr>
        <w:t>'</w:t>
      </w:r>
      <w:r w:rsidRPr="0018110C">
        <w:rPr>
          <w:rFonts w:asciiTheme="minorHAnsi" w:eastAsia="SimSun" w:hAnsiTheme="minorHAnsi"/>
          <w:szCs w:val="24"/>
          <w:lang w:val="fr-FR" w:eastAsia="zh-CN"/>
        </w:rPr>
        <w:t>UIT</w:t>
      </w:r>
      <w:r w:rsidR="00B62FBA">
        <w:rPr>
          <w:rFonts w:asciiTheme="minorHAnsi" w:eastAsia="SimSun" w:hAnsiTheme="minorHAnsi"/>
          <w:szCs w:val="24"/>
          <w:lang w:val="fr-FR" w:eastAsia="zh-CN"/>
        </w:rPr>
        <w:t xml:space="preserve"> </w:t>
      </w:r>
      <w:r w:rsidRPr="0018110C">
        <w:rPr>
          <w:rFonts w:asciiTheme="minorHAnsi" w:eastAsia="SimSun" w:hAnsiTheme="minorHAnsi"/>
          <w:szCs w:val="24"/>
          <w:lang w:val="fr-FR" w:eastAsia="zh-CN"/>
        </w:rPr>
        <w:t>sur la préparation de la CMR-15, veuillez-vous mettre en rapport avec M</w:t>
      </w:r>
      <w:r w:rsidR="00B62FBA">
        <w:rPr>
          <w:rFonts w:asciiTheme="minorHAnsi" w:eastAsia="SimSun" w:hAnsiTheme="minorHAnsi"/>
          <w:szCs w:val="24"/>
          <w:lang w:val="fr-FR" w:eastAsia="zh-CN"/>
        </w:rPr>
        <w:t>. Philippe Aubineau, Conseiller </w:t>
      </w:r>
      <w:r w:rsidRPr="0018110C">
        <w:rPr>
          <w:rFonts w:asciiTheme="minorHAnsi" w:eastAsia="SimSun" w:hAnsiTheme="minorHAnsi"/>
          <w:szCs w:val="24"/>
          <w:lang w:val="fr-FR" w:eastAsia="zh-CN"/>
        </w:rPr>
        <w:t>pour la RPC, Bureau des radiocommunications</w:t>
      </w:r>
      <w:r w:rsidRPr="0018110C">
        <w:rPr>
          <w:rFonts w:asciiTheme="minorHAnsi" w:hAnsiTheme="minorHAnsi"/>
          <w:szCs w:val="24"/>
          <w:lang w:val="fr-FR"/>
        </w:rPr>
        <w:t xml:space="preserve"> (Tél.:</w:t>
      </w:r>
      <w:r w:rsidR="00B62FBA">
        <w:rPr>
          <w:rFonts w:asciiTheme="minorHAnsi" w:hAnsiTheme="minorHAnsi"/>
          <w:szCs w:val="24"/>
          <w:lang w:val="fr-FR"/>
        </w:rPr>
        <w:t xml:space="preserve"> </w:t>
      </w:r>
      <w:r w:rsidRPr="0018110C">
        <w:rPr>
          <w:rFonts w:asciiTheme="minorHAnsi" w:hAnsiTheme="minorHAnsi"/>
          <w:szCs w:val="24"/>
          <w:lang w:val="fr-FR"/>
        </w:rPr>
        <w:t>+41</w:t>
      </w:r>
      <w:r w:rsidR="00B62FBA">
        <w:rPr>
          <w:rFonts w:asciiTheme="minorHAnsi" w:hAnsiTheme="minorHAnsi"/>
          <w:szCs w:val="24"/>
          <w:lang w:val="fr-FR"/>
        </w:rPr>
        <w:t xml:space="preserve"> </w:t>
      </w:r>
      <w:r w:rsidRPr="0018110C">
        <w:rPr>
          <w:rFonts w:asciiTheme="minorHAnsi" w:hAnsiTheme="minorHAnsi"/>
          <w:szCs w:val="24"/>
          <w:lang w:val="fr-FR"/>
        </w:rPr>
        <w:t>22</w:t>
      </w:r>
      <w:r w:rsidR="00B62FBA">
        <w:rPr>
          <w:rFonts w:asciiTheme="minorHAnsi" w:hAnsiTheme="minorHAnsi"/>
          <w:szCs w:val="24"/>
          <w:lang w:val="fr-FR"/>
        </w:rPr>
        <w:t xml:space="preserve"> </w:t>
      </w:r>
      <w:r w:rsidRPr="0018110C">
        <w:rPr>
          <w:rFonts w:asciiTheme="minorHAnsi" w:hAnsiTheme="minorHAnsi"/>
          <w:szCs w:val="24"/>
          <w:lang w:val="fr-FR"/>
        </w:rPr>
        <w:t>730 5992 ou e</w:t>
      </w:r>
      <w:r w:rsidRPr="0018110C">
        <w:rPr>
          <w:rFonts w:asciiTheme="minorHAnsi" w:hAnsiTheme="minorHAnsi"/>
          <w:szCs w:val="24"/>
          <w:lang w:val="fr-FR"/>
        </w:rPr>
        <w:noBreakHyphen/>
        <w:t>mail:</w:t>
      </w:r>
      <w:r w:rsidR="00B62FBA">
        <w:rPr>
          <w:rFonts w:asciiTheme="minorHAnsi" w:hAnsiTheme="minorHAnsi"/>
          <w:szCs w:val="24"/>
          <w:lang w:val="fr-FR"/>
        </w:rPr>
        <w:t> </w:t>
      </w:r>
      <w:hyperlink r:id="rId15" w:history="1">
        <w:r w:rsidRPr="0018110C">
          <w:rPr>
            <w:rStyle w:val="Hyperlink"/>
            <w:rFonts w:asciiTheme="minorHAnsi" w:hAnsiTheme="minorHAnsi"/>
            <w:szCs w:val="24"/>
            <w:lang w:val="fr-FR"/>
          </w:rPr>
          <w:t>philippe.aubineau@itu.int</w:t>
        </w:r>
      </w:hyperlink>
      <w:r w:rsidRPr="0018110C">
        <w:rPr>
          <w:rFonts w:asciiTheme="minorHAnsi" w:hAnsiTheme="minorHAnsi"/>
          <w:szCs w:val="24"/>
          <w:lang w:val="fr-FR"/>
        </w:rPr>
        <w:t>).</w:t>
      </w:r>
    </w:p>
    <w:p w:rsidR="00E4291B" w:rsidRPr="0018110C" w:rsidRDefault="00E4291B" w:rsidP="00B72856">
      <w:pPr>
        <w:pStyle w:val="Head"/>
        <w:spacing w:before="840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 xml:space="preserve">François </w:t>
      </w:r>
      <w:proofErr w:type="spellStart"/>
      <w:r w:rsidRPr="0018110C">
        <w:rPr>
          <w:rFonts w:asciiTheme="minorHAnsi" w:hAnsiTheme="minorHAnsi"/>
          <w:szCs w:val="24"/>
          <w:lang w:val="fr-FR"/>
        </w:rPr>
        <w:t>Rancy</w:t>
      </w:r>
      <w:proofErr w:type="spellEnd"/>
    </w:p>
    <w:p w:rsidR="00E4291B" w:rsidRPr="0018110C" w:rsidRDefault="00E4291B" w:rsidP="00E4291B">
      <w:pPr>
        <w:pStyle w:val="Head"/>
        <w:rPr>
          <w:rFonts w:asciiTheme="minorHAnsi" w:hAnsiTheme="minorHAnsi"/>
          <w:szCs w:val="24"/>
          <w:lang w:val="fr-FR"/>
        </w:rPr>
      </w:pPr>
      <w:r w:rsidRPr="0018110C">
        <w:rPr>
          <w:rFonts w:asciiTheme="minorHAnsi" w:hAnsiTheme="minorHAnsi"/>
          <w:szCs w:val="24"/>
          <w:lang w:val="fr-FR"/>
        </w:rPr>
        <w:t xml:space="preserve">Directeur </w:t>
      </w:r>
    </w:p>
    <w:p w:rsidR="00E4291B" w:rsidRPr="0018110C" w:rsidRDefault="00E4291B" w:rsidP="00B72856">
      <w:pPr>
        <w:tabs>
          <w:tab w:val="left" w:pos="284"/>
          <w:tab w:val="left" w:pos="568"/>
        </w:tabs>
        <w:spacing w:before="480" w:line="240" w:lineRule="auto"/>
        <w:rPr>
          <w:rFonts w:asciiTheme="minorHAnsi" w:hAnsiTheme="minorHAnsi"/>
          <w:szCs w:val="24"/>
          <w:u w:val="single"/>
          <w:lang w:val="fr-FR"/>
        </w:rPr>
      </w:pPr>
      <w:r w:rsidRPr="0018110C">
        <w:rPr>
          <w:rFonts w:asciiTheme="minorHAnsi" w:hAnsiTheme="minorHAnsi"/>
          <w:b/>
          <w:bCs/>
          <w:szCs w:val="24"/>
          <w:lang w:val="fr-FR"/>
        </w:rPr>
        <w:t>Annexe</w:t>
      </w:r>
      <w:r w:rsidRPr="0018110C">
        <w:rPr>
          <w:rFonts w:asciiTheme="minorHAnsi" w:hAnsiTheme="minorHAnsi"/>
          <w:szCs w:val="24"/>
          <w:lang w:val="fr-FR"/>
        </w:rPr>
        <w:t>: 1</w:t>
      </w:r>
    </w:p>
    <w:p w:rsidR="00E4291B" w:rsidRPr="0018110C" w:rsidRDefault="00E4291B" w:rsidP="00E4291B">
      <w:pPr>
        <w:keepNext/>
        <w:keepLines/>
        <w:tabs>
          <w:tab w:val="left" w:pos="284"/>
          <w:tab w:val="left" w:pos="568"/>
        </w:tabs>
        <w:spacing w:before="240" w:line="240" w:lineRule="auto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b/>
          <w:bCs/>
          <w:sz w:val="18"/>
          <w:lang w:val="fr-FR"/>
        </w:rPr>
        <w:t>Distribution</w:t>
      </w:r>
      <w:r w:rsidRPr="0018110C">
        <w:rPr>
          <w:rFonts w:asciiTheme="minorHAnsi" w:hAnsiTheme="minorHAnsi" w:cstheme="minorHAnsi"/>
          <w:sz w:val="18"/>
          <w:lang w:val="fr-FR"/>
        </w:rPr>
        <w:t>:</w:t>
      </w:r>
    </w:p>
    <w:p w:rsidR="00E4291B" w:rsidRPr="0018110C" w:rsidRDefault="00E4291B" w:rsidP="00E4291B">
      <w:pPr>
        <w:keepNext/>
        <w:keepLines/>
        <w:tabs>
          <w:tab w:val="left" w:pos="284"/>
          <w:tab w:val="left" w:pos="568"/>
        </w:tabs>
        <w:spacing w:before="120" w:line="240" w:lineRule="auto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 xml:space="preserve">Administrations des </w:t>
      </w:r>
      <w:proofErr w:type="spellStart"/>
      <w:r w:rsidRPr="0018110C">
        <w:rPr>
          <w:rFonts w:asciiTheme="minorHAnsi" w:hAnsiTheme="minorHAnsi" w:cstheme="minorHAnsi"/>
          <w:sz w:val="18"/>
          <w:lang w:val="fr-FR"/>
        </w:rPr>
        <w:t>Etats</w:t>
      </w:r>
      <w:proofErr w:type="spellEnd"/>
      <w:r w:rsidRPr="0018110C">
        <w:rPr>
          <w:rFonts w:asciiTheme="minorHAnsi" w:hAnsiTheme="minorHAnsi" w:cstheme="minorHAnsi"/>
          <w:sz w:val="18"/>
          <w:lang w:val="fr-FR"/>
        </w:rPr>
        <w:t xml:space="preserve"> Membres de l</w:t>
      </w:r>
      <w:r w:rsidR="00B72856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UIT</w:t>
      </w:r>
    </w:p>
    <w:p w:rsidR="00E4291B" w:rsidRPr="0018110C" w:rsidRDefault="00E4291B" w:rsidP="00E4291B">
      <w:pPr>
        <w:keepNext/>
        <w:keepLines/>
        <w:tabs>
          <w:tab w:val="left" w:pos="284"/>
          <w:tab w:val="left" w:pos="568"/>
        </w:tabs>
        <w:spacing w:before="0" w:line="240" w:lineRule="auto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Membres du Secteur des radiocommunications</w:t>
      </w:r>
    </w:p>
    <w:p w:rsidR="00E4291B" w:rsidRPr="0018110C" w:rsidRDefault="00E4291B" w:rsidP="00E4291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Présidents et Vice-Présidents des Commissions d</w:t>
      </w:r>
      <w:r w:rsidR="00B72856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études des radiocommunications et de la Commission spéciale chargée d</w:t>
      </w:r>
      <w:r w:rsidR="00B72856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examiner les questions réglementaires et de procédure</w:t>
      </w:r>
    </w:p>
    <w:p w:rsidR="00E4291B" w:rsidRPr="0018110C" w:rsidRDefault="00E4291B" w:rsidP="00E4291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 et Vice-Présidents du Groupe consultatif des radiocommunications</w:t>
      </w:r>
    </w:p>
    <w:p w:rsidR="00E4291B" w:rsidRPr="0018110C" w:rsidRDefault="00E4291B" w:rsidP="00E4291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Président et Vice-Présidents de la Réunion de préparation à la Conférence</w:t>
      </w:r>
    </w:p>
    <w:p w:rsidR="00E4291B" w:rsidRPr="0018110C" w:rsidRDefault="00E4291B" w:rsidP="00E4291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Membres du Comité du Règlement des radiocommunications</w:t>
      </w:r>
    </w:p>
    <w:p w:rsidR="00E4291B" w:rsidRPr="0018110C" w:rsidRDefault="00E4291B" w:rsidP="00E4291B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/>
          <w:sz w:val="18"/>
          <w:lang w:val="fr-FR"/>
        </w:rPr>
      </w:pPr>
      <w:r w:rsidRPr="0018110C">
        <w:rPr>
          <w:rFonts w:asciiTheme="minorHAnsi" w:hAnsiTheme="minorHAnsi" w:cstheme="minorHAnsi"/>
          <w:sz w:val="18"/>
          <w:lang w:val="fr-FR"/>
        </w:rPr>
        <w:t>–</w:t>
      </w:r>
      <w:r w:rsidRPr="0018110C">
        <w:rPr>
          <w:rFonts w:asciiTheme="minorHAnsi" w:hAnsiTheme="minorHAnsi" w:cstheme="minorHAnsi"/>
          <w:sz w:val="18"/>
          <w:lang w:val="fr-FR"/>
        </w:rPr>
        <w:tab/>
        <w:t>Secrétaire général de l</w:t>
      </w:r>
      <w:r w:rsidR="00B72856">
        <w:rPr>
          <w:rFonts w:asciiTheme="minorHAnsi" w:hAnsiTheme="minorHAnsi" w:cstheme="minorHAnsi"/>
          <w:sz w:val="18"/>
          <w:lang w:val="fr-FR"/>
        </w:rPr>
        <w:t>'</w:t>
      </w:r>
      <w:r w:rsidRPr="0018110C">
        <w:rPr>
          <w:rFonts w:asciiTheme="minorHAnsi" w:hAnsiTheme="minorHAnsi" w:cstheme="minorHAnsi"/>
          <w:sz w:val="18"/>
          <w:lang w:val="fr-FR"/>
        </w:rPr>
        <w:t>UIT, Directeur d</w:t>
      </w:r>
      <w:r w:rsidRPr="0018110C">
        <w:rPr>
          <w:rFonts w:asciiTheme="minorHAnsi" w:hAnsiTheme="minorHAnsi"/>
          <w:sz w:val="18"/>
          <w:lang w:val="fr-FR"/>
        </w:rPr>
        <w:t>u Bureau de la normalisation des télécommunications, Directeur du Bureau de développement des télécommunications</w:t>
      </w:r>
    </w:p>
    <w:p w:rsidR="00E4291B" w:rsidRPr="0018110C" w:rsidRDefault="00E4291B" w:rsidP="00E4291B">
      <w:pPr>
        <w:jc w:val="center"/>
        <w:rPr>
          <w:rFonts w:eastAsia="SimSun"/>
          <w:sz w:val="28"/>
          <w:szCs w:val="28"/>
          <w:lang w:val="fr-FR" w:eastAsia="zh-CN"/>
        </w:rPr>
      </w:pPr>
      <w:r w:rsidRPr="0018110C">
        <w:rPr>
          <w:sz w:val="28"/>
          <w:szCs w:val="28"/>
          <w:lang w:val="fr-FR"/>
        </w:rPr>
        <w:lastRenderedPageBreak/>
        <w:t>ANNEXE</w:t>
      </w:r>
    </w:p>
    <w:p w:rsidR="00E4291B" w:rsidRPr="0018110C" w:rsidRDefault="00E4291B" w:rsidP="00872E8A">
      <w:pPr>
        <w:spacing w:after="12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bookmarkStart w:id="1" w:name="OLE_LINK1"/>
      <w:bookmarkStart w:id="2" w:name="OLE_LINK2"/>
      <w:r w:rsidRPr="0018110C">
        <w:rPr>
          <w:rFonts w:asciiTheme="minorHAnsi" w:hAnsiTheme="minorHAnsi"/>
          <w:b/>
          <w:bCs/>
          <w:sz w:val="28"/>
          <w:szCs w:val="28"/>
          <w:lang w:val="fr-FR"/>
        </w:rPr>
        <w:t>Deuxième atelier interrégional de l</w:t>
      </w:r>
      <w:r w:rsidR="00B72856">
        <w:rPr>
          <w:rFonts w:asciiTheme="minorHAnsi" w:hAnsiTheme="minorHAnsi"/>
          <w:b/>
          <w:bCs/>
          <w:sz w:val="28"/>
          <w:szCs w:val="28"/>
          <w:lang w:val="fr-FR"/>
        </w:rPr>
        <w:t>'</w:t>
      </w:r>
      <w:r w:rsidRPr="0018110C">
        <w:rPr>
          <w:rFonts w:asciiTheme="minorHAnsi" w:hAnsiTheme="minorHAnsi"/>
          <w:b/>
          <w:bCs/>
          <w:sz w:val="28"/>
          <w:szCs w:val="28"/>
          <w:lang w:val="fr-FR"/>
        </w:rPr>
        <w:t>UIT sur la préparation de la CMR-15</w:t>
      </w:r>
    </w:p>
    <w:p w:rsidR="00E4291B" w:rsidRDefault="00E4291B" w:rsidP="00B62FBA">
      <w:pPr>
        <w:spacing w:before="24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  <w:r w:rsidRPr="0018110C">
        <w:rPr>
          <w:rFonts w:asciiTheme="minorHAnsi" w:hAnsiTheme="minorHAnsi"/>
          <w:b/>
          <w:bCs/>
          <w:sz w:val="28"/>
          <w:szCs w:val="28"/>
          <w:lang w:val="fr-FR"/>
        </w:rPr>
        <w:t>Programme provisoire</w:t>
      </w:r>
      <w:r w:rsidR="00B62FBA">
        <w:rPr>
          <w:rFonts w:asciiTheme="minorHAnsi" w:hAnsiTheme="minorHAnsi"/>
          <w:b/>
          <w:bCs/>
          <w:sz w:val="28"/>
          <w:szCs w:val="28"/>
          <w:lang w:val="fr-FR"/>
        </w:rPr>
        <w:br/>
      </w:r>
      <w:r w:rsidRPr="00872E8A">
        <w:rPr>
          <w:rFonts w:asciiTheme="minorHAnsi" w:hAnsiTheme="minorHAnsi"/>
          <w:b/>
          <w:bCs/>
          <w:sz w:val="28"/>
          <w:szCs w:val="28"/>
          <w:lang w:val="fr-FR"/>
        </w:rPr>
        <w:t>(Genève, 12 et 13 novembre 2014)</w:t>
      </w:r>
    </w:p>
    <w:p w:rsidR="00B62FBA" w:rsidRPr="00872E8A" w:rsidRDefault="00B62FBA" w:rsidP="00B62FBA">
      <w:pPr>
        <w:spacing w:before="0" w:line="240" w:lineRule="auto"/>
        <w:jc w:val="center"/>
        <w:rPr>
          <w:rFonts w:asciiTheme="minorHAnsi" w:hAnsiTheme="minorHAnsi"/>
          <w:b/>
          <w:bCs/>
          <w:sz w:val="28"/>
          <w:szCs w:val="28"/>
          <w:lang w:val="fr-FR"/>
        </w:rPr>
      </w:pPr>
    </w:p>
    <w:tbl>
      <w:tblPr>
        <w:tblW w:w="981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9"/>
        <w:gridCol w:w="4877"/>
      </w:tblGrid>
      <w:tr w:rsidR="00E4291B" w:rsidRPr="00872E8A" w:rsidTr="00F762E0">
        <w:trPr>
          <w:jc w:val="center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FFFF"/>
          </w:tcPr>
          <w:p w:rsidR="00E4291B" w:rsidRPr="00872E8A" w:rsidRDefault="00E4291B" w:rsidP="00F762E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Premier jour (mercredi 12 novembre 2014)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1B" w:rsidRPr="00872E8A" w:rsidRDefault="00E4291B" w:rsidP="00F762E0">
            <w:pPr>
              <w:pStyle w:val="Tablehea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Deuxième jour (jeudi 13 novembre 2014)</w:t>
            </w:r>
          </w:p>
        </w:tc>
      </w:tr>
      <w:tr w:rsidR="00E4291B" w:rsidRPr="001E74D9" w:rsidTr="00F762E0">
        <w:trPr>
          <w:jc w:val="center"/>
        </w:trPr>
        <w:tc>
          <w:tcPr>
            <w:tcW w:w="4939" w:type="dxa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9 h 30-10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h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15: </w:t>
            </w:r>
          </w:p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ind w:left="6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  <w:t>Ouverture</w:t>
            </w:r>
          </w:p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ind w:left="261" w:hanging="20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proofErr w:type="spellStart"/>
            <w:r w:rsidRPr="00872E8A">
              <w:rPr>
                <w:rFonts w:asciiTheme="minorHAnsi" w:hAnsiTheme="minorHAnsi"/>
                <w:szCs w:val="20"/>
                <w:lang w:val="fr-FR"/>
              </w:rPr>
              <w:t>Etat</w:t>
            </w:r>
            <w:proofErr w:type="spellEnd"/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 d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avancement des travaux préparatoires en vue de la RPC15-2, de 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AR-15 et la CMR-15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9 h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00-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10 h 40:</w:t>
            </w:r>
          </w:p>
          <w:p w:rsidR="00E4291B" w:rsidRPr="00872E8A" w:rsidRDefault="00E4291B" w:rsidP="00F762E0">
            <w:pPr>
              <w:pStyle w:val="Tabletext"/>
              <w:rPr>
                <w:rFonts w:asciiTheme="minorHAnsi" w:eastAsia="SimSun" w:hAnsiTheme="minorHAnsi"/>
                <w:szCs w:val="20"/>
                <w:lang w:val="fr-FR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ordre du jour de la CMR-15 concernant les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 xml:space="preserve">questions relatives au service maritime, au service aéronautique et au service de radiolocalisation 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(p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oints 1.15, 1.16, 1.17, 1.18 et 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1.5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ordre du jour)</w:t>
            </w:r>
            <w:r w:rsidR="00FD5EEC"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 xml:space="preserve"> 1</w:t>
            </w:r>
          </w:p>
        </w:tc>
      </w:tr>
      <w:tr w:rsidR="00E4291B" w:rsidRPr="00872E8A" w:rsidTr="00F762E0">
        <w:trPr>
          <w:trHeight w:val="280"/>
          <w:jc w:val="center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57" w:type="dxa"/>
              <w:right w:w="57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15-10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30 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Pause</w:t>
            </w:r>
          </w:p>
        </w:tc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10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40-11 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00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– Pause</w:t>
            </w:r>
          </w:p>
        </w:tc>
      </w:tr>
      <w:tr w:rsidR="00E4291B" w:rsidRPr="001E74D9" w:rsidTr="00F762E0">
        <w:trPr>
          <w:jc w:val="center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10 h 30-12 h 30: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2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ordre du jour de la CMR-15 concernant les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 xml:space="preserve">questions relatives aux services mobiles 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(points 1.1 et 1.2)</w:t>
            </w:r>
            <w:r w:rsidRPr="00872E8A">
              <w:rPr>
                <w:rFonts w:asciiTheme="minorHAnsi" w:hAnsiTheme="minorHAnsi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4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1B" w:rsidRPr="00872E8A" w:rsidRDefault="00B72856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11 h 00-</w:t>
            </w:r>
            <w:r w:rsidR="00E4291B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12 h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00</w:t>
            </w:r>
            <w:r w:rsidR="00E4291B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ordre du jour de la CMR-15 concernant les </w:t>
            </w:r>
            <w:r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questions relatives aux attributions aux services par satellite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(points 1.6, 1.7, 1.8 et 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1.9.1)</w:t>
            </w:r>
            <w:r w:rsidR="00FD5EEC"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 xml:space="preserve"> 1</w:t>
            </w:r>
          </w:p>
        </w:tc>
      </w:tr>
      <w:tr w:rsidR="00E4291B" w:rsidRPr="00872E8A" w:rsidTr="00F762E0">
        <w:trPr>
          <w:jc w:val="center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57" w:type="dxa"/>
              <w:right w:w="57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</w:t>
            </w:r>
            <w:r w:rsidR="0018110C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h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30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-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</w:t>
            </w:r>
            <w:r w:rsidR="0018110C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00 – Pause-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déjeuner</w:t>
            </w:r>
          </w:p>
        </w:tc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12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h 00-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14</w:t>
            </w:r>
            <w:r w:rsidR="0018110C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00 – Pause-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déjeuner</w:t>
            </w:r>
          </w:p>
        </w:tc>
      </w:tr>
      <w:tr w:rsidR="00E4291B" w:rsidRPr="001E74D9" w:rsidTr="00F762E0">
        <w:trPr>
          <w:jc w:val="center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14 h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00-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15 h 20:</w:t>
            </w:r>
          </w:p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ind w:left="6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ordre du jour de la CMR-15 concernant les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:</w:t>
            </w:r>
          </w:p>
          <w:p w:rsidR="00E4291B" w:rsidRPr="00872E8A" w:rsidRDefault="00E4291B" w:rsidP="00B728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261"/>
              </w:tabs>
              <w:ind w:left="261" w:hanging="20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r w:rsidR="00872E8A"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Questions </w:t>
            </w:r>
            <w:r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liées aux applications large bande pour la protection du public et les secours en cas de catastrophe et au service d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'</w:t>
            </w:r>
            <w:r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amateur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(points 1.3 et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 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1.4)</w:t>
            </w:r>
            <w:r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1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61" w:hanging="201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r w:rsidR="00872E8A"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 xml:space="preserve">Questions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>générales et autres questions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(points 2, 4, 8, 9.1 (9.1.4, 9.1.6, 9.1.7), 9.2 (</w:t>
            </w:r>
            <w:r w:rsidRPr="00872E8A">
              <w:rPr>
                <w:rFonts w:asciiTheme="minorHAnsi" w:eastAsia="SimSun" w:hAnsiTheme="minorHAnsi"/>
                <w:szCs w:val="20"/>
                <w:lang w:val="fr-FR"/>
              </w:rPr>
              <w:t>Questions non liées aux services par satellite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</w:t>
            </w:r>
            <w:r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>1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1B" w:rsidRPr="00872E8A" w:rsidRDefault="00B72856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14 h 00-</w:t>
            </w:r>
            <w:r w:rsidR="00E4291B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15 h 20: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ordre du jour de la CMR-15 concernant les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r w:rsidR="00872E8A"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 xml:space="preserve">Questions </w:t>
            </w:r>
            <w:r w:rsidRPr="00872E8A"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  <w:t>relatives aux attributions aux services par satellite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(suite) (points 1.9.2 et 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1.10)</w:t>
            </w:r>
            <w:r w:rsidR="00FD5EEC"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 xml:space="preserve"> 1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r w:rsidR="00872E8A"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 xml:space="preserve">Questions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>réglementaires relatives aux services par satellite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(point 7 (questions))</w:t>
            </w:r>
            <w:r w:rsidR="00FD5EEC"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 xml:space="preserve"> 1</w:t>
            </w:r>
          </w:p>
        </w:tc>
      </w:tr>
      <w:tr w:rsidR="00E4291B" w:rsidRPr="00872E8A" w:rsidTr="00F762E0">
        <w:trPr>
          <w:jc w:val="center"/>
        </w:trPr>
        <w:tc>
          <w:tcPr>
            <w:tcW w:w="4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  <w:tcMar>
              <w:left w:w="57" w:type="dxa"/>
              <w:right w:w="57" w:type="dxa"/>
            </w:tcMar>
          </w:tcPr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ind w:left="6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20-15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40 – Pause</w:t>
            </w:r>
          </w:p>
        </w:tc>
        <w:tc>
          <w:tcPr>
            <w:tcW w:w="4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3B3B3"/>
          </w:tcPr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spacing w:before="0" w:after="0"/>
              <w:jc w:val="center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15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20-15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h</w:t>
            </w:r>
            <w:r w:rsidR="0091616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40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 Pause</w:t>
            </w:r>
          </w:p>
        </w:tc>
      </w:tr>
      <w:tr w:rsidR="00E4291B" w:rsidRPr="001E74D9" w:rsidTr="00F762E0">
        <w:trPr>
          <w:jc w:val="center"/>
        </w:trPr>
        <w:tc>
          <w:tcPr>
            <w:tcW w:w="49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15 h 40-17 h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00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:</w:t>
            </w:r>
          </w:p>
          <w:p w:rsidR="00E4291B" w:rsidRPr="00872E8A" w:rsidRDefault="00E4291B" w:rsidP="00F762E0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60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ordre du jour de la CMR-15 concernant les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>questions relatives aux services scientifiques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 xml:space="preserve"> (points</w:t>
            </w:r>
            <w:r w:rsidRPr="00872E8A">
              <w:rPr>
                <w:rFonts w:asciiTheme="minorHAnsi" w:eastAsia="SimSun" w:hAnsiTheme="minorHAnsi"/>
                <w:szCs w:val="20"/>
                <w:lang w:val="fr-FR"/>
              </w:rPr>
              <w:t xml:space="preserve"> 1.11, 1.12, 1.13 et 1.14)</w:t>
            </w:r>
            <w:r w:rsidRPr="00872E8A">
              <w:rPr>
                <w:rFonts w:eastAsia="SimSun"/>
                <w:szCs w:val="20"/>
                <w:vertAlign w:val="superscript"/>
                <w:lang w:val="fr-CH"/>
              </w:rPr>
              <w:t>1</w:t>
            </w:r>
          </w:p>
        </w:tc>
        <w:tc>
          <w:tcPr>
            <w:tcW w:w="4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1B" w:rsidRPr="00872E8A" w:rsidRDefault="00E4291B" w:rsidP="00B72856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15 h 40-17 h</w:t>
            </w:r>
            <w:r w:rsidR="00B72856"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 xml:space="preserve"> 00</w:t>
            </w:r>
            <w:r w:rsidRPr="00872E8A">
              <w:rPr>
                <w:rFonts w:asciiTheme="minorHAnsi" w:eastAsia="SimSun" w:hAnsiTheme="minorHAnsi" w:cstheme="minorHAnsi"/>
                <w:b/>
                <w:bCs/>
                <w:color w:val="FF0000"/>
                <w:szCs w:val="20"/>
                <w:lang w:val="fr-FR" w:eastAsia="zh-CN"/>
              </w:rPr>
              <w:t>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hAnsiTheme="minorHAnsi"/>
                <w:szCs w:val="20"/>
                <w:lang w:val="fr-FR"/>
              </w:rPr>
              <w:t>Examen des points de l</w:t>
            </w:r>
            <w:r w:rsidR="00B72856" w:rsidRPr="00872E8A">
              <w:rPr>
                <w:rFonts w:asciiTheme="minorHAnsi" w:hAnsiTheme="minorHAnsi"/>
                <w:szCs w:val="20"/>
                <w:lang w:val="fr-FR"/>
              </w:rPr>
              <w:t>'</w:t>
            </w:r>
            <w:r w:rsidRPr="00872E8A">
              <w:rPr>
                <w:rFonts w:asciiTheme="minorHAnsi" w:hAnsiTheme="minorHAnsi"/>
                <w:szCs w:val="20"/>
                <w:lang w:val="fr-FR"/>
              </w:rPr>
              <w:t>ordre du jour de la CMR-15 concernant les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: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</w:r>
            <w:r w:rsidR="00872E8A"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 xml:space="preserve">Questions </w:t>
            </w:r>
            <w:r w:rsidRPr="00872E8A">
              <w:rPr>
                <w:rFonts w:asciiTheme="minorHAnsi" w:hAnsiTheme="minorHAnsi"/>
                <w:b/>
                <w:bCs/>
                <w:szCs w:val="20"/>
                <w:lang w:val="fr-FR"/>
              </w:rPr>
              <w:t>réglementaires relatives aux services par satellite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 (suite) (point</w:t>
            </w:r>
            <w:r w:rsidR="00257D5B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s 7 (questions), 9.1 (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9.1.1, 9</w:t>
            </w:r>
            <w:r w:rsidR="00257D5B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 xml:space="preserve">.1.2, 9.1.3, 9.1.5, 9.1.8), 9.2 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(</w:t>
            </w:r>
            <w:r w:rsidRPr="00872E8A">
              <w:rPr>
                <w:rFonts w:asciiTheme="minorHAnsi" w:eastAsia="SimSun" w:hAnsiTheme="minorHAnsi"/>
                <w:szCs w:val="20"/>
                <w:lang w:val="fr-FR"/>
              </w:rPr>
              <w:t>Questions liées aux services par satellite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) et 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9.3)</w:t>
            </w:r>
            <w:r w:rsidR="00FD5EEC" w:rsidRPr="00872E8A">
              <w:rPr>
                <w:rFonts w:asciiTheme="minorHAnsi" w:eastAsia="SimSun" w:hAnsiTheme="minorHAnsi" w:cstheme="minorHAnsi"/>
                <w:szCs w:val="20"/>
                <w:vertAlign w:val="superscript"/>
                <w:lang w:val="fr-FR" w:eastAsia="zh-CN"/>
              </w:rPr>
              <w:t xml:space="preserve"> 1</w:t>
            </w:r>
          </w:p>
          <w:p w:rsidR="00E4291B" w:rsidRPr="00872E8A" w:rsidRDefault="00E4291B" w:rsidP="00F762E0">
            <w:pPr>
              <w:pStyle w:val="Tabletext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rFonts w:asciiTheme="minorHAnsi" w:eastAsia="SimSun" w:hAnsiTheme="minorHAnsi" w:cstheme="minorHAnsi"/>
                <w:szCs w:val="20"/>
                <w:lang w:val="fr-FR" w:eastAsia="zh-CN"/>
              </w:rPr>
            </w:pP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–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ab/>
              <w:t>Conclusion (y compris le point 10 de l</w:t>
            </w:r>
            <w:r w:rsidR="00B72856"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'</w:t>
            </w:r>
            <w:r w:rsidRPr="00872E8A">
              <w:rPr>
                <w:rFonts w:asciiTheme="minorHAnsi" w:eastAsia="SimSun" w:hAnsiTheme="minorHAnsi" w:cstheme="minorHAnsi"/>
                <w:szCs w:val="20"/>
                <w:lang w:val="fr-FR" w:eastAsia="zh-CN"/>
              </w:rPr>
              <w:t>ordre du jour) et session de clôture</w:t>
            </w:r>
          </w:p>
        </w:tc>
      </w:tr>
    </w:tbl>
    <w:bookmarkEnd w:id="1"/>
    <w:bookmarkEnd w:id="2"/>
    <w:p w:rsidR="00AE2E8C" w:rsidRDefault="00E4291B" w:rsidP="00AE2E8C">
      <w:pPr>
        <w:tabs>
          <w:tab w:val="clear" w:pos="794"/>
          <w:tab w:val="left" w:pos="426"/>
        </w:tabs>
        <w:spacing w:before="120" w:line="240" w:lineRule="auto"/>
        <w:ind w:left="425" w:hanging="425"/>
        <w:jc w:val="left"/>
        <w:rPr>
          <w:rFonts w:asciiTheme="minorHAnsi" w:hAnsiTheme="minorHAnsi" w:cs="Times New Roman"/>
          <w:sz w:val="20"/>
          <w:szCs w:val="20"/>
          <w:lang w:val="fr-FR"/>
        </w:rPr>
      </w:pPr>
      <w:r w:rsidRPr="00872E8A">
        <w:rPr>
          <w:rFonts w:asciiTheme="minorHAnsi" w:hAnsiTheme="minorHAnsi" w:cs="Times New Roman"/>
          <w:sz w:val="20"/>
          <w:szCs w:val="20"/>
          <w:vertAlign w:val="superscript"/>
          <w:lang w:val="fr-FR"/>
        </w:rPr>
        <w:t>1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ab/>
        <w:t>Présentation et explication des études préparatoires de l</w:t>
      </w:r>
      <w:r w:rsidR="00B72856" w:rsidRPr="00872E8A">
        <w:rPr>
          <w:rFonts w:asciiTheme="minorHAnsi" w:hAnsiTheme="minorHAnsi" w:cs="Times New Roman"/>
          <w:sz w:val="20"/>
          <w:szCs w:val="20"/>
          <w:lang w:val="fr-FR"/>
        </w:rPr>
        <w:t>'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UIT-R et des projets de méthodes à appliquer pour traiter les points de l</w:t>
      </w:r>
      <w:r w:rsidR="00B72856" w:rsidRPr="00872E8A">
        <w:rPr>
          <w:rFonts w:asciiTheme="minorHAnsi" w:hAnsiTheme="minorHAnsi" w:cs="Times New Roman"/>
          <w:sz w:val="20"/>
          <w:szCs w:val="20"/>
          <w:lang w:val="fr-FR"/>
        </w:rPr>
        <w:t>'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ordre du jour de la CM</w:t>
      </w:r>
      <w:r w:rsidR="00DF485C" w:rsidRPr="00872E8A">
        <w:rPr>
          <w:rFonts w:asciiTheme="minorHAnsi" w:hAnsiTheme="minorHAnsi" w:cs="Times New Roman"/>
          <w:sz w:val="20"/>
          <w:szCs w:val="20"/>
          <w:lang w:val="fr-FR"/>
        </w:rPr>
        <w:t>R</w:t>
      </w:r>
      <w:r w:rsidR="00257D5B" w:rsidRPr="00872E8A">
        <w:rPr>
          <w:rFonts w:asciiTheme="minorHAnsi" w:hAnsiTheme="minorHAnsi" w:cs="Times New Roman"/>
          <w:sz w:val="20"/>
          <w:szCs w:val="20"/>
          <w:lang w:val="fr-FR"/>
        </w:rPr>
        <w:noBreakHyphen/>
        <w:t>15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 xml:space="preserve"> figurant dans le Rapport de RPC ainsi que des projets de vues, positions et/ou propositions communes des groupes régionaux (Groupe des pays africains/UAT, APT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noBreakHyphen/>
        <w:t xml:space="preserve">APG, Groupe des </w:t>
      </w:r>
      <w:proofErr w:type="spellStart"/>
      <w:r w:rsidRPr="00872E8A">
        <w:rPr>
          <w:rFonts w:asciiTheme="minorHAnsi" w:hAnsiTheme="minorHAnsi" w:cs="Times New Roman"/>
          <w:sz w:val="20"/>
          <w:szCs w:val="20"/>
          <w:lang w:val="fr-FR"/>
        </w:rPr>
        <w:t>Etats</w:t>
      </w:r>
      <w:proofErr w:type="spellEnd"/>
      <w:r w:rsidRPr="00872E8A">
        <w:rPr>
          <w:rFonts w:asciiTheme="minorHAnsi" w:hAnsiTheme="minorHAnsi" w:cs="Times New Roman"/>
          <w:sz w:val="20"/>
          <w:szCs w:val="20"/>
          <w:lang w:val="fr-FR"/>
        </w:rPr>
        <w:t xml:space="preserve"> arabes/ASMG, CITEL-PCC.II, RCC, CEPT-CPG) et d</w:t>
      </w:r>
      <w:r w:rsidR="00B72856" w:rsidRPr="00872E8A">
        <w:rPr>
          <w:rFonts w:asciiTheme="minorHAnsi" w:hAnsiTheme="minorHAnsi" w:cs="Times New Roman"/>
          <w:sz w:val="20"/>
          <w:szCs w:val="20"/>
          <w:lang w:val="fr-FR"/>
        </w:rPr>
        <w:t>'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autres organisations (par exemple, OACI, OMI, OMM, etc.). A ce stade, l</w:t>
      </w:r>
      <w:r w:rsidR="00B72856" w:rsidRPr="00872E8A">
        <w:rPr>
          <w:rFonts w:asciiTheme="minorHAnsi" w:hAnsiTheme="minorHAnsi" w:cs="Times New Roman"/>
          <w:sz w:val="20"/>
          <w:szCs w:val="20"/>
          <w:lang w:val="fr-FR"/>
        </w:rPr>
        <w:t>'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ordre des présentations</w:t>
      </w:r>
      <w:r w:rsidR="00C33944" w:rsidRPr="00872E8A">
        <w:rPr>
          <w:rFonts w:asciiTheme="minorHAnsi" w:hAnsiTheme="minorHAnsi" w:cs="Times New Roman"/>
          <w:sz w:val="20"/>
          <w:szCs w:val="20"/>
          <w:lang w:val="fr-FR"/>
        </w:rPr>
        <w:t xml:space="preserve"> relatives aux 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différents points de l</w:t>
      </w:r>
      <w:r w:rsidR="00B72856" w:rsidRPr="00872E8A">
        <w:rPr>
          <w:rFonts w:asciiTheme="minorHAnsi" w:hAnsiTheme="minorHAnsi" w:cs="Times New Roman"/>
          <w:sz w:val="20"/>
          <w:szCs w:val="20"/>
          <w:lang w:val="fr-FR"/>
        </w:rPr>
        <w:t>'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ordre du jour de la CMR</w:t>
      </w:r>
      <w:r w:rsidRPr="00872E8A">
        <w:rPr>
          <w:rFonts w:asciiTheme="minorHAnsi" w:hAnsiTheme="minorHAnsi"/>
          <w:sz w:val="20"/>
          <w:szCs w:val="20"/>
          <w:lang w:val="fr-FR"/>
        </w:rPr>
        <w:noBreakHyphen/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15 est indicatif. Il pour</w:t>
      </w:r>
      <w:r w:rsidR="00C33944" w:rsidRPr="00872E8A">
        <w:rPr>
          <w:rFonts w:asciiTheme="minorHAnsi" w:hAnsiTheme="minorHAnsi" w:cs="Times New Roman"/>
          <w:sz w:val="20"/>
          <w:szCs w:val="20"/>
          <w:lang w:val="fr-FR"/>
        </w:rPr>
        <w:t>ra être modifié par la suite si </w:t>
      </w:r>
      <w:r w:rsidRPr="00872E8A">
        <w:rPr>
          <w:rFonts w:asciiTheme="minorHAnsi" w:hAnsiTheme="minorHAnsi" w:cs="Times New Roman"/>
          <w:sz w:val="20"/>
          <w:szCs w:val="20"/>
          <w:lang w:val="fr-FR"/>
        </w:rPr>
        <w:t>nécessaire.</w:t>
      </w:r>
    </w:p>
    <w:p w:rsidR="00872E8A" w:rsidRPr="00872E8A" w:rsidRDefault="00872E8A" w:rsidP="00872E8A">
      <w:pPr>
        <w:rPr>
          <w:lang w:val="fr-FR"/>
        </w:rPr>
      </w:pPr>
    </w:p>
    <w:p w:rsidR="00AE2E8C" w:rsidRPr="0018110C" w:rsidRDefault="00AE2E8C" w:rsidP="00AE2E8C">
      <w:pPr>
        <w:spacing w:before="0"/>
        <w:jc w:val="center"/>
        <w:rPr>
          <w:lang w:val="fr-FR"/>
        </w:rPr>
      </w:pPr>
      <w:r w:rsidRPr="0018110C">
        <w:rPr>
          <w:lang w:val="fr-FR"/>
        </w:rPr>
        <w:t>______________</w:t>
      </w:r>
    </w:p>
    <w:sectPr w:rsidR="00AE2E8C" w:rsidRPr="0018110C" w:rsidSect="003028DB">
      <w:headerReference w:type="even" r:id="rId16"/>
      <w:headerReference w:type="default" r:id="rId17"/>
      <w:headerReference w:type="first" r:id="rId18"/>
      <w:footerReference w:type="first" r:id="rId19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91B" w:rsidRDefault="00E4291B">
      <w:r>
        <w:separator/>
      </w:r>
    </w:p>
  </w:endnote>
  <w:endnote w:type="continuationSeparator" w:id="0">
    <w:p w:rsidR="00E4291B" w:rsidRDefault="00E4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 xml:space="preserve">Tél: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r w:rsidR="001E74D9">
      <w:fldChar w:fldCharType="begin"/>
    </w:r>
    <w:r w:rsidR="001E74D9" w:rsidRPr="001E74D9">
      <w:rPr>
        <w:lang w:val="fr-CH"/>
      </w:rPr>
      <w:instrText xml:space="preserve"> HYPERLINK "mailto:itumail@itu.int" </w:instrText>
    </w:r>
    <w:r w:rsidR="001E74D9">
      <w:fldChar w:fldCharType="separate"/>
    </w:r>
    <w:r w:rsidRPr="00E53DCE">
      <w:rPr>
        <w:rStyle w:val="Hyperlink"/>
        <w:sz w:val="18"/>
        <w:szCs w:val="18"/>
        <w:lang w:val="fr-FR"/>
      </w:rPr>
      <w:t>itumail@itu.int</w:t>
    </w:r>
    <w:r w:rsidR="001E74D9">
      <w:rPr>
        <w:rStyle w:val="Hyperlink"/>
        <w:sz w:val="18"/>
        <w:szCs w:val="18"/>
        <w:lang w:val="fr-FR"/>
      </w:rPr>
      <w:fldChar w:fldCharType="end"/>
    </w:r>
    <w:r w:rsidRPr="00E53DCE">
      <w:rPr>
        <w:sz w:val="18"/>
        <w:szCs w:val="18"/>
        <w:lang w:val="fr-FR"/>
      </w:rPr>
      <w:t xml:space="preserve"> • </w:t>
    </w:r>
    <w:hyperlink r:id="rId1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91B" w:rsidRDefault="00E4291B">
      <w:r>
        <w:t>____________________</w:t>
      </w:r>
    </w:p>
  </w:footnote>
  <w:footnote w:type="continuationSeparator" w:id="0">
    <w:p w:rsidR="00E4291B" w:rsidRDefault="00E429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2569F7" w:rsidRDefault="00E915AF" w:rsidP="002569F7">
    <w:pPr>
      <w:pStyle w:val="Header"/>
      <w:rPr>
        <w:sz w:val="18"/>
        <w:szCs w:val="16"/>
      </w:rPr>
    </w:pPr>
    <w:r w:rsidRPr="002569F7">
      <w:rPr>
        <w:sz w:val="18"/>
        <w:szCs w:val="16"/>
      </w:rPr>
      <w:tab/>
    </w:r>
    <w:r w:rsidRPr="002569F7">
      <w:rPr>
        <w:sz w:val="18"/>
        <w:szCs w:val="16"/>
      </w:rPr>
      <w:tab/>
    </w:r>
    <w:r w:rsidR="002569F7"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18110C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 w:rsidR="002569F7"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B72856" w:rsidRDefault="00872E8A" w:rsidP="00B72856">
    <w:pPr>
      <w:pStyle w:val="Header"/>
      <w:jc w:val="center"/>
      <w:rPr>
        <w:iCs/>
        <w:sz w:val="18"/>
        <w:szCs w:val="18"/>
      </w:rPr>
    </w:pPr>
    <w:r>
      <w:rPr>
        <w:iCs/>
        <w:sz w:val="18"/>
        <w:szCs w:val="18"/>
      </w:rPr>
      <w:t xml:space="preserve">- </w:t>
    </w:r>
    <w:r w:rsidR="001B42C9" w:rsidRPr="00B72856">
      <w:rPr>
        <w:iCs/>
        <w:sz w:val="18"/>
        <w:szCs w:val="18"/>
      </w:rPr>
      <w:fldChar w:fldCharType="begin"/>
    </w:r>
    <w:r w:rsidR="00E915AF" w:rsidRPr="00B72856">
      <w:rPr>
        <w:iCs/>
        <w:sz w:val="18"/>
        <w:szCs w:val="18"/>
      </w:rPr>
      <w:instrText xml:space="preserve"> PAGE  \* MERGEFORMAT </w:instrText>
    </w:r>
    <w:r w:rsidR="001B42C9" w:rsidRPr="00B72856">
      <w:rPr>
        <w:iCs/>
        <w:sz w:val="18"/>
        <w:szCs w:val="18"/>
      </w:rPr>
      <w:fldChar w:fldCharType="separate"/>
    </w:r>
    <w:r w:rsidR="001E74D9">
      <w:rPr>
        <w:iCs/>
        <w:noProof/>
        <w:sz w:val="18"/>
        <w:szCs w:val="18"/>
      </w:rPr>
      <w:t>3</w:t>
    </w:r>
    <w:r w:rsidR="001B42C9" w:rsidRPr="00B72856">
      <w:rPr>
        <w:iCs/>
        <w:sz w:val="18"/>
        <w:szCs w:val="18"/>
      </w:rPr>
      <w:fldChar w:fldCharType="end"/>
    </w:r>
    <w:r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eastAsia="zh-CN"/>
      </w:rPr>
      <w:drawing>
        <wp:inline distT="0" distB="0" distL="0" distR="0" wp14:anchorId="6EB849F4" wp14:editId="2EF9FACC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uildingBlockITU" w:val="Building Blocks ITU.dotx"/>
  </w:docVars>
  <w:rsids>
    <w:rsidRoot w:val="00E4291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9EE"/>
    <w:rsid w:val="0018110C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E74D9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69F7"/>
    <w:rsid w:val="00257D5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28DB"/>
    <w:rsid w:val="00316935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87E53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2E8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076D7"/>
    <w:rsid w:val="009151BA"/>
    <w:rsid w:val="00916166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A211B"/>
    <w:rsid w:val="00AC0C22"/>
    <w:rsid w:val="00AC3896"/>
    <w:rsid w:val="00AD2CF2"/>
    <w:rsid w:val="00AE2D88"/>
    <w:rsid w:val="00AE2E8C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2FBA"/>
    <w:rsid w:val="00B649D7"/>
    <w:rsid w:val="00B72856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33944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DF485C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36D4F"/>
    <w:rsid w:val="00E428AB"/>
    <w:rsid w:val="00E4291B"/>
    <w:rsid w:val="00E438E8"/>
    <w:rsid w:val="00E453A3"/>
    <w:rsid w:val="00E47B04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D5EEC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Head">
    <w:name w:val="Head"/>
    <w:basedOn w:val="Normal"/>
    <w:rsid w:val="00E429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AE2E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Head">
    <w:name w:val="Head"/>
    <w:basedOn w:val="Normal"/>
    <w:rsid w:val="00E4291B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eastAsia="Batang" w:hAnsi="Times New Roman" w:cs="Times New Roman"/>
      <w:szCs w:val="20"/>
      <w:lang w:val="en-GB"/>
    </w:rPr>
  </w:style>
  <w:style w:type="paragraph" w:customStyle="1" w:styleId="Reasons">
    <w:name w:val="Reasons"/>
    <w:basedOn w:val="Normal"/>
    <w:qFormat/>
    <w:rsid w:val="00AE2E8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trave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R/information/event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desk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philippe.aubineau@itu.int" TargetMode="External"/><Relationship Id="rId10" Type="http://schemas.openxmlformats.org/officeDocument/2006/relationships/hyperlink" Target="http://www.itu.int/ITU-R/go/wrc-15-irwsp-1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brsgd@itu.int" TargetMode="External"/><Relationship Id="rId14" Type="http://schemas.openxmlformats.org/officeDocument/2006/relationships/hyperlink" Target="http://www.itu.int/en/ITUR/information/ev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pages/defaul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ra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CC318-65DD-47E9-9894-F4D30187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13</TotalTime>
  <Pages>3</Pages>
  <Words>1224</Words>
  <Characters>7251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8459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Alidra, Patricia</dc:creator>
  <cp:lastModifiedBy>ITU</cp:lastModifiedBy>
  <cp:revision>7</cp:revision>
  <cp:lastPrinted>2014-06-06T12:19:00Z</cp:lastPrinted>
  <dcterms:created xsi:type="dcterms:W3CDTF">2014-06-02T06:13:00Z</dcterms:created>
  <dcterms:modified xsi:type="dcterms:W3CDTF">2014-06-17T09:49:00Z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