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E03A0">
        <w:tc>
          <w:tcPr>
            <w:tcW w:w="9889" w:type="dxa"/>
            <w:gridSpan w:val="3"/>
            <w:shd w:val="clear" w:color="auto" w:fill="auto"/>
          </w:tcPr>
          <w:p w:rsidR="00EA15B3" w:rsidRDefault="008E38B4" w:rsidP="006F1B2B">
            <w:pPr>
              <w:spacing w:before="240"/>
              <w:jc w:val="left"/>
              <w:rPr>
                <w:rFonts w:cstheme="minorHAnsi"/>
                <w:b/>
                <w:bCs/>
                <w:color w:val="808080"/>
                <w:sz w:val="28"/>
                <w:szCs w:val="28"/>
                <w:lang w:val="en-GB"/>
              </w:rPr>
            </w:pPr>
            <w:bookmarkStart w:id="0" w:name="_GoBack"/>
            <w:bookmarkEnd w:id="0"/>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5269BD" w:rsidTr="00EE03A0">
        <w:tc>
          <w:tcPr>
            <w:tcW w:w="7054" w:type="dxa"/>
            <w:gridSpan w:val="2"/>
            <w:shd w:val="clear" w:color="auto" w:fill="auto"/>
          </w:tcPr>
          <w:p w:rsidR="00C76D7F" w:rsidRPr="005269BD" w:rsidRDefault="00D21694" w:rsidP="00E17344">
            <w:pPr>
              <w:spacing w:before="0"/>
              <w:jc w:val="left"/>
              <w:rPr>
                <w:sz w:val="24"/>
                <w:szCs w:val="24"/>
                <w:lang w:val="fr-CH"/>
              </w:rPr>
            </w:pPr>
            <w:r w:rsidRPr="005269BD">
              <w:rPr>
                <w:sz w:val="24"/>
                <w:szCs w:val="24"/>
                <w:lang w:val="fr-CH"/>
              </w:rPr>
              <w:t xml:space="preserve">Administrative </w:t>
            </w:r>
            <w:proofErr w:type="spellStart"/>
            <w:r w:rsidR="008B35A3" w:rsidRPr="005269BD">
              <w:rPr>
                <w:sz w:val="24"/>
                <w:szCs w:val="24"/>
                <w:lang w:val="fr-CH"/>
              </w:rPr>
              <w:t>C</w:t>
            </w:r>
            <w:r w:rsidR="00C76D7F" w:rsidRPr="005269BD">
              <w:rPr>
                <w:sz w:val="24"/>
                <w:szCs w:val="24"/>
                <w:lang w:val="fr-CH"/>
              </w:rPr>
              <w:t>ircular</w:t>
            </w:r>
            <w:proofErr w:type="spellEnd"/>
          </w:p>
          <w:p w:rsidR="00651777" w:rsidRPr="005269BD" w:rsidRDefault="00E17344" w:rsidP="004461E2">
            <w:pPr>
              <w:spacing w:before="0"/>
              <w:jc w:val="left"/>
              <w:rPr>
                <w:b/>
                <w:bCs/>
                <w:sz w:val="24"/>
                <w:szCs w:val="24"/>
                <w:lang w:val="fr-CH"/>
              </w:rPr>
            </w:pPr>
            <w:r w:rsidRPr="005269BD">
              <w:rPr>
                <w:b/>
                <w:bCs/>
                <w:sz w:val="24"/>
                <w:szCs w:val="24"/>
                <w:lang w:val="fr-CH"/>
              </w:rPr>
              <w:t>CA</w:t>
            </w:r>
            <w:r w:rsidR="003836D4" w:rsidRPr="005269BD">
              <w:rPr>
                <w:b/>
                <w:bCs/>
                <w:sz w:val="24"/>
                <w:szCs w:val="24"/>
                <w:lang w:val="fr-CH"/>
              </w:rPr>
              <w:t>/</w:t>
            </w:r>
            <w:r w:rsidR="00775DB8" w:rsidRPr="005269BD">
              <w:rPr>
                <w:b/>
                <w:bCs/>
                <w:sz w:val="24"/>
                <w:szCs w:val="24"/>
                <w:lang w:val="fr-CH"/>
              </w:rPr>
              <w:t>2</w:t>
            </w:r>
            <w:r w:rsidR="004461E2" w:rsidRPr="005269BD">
              <w:rPr>
                <w:b/>
                <w:bCs/>
                <w:sz w:val="24"/>
                <w:szCs w:val="24"/>
                <w:lang w:val="fr-CH"/>
              </w:rPr>
              <w:t>11</w:t>
            </w:r>
          </w:p>
        </w:tc>
        <w:tc>
          <w:tcPr>
            <w:tcW w:w="2835" w:type="dxa"/>
            <w:shd w:val="clear" w:color="auto" w:fill="auto"/>
          </w:tcPr>
          <w:p w:rsidR="00651777" w:rsidRPr="005269BD" w:rsidRDefault="004461E2" w:rsidP="0040117C">
            <w:pPr>
              <w:spacing w:before="0"/>
              <w:jc w:val="right"/>
              <w:rPr>
                <w:sz w:val="24"/>
                <w:szCs w:val="24"/>
                <w:lang w:val="en-GB"/>
              </w:rPr>
            </w:pPr>
            <w:r w:rsidRPr="005269BD">
              <w:rPr>
                <w:sz w:val="24"/>
                <w:szCs w:val="24"/>
              </w:rPr>
              <w:t>2</w:t>
            </w:r>
            <w:r w:rsidR="0040117C">
              <w:rPr>
                <w:sz w:val="24"/>
                <w:szCs w:val="24"/>
              </w:rPr>
              <w:t>4</w:t>
            </w:r>
            <w:r w:rsidR="00EE03A0" w:rsidRPr="005269BD">
              <w:rPr>
                <w:sz w:val="24"/>
                <w:szCs w:val="24"/>
              </w:rPr>
              <w:t xml:space="preserve"> </w:t>
            </w:r>
            <w:r w:rsidRPr="005269BD">
              <w:rPr>
                <w:sz w:val="24"/>
                <w:szCs w:val="24"/>
              </w:rPr>
              <w:t>June</w:t>
            </w:r>
            <w:r w:rsidR="00EE03A0" w:rsidRPr="005269BD">
              <w:rPr>
                <w:sz w:val="24"/>
                <w:szCs w:val="24"/>
              </w:rPr>
              <w:t xml:space="preserve"> 2013</w:t>
            </w:r>
          </w:p>
        </w:tc>
      </w:tr>
      <w:tr w:rsidR="0037309C" w:rsidRPr="005269BD" w:rsidTr="00EE03A0">
        <w:tc>
          <w:tcPr>
            <w:tcW w:w="9889" w:type="dxa"/>
            <w:gridSpan w:val="3"/>
            <w:shd w:val="clear" w:color="auto" w:fill="auto"/>
          </w:tcPr>
          <w:p w:rsidR="0037309C" w:rsidRPr="005269BD" w:rsidRDefault="0037309C" w:rsidP="006047E5">
            <w:pPr>
              <w:spacing w:before="0"/>
              <w:jc w:val="left"/>
              <w:rPr>
                <w:rFonts w:cs="Arial"/>
                <w:sz w:val="24"/>
                <w:szCs w:val="24"/>
                <w:lang w:val="en-GB"/>
              </w:rPr>
            </w:pPr>
          </w:p>
        </w:tc>
      </w:tr>
      <w:tr w:rsidR="0037309C" w:rsidRPr="005269BD" w:rsidTr="00EE03A0">
        <w:tc>
          <w:tcPr>
            <w:tcW w:w="9889" w:type="dxa"/>
            <w:gridSpan w:val="3"/>
            <w:shd w:val="clear" w:color="auto" w:fill="auto"/>
          </w:tcPr>
          <w:p w:rsidR="0037309C" w:rsidRPr="005269BD" w:rsidRDefault="0037309C" w:rsidP="00D374CD">
            <w:pPr>
              <w:spacing w:before="0"/>
              <w:jc w:val="left"/>
              <w:rPr>
                <w:sz w:val="24"/>
                <w:szCs w:val="24"/>
              </w:rPr>
            </w:pPr>
          </w:p>
        </w:tc>
      </w:tr>
      <w:tr w:rsidR="0037309C" w:rsidRPr="005269BD" w:rsidTr="00EE03A0">
        <w:tc>
          <w:tcPr>
            <w:tcW w:w="9889" w:type="dxa"/>
            <w:gridSpan w:val="3"/>
            <w:shd w:val="clear" w:color="auto" w:fill="auto"/>
          </w:tcPr>
          <w:p w:rsidR="00D21694" w:rsidRPr="005269BD" w:rsidRDefault="0037309C" w:rsidP="00035CB3">
            <w:pPr>
              <w:spacing w:before="0"/>
              <w:jc w:val="left"/>
              <w:rPr>
                <w:b/>
                <w:bCs/>
                <w:sz w:val="24"/>
                <w:szCs w:val="24"/>
              </w:rPr>
            </w:pPr>
            <w:r w:rsidRPr="005269BD">
              <w:rPr>
                <w:b/>
                <w:bCs/>
                <w:sz w:val="24"/>
                <w:szCs w:val="24"/>
              </w:rPr>
              <w:t>To Administrations of Member States of the ITU</w:t>
            </w:r>
            <w:r w:rsidR="008B35A3" w:rsidRPr="005269BD">
              <w:rPr>
                <w:b/>
                <w:bCs/>
                <w:sz w:val="24"/>
                <w:szCs w:val="24"/>
              </w:rPr>
              <w:t xml:space="preserve"> </w:t>
            </w:r>
            <w:r w:rsidR="00EE03A0" w:rsidRPr="005269BD">
              <w:rPr>
                <w:b/>
                <w:bCs/>
                <w:sz w:val="24"/>
                <w:szCs w:val="24"/>
              </w:rPr>
              <w:t>and</w:t>
            </w:r>
            <w:r w:rsidR="00035CB3" w:rsidRPr="005269BD">
              <w:rPr>
                <w:b/>
                <w:bCs/>
                <w:sz w:val="24"/>
                <w:szCs w:val="24"/>
              </w:rPr>
              <w:br/>
            </w:r>
            <w:proofErr w:type="spellStart"/>
            <w:r w:rsidR="00EE03A0" w:rsidRPr="005269BD">
              <w:rPr>
                <w:b/>
                <w:bCs/>
                <w:sz w:val="24"/>
                <w:szCs w:val="24"/>
              </w:rPr>
              <w:t>Radiocommunication</w:t>
            </w:r>
            <w:proofErr w:type="spellEnd"/>
            <w:r w:rsidR="00EE03A0" w:rsidRPr="005269BD">
              <w:rPr>
                <w:b/>
                <w:bCs/>
                <w:sz w:val="24"/>
                <w:szCs w:val="24"/>
              </w:rPr>
              <w:t xml:space="preserve"> Sector Members</w:t>
            </w:r>
          </w:p>
          <w:p w:rsidR="00D21694" w:rsidRPr="005269BD" w:rsidRDefault="00D21694" w:rsidP="006047E5">
            <w:pPr>
              <w:spacing w:before="0"/>
              <w:jc w:val="left"/>
              <w:rPr>
                <w:b/>
                <w:bCs/>
                <w:sz w:val="24"/>
                <w:szCs w:val="24"/>
              </w:rPr>
            </w:pPr>
          </w:p>
        </w:tc>
      </w:tr>
      <w:tr w:rsidR="0037309C" w:rsidRPr="005269BD" w:rsidTr="00EE03A0">
        <w:tc>
          <w:tcPr>
            <w:tcW w:w="9889" w:type="dxa"/>
            <w:gridSpan w:val="3"/>
            <w:shd w:val="clear" w:color="auto" w:fill="auto"/>
          </w:tcPr>
          <w:p w:rsidR="0037309C" w:rsidRPr="005269BD" w:rsidRDefault="0037309C" w:rsidP="006047E5">
            <w:pPr>
              <w:spacing w:before="0"/>
              <w:jc w:val="left"/>
              <w:rPr>
                <w:sz w:val="24"/>
                <w:szCs w:val="24"/>
              </w:rPr>
            </w:pPr>
          </w:p>
        </w:tc>
      </w:tr>
      <w:tr w:rsidR="0037309C" w:rsidRPr="005269BD" w:rsidTr="00EE03A0">
        <w:tc>
          <w:tcPr>
            <w:tcW w:w="9889" w:type="dxa"/>
            <w:gridSpan w:val="3"/>
            <w:shd w:val="clear" w:color="auto" w:fill="auto"/>
          </w:tcPr>
          <w:p w:rsidR="0037309C" w:rsidRPr="005269BD" w:rsidRDefault="0037309C" w:rsidP="006047E5">
            <w:pPr>
              <w:spacing w:before="0"/>
              <w:jc w:val="left"/>
              <w:rPr>
                <w:sz w:val="24"/>
                <w:szCs w:val="24"/>
              </w:rPr>
            </w:pPr>
          </w:p>
        </w:tc>
      </w:tr>
      <w:tr w:rsidR="00B4054B" w:rsidRPr="005269BD" w:rsidTr="00EE03A0">
        <w:tc>
          <w:tcPr>
            <w:tcW w:w="1526" w:type="dxa"/>
            <w:shd w:val="clear" w:color="auto" w:fill="auto"/>
          </w:tcPr>
          <w:p w:rsidR="00B4054B" w:rsidRPr="005269BD" w:rsidRDefault="00B4054B" w:rsidP="00EE03A0">
            <w:pPr>
              <w:tabs>
                <w:tab w:val="clear" w:pos="1588"/>
                <w:tab w:val="left" w:pos="1560"/>
              </w:tabs>
              <w:spacing w:before="0"/>
              <w:jc w:val="left"/>
              <w:rPr>
                <w:sz w:val="24"/>
                <w:szCs w:val="24"/>
              </w:rPr>
            </w:pPr>
            <w:r w:rsidRPr="005269BD">
              <w:rPr>
                <w:sz w:val="24"/>
                <w:szCs w:val="24"/>
              </w:rPr>
              <w:t>Subject:</w:t>
            </w:r>
          </w:p>
        </w:tc>
        <w:tc>
          <w:tcPr>
            <w:tcW w:w="8363" w:type="dxa"/>
            <w:gridSpan w:val="2"/>
            <w:vMerge w:val="restart"/>
            <w:shd w:val="clear" w:color="auto" w:fill="auto"/>
          </w:tcPr>
          <w:p w:rsidR="00D90879" w:rsidRPr="005269BD" w:rsidRDefault="00D90879" w:rsidP="003C3C24">
            <w:pPr>
              <w:tabs>
                <w:tab w:val="clear" w:pos="794"/>
                <w:tab w:val="clear" w:pos="1191"/>
                <w:tab w:val="clear" w:pos="1588"/>
                <w:tab w:val="clear" w:pos="1985"/>
              </w:tabs>
              <w:spacing w:before="0"/>
              <w:ind w:left="34"/>
              <w:rPr>
                <w:b/>
                <w:bCs/>
                <w:sz w:val="24"/>
                <w:szCs w:val="24"/>
              </w:rPr>
            </w:pPr>
            <w:r w:rsidRPr="005269BD">
              <w:rPr>
                <w:b/>
                <w:bCs/>
                <w:sz w:val="24"/>
                <w:szCs w:val="24"/>
              </w:rPr>
              <w:t xml:space="preserve">Summary of conclusions of the </w:t>
            </w:r>
            <w:r w:rsidR="003C3C24" w:rsidRPr="005269BD">
              <w:rPr>
                <w:b/>
                <w:bCs/>
                <w:sz w:val="24"/>
                <w:szCs w:val="24"/>
              </w:rPr>
              <w:t>twen</w:t>
            </w:r>
            <w:r w:rsidRPr="005269BD">
              <w:rPr>
                <w:b/>
                <w:bCs/>
                <w:sz w:val="24"/>
                <w:szCs w:val="24"/>
              </w:rPr>
              <w:t>t</w:t>
            </w:r>
            <w:r w:rsidR="003C3C24" w:rsidRPr="005269BD">
              <w:rPr>
                <w:b/>
                <w:bCs/>
                <w:sz w:val="24"/>
                <w:szCs w:val="24"/>
              </w:rPr>
              <w:t>i</w:t>
            </w:r>
            <w:r w:rsidRPr="005269BD">
              <w:rPr>
                <w:b/>
                <w:bCs/>
                <w:sz w:val="24"/>
                <w:szCs w:val="24"/>
              </w:rPr>
              <w:t xml:space="preserve">eth </w:t>
            </w:r>
            <w:proofErr w:type="spellStart"/>
            <w:r w:rsidRPr="005269BD">
              <w:rPr>
                <w:b/>
                <w:bCs/>
                <w:sz w:val="24"/>
                <w:szCs w:val="24"/>
              </w:rPr>
              <w:t>Radiocommunication</w:t>
            </w:r>
            <w:proofErr w:type="spellEnd"/>
            <w:r w:rsidRPr="005269BD">
              <w:rPr>
                <w:b/>
                <w:bCs/>
                <w:sz w:val="24"/>
                <w:szCs w:val="24"/>
              </w:rPr>
              <w:t xml:space="preserve"> Advisory Group meeting</w:t>
            </w:r>
          </w:p>
          <w:p w:rsidR="00EE03A0" w:rsidRPr="005269BD" w:rsidRDefault="00EE03A0" w:rsidP="00D90879">
            <w:pPr>
              <w:tabs>
                <w:tab w:val="clear" w:pos="1588"/>
                <w:tab w:val="left" w:pos="1560"/>
              </w:tabs>
              <w:spacing w:before="0"/>
              <w:jc w:val="left"/>
              <w:rPr>
                <w:b/>
                <w:bCs/>
                <w:sz w:val="24"/>
                <w:szCs w:val="24"/>
              </w:rPr>
            </w:pPr>
          </w:p>
        </w:tc>
      </w:tr>
      <w:tr w:rsidR="00B4054B" w:rsidRPr="005269BD" w:rsidTr="00EE03A0">
        <w:tc>
          <w:tcPr>
            <w:tcW w:w="1526" w:type="dxa"/>
            <w:shd w:val="clear" w:color="auto" w:fill="auto"/>
          </w:tcPr>
          <w:p w:rsidR="00B4054B" w:rsidRPr="005269BD" w:rsidRDefault="00B4054B" w:rsidP="00EE03A0">
            <w:pPr>
              <w:tabs>
                <w:tab w:val="clear" w:pos="1588"/>
                <w:tab w:val="left" w:pos="1560"/>
              </w:tabs>
              <w:spacing w:before="0"/>
              <w:jc w:val="left"/>
              <w:rPr>
                <w:b/>
                <w:bCs/>
                <w:sz w:val="24"/>
                <w:szCs w:val="24"/>
                <w:lang w:val="en-GB"/>
              </w:rPr>
            </w:pPr>
          </w:p>
        </w:tc>
        <w:tc>
          <w:tcPr>
            <w:tcW w:w="8363" w:type="dxa"/>
            <w:gridSpan w:val="2"/>
            <w:vMerge/>
            <w:shd w:val="clear" w:color="auto" w:fill="auto"/>
          </w:tcPr>
          <w:p w:rsidR="00B4054B" w:rsidRPr="005269BD" w:rsidRDefault="00B4054B" w:rsidP="00EE03A0">
            <w:pPr>
              <w:tabs>
                <w:tab w:val="clear" w:pos="1588"/>
                <w:tab w:val="left" w:pos="1560"/>
              </w:tabs>
              <w:spacing w:before="0"/>
              <w:rPr>
                <w:b/>
                <w:bCs/>
                <w:sz w:val="24"/>
                <w:szCs w:val="24"/>
                <w:lang w:val="en-GB"/>
              </w:rPr>
            </w:pPr>
          </w:p>
        </w:tc>
      </w:tr>
      <w:tr w:rsidR="00EE03A0" w:rsidRPr="005269BD" w:rsidTr="00EE03A0">
        <w:tc>
          <w:tcPr>
            <w:tcW w:w="1526" w:type="dxa"/>
            <w:shd w:val="clear" w:color="auto" w:fill="auto"/>
          </w:tcPr>
          <w:p w:rsidR="00EE03A0" w:rsidRPr="005269BD" w:rsidRDefault="00EE03A0" w:rsidP="00EE03A0">
            <w:pPr>
              <w:tabs>
                <w:tab w:val="clear" w:pos="1588"/>
                <w:tab w:val="left" w:pos="1560"/>
              </w:tabs>
              <w:spacing w:before="0"/>
              <w:jc w:val="left"/>
              <w:rPr>
                <w:b/>
                <w:bCs/>
                <w:sz w:val="24"/>
                <w:szCs w:val="24"/>
                <w:lang w:val="en-GB"/>
              </w:rPr>
            </w:pPr>
          </w:p>
        </w:tc>
        <w:tc>
          <w:tcPr>
            <w:tcW w:w="8363" w:type="dxa"/>
            <w:gridSpan w:val="2"/>
            <w:vMerge/>
            <w:shd w:val="clear" w:color="auto" w:fill="auto"/>
          </w:tcPr>
          <w:p w:rsidR="00EE03A0" w:rsidRPr="005269BD" w:rsidRDefault="00EE03A0" w:rsidP="00EE03A0">
            <w:pPr>
              <w:tabs>
                <w:tab w:val="clear" w:pos="1588"/>
                <w:tab w:val="left" w:pos="1560"/>
              </w:tabs>
              <w:spacing w:before="0"/>
              <w:rPr>
                <w:b/>
                <w:bCs/>
                <w:sz w:val="24"/>
                <w:szCs w:val="24"/>
                <w:lang w:val="en-GB"/>
              </w:rPr>
            </w:pPr>
          </w:p>
        </w:tc>
      </w:tr>
      <w:tr w:rsidR="00EE03A0" w:rsidRPr="005269BD" w:rsidTr="00EE03A0">
        <w:tc>
          <w:tcPr>
            <w:tcW w:w="9889" w:type="dxa"/>
            <w:gridSpan w:val="3"/>
            <w:shd w:val="clear" w:color="auto" w:fill="auto"/>
          </w:tcPr>
          <w:p w:rsidR="00EE03A0" w:rsidRPr="005269BD" w:rsidRDefault="00EE03A0" w:rsidP="00263757">
            <w:pPr>
              <w:tabs>
                <w:tab w:val="clear" w:pos="1588"/>
                <w:tab w:val="left" w:pos="1560"/>
              </w:tabs>
              <w:spacing w:before="0"/>
              <w:jc w:val="left"/>
              <w:rPr>
                <w:sz w:val="24"/>
                <w:szCs w:val="24"/>
              </w:rPr>
            </w:pPr>
            <w:r w:rsidRPr="005269BD">
              <w:rPr>
                <w:sz w:val="24"/>
                <w:szCs w:val="24"/>
              </w:rPr>
              <w:t>Reference:</w:t>
            </w:r>
            <w:r w:rsidRPr="005269BD">
              <w:rPr>
                <w:sz w:val="24"/>
                <w:szCs w:val="24"/>
              </w:rPr>
              <w:tab/>
            </w:r>
            <w:r w:rsidRPr="005269BD">
              <w:rPr>
                <w:sz w:val="24"/>
                <w:szCs w:val="24"/>
              </w:rPr>
              <w:tab/>
            </w:r>
            <w:r w:rsidR="00D90879" w:rsidRPr="005269BD">
              <w:rPr>
                <w:b/>
                <w:bCs/>
              </w:rPr>
              <w:t>Administrative Circular CA/</w:t>
            </w:r>
            <w:r w:rsidR="00263757" w:rsidRPr="005269BD">
              <w:rPr>
                <w:b/>
                <w:bCs/>
              </w:rPr>
              <w:t>207</w:t>
            </w:r>
            <w:r w:rsidR="00D90879" w:rsidRPr="005269BD">
              <w:rPr>
                <w:b/>
                <w:bCs/>
              </w:rPr>
              <w:t xml:space="preserve"> of 1</w:t>
            </w:r>
            <w:r w:rsidR="00263757" w:rsidRPr="005269BD">
              <w:rPr>
                <w:b/>
                <w:bCs/>
              </w:rPr>
              <w:t>8</w:t>
            </w:r>
            <w:r w:rsidR="00D90879" w:rsidRPr="005269BD">
              <w:rPr>
                <w:b/>
                <w:bCs/>
              </w:rPr>
              <w:t xml:space="preserve"> </w:t>
            </w:r>
            <w:r w:rsidR="00263757" w:rsidRPr="005269BD">
              <w:rPr>
                <w:b/>
                <w:bCs/>
              </w:rPr>
              <w:t>January</w:t>
            </w:r>
            <w:r w:rsidR="00D90879" w:rsidRPr="005269BD">
              <w:rPr>
                <w:b/>
                <w:bCs/>
              </w:rPr>
              <w:t xml:space="preserve"> 201</w:t>
            </w:r>
            <w:r w:rsidR="00263757" w:rsidRPr="005269BD">
              <w:rPr>
                <w:b/>
                <w:bCs/>
              </w:rPr>
              <w:t>3</w:t>
            </w:r>
          </w:p>
        </w:tc>
      </w:tr>
      <w:tr w:rsidR="00EE03A0" w:rsidRPr="005269BD" w:rsidTr="00EE03A0">
        <w:tc>
          <w:tcPr>
            <w:tcW w:w="9889" w:type="dxa"/>
            <w:gridSpan w:val="3"/>
            <w:shd w:val="clear" w:color="auto" w:fill="auto"/>
          </w:tcPr>
          <w:p w:rsidR="00EE03A0" w:rsidRPr="005269BD" w:rsidRDefault="00EE03A0" w:rsidP="00577A88">
            <w:pPr>
              <w:spacing w:before="0"/>
              <w:jc w:val="left"/>
              <w:rPr>
                <w:b/>
                <w:bCs/>
                <w:sz w:val="24"/>
                <w:szCs w:val="24"/>
              </w:rPr>
            </w:pPr>
          </w:p>
        </w:tc>
      </w:tr>
    </w:tbl>
    <w:p w:rsidR="002A5DD7" w:rsidRPr="005269BD" w:rsidRDefault="002A5DD7" w:rsidP="002A5DD7">
      <w:pPr>
        <w:spacing w:before="0"/>
        <w:rPr>
          <w:sz w:val="24"/>
          <w:szCs w:val="24"/>
        </w:rPr>
      </w:pPr>
    </w:p>
    <w:p w:rsidR="0024039F" w:rsidRPr="00325AC1" w:rsidRDefault="0024039F" w:rsidP="00AE0909">
      <w:pPr>
        <w:jc w:val="left"/>
        <w:rPr>
          <w:sz w:val="24"/>
          <w:szCs w:val="24"/>
        </w:rPr>
      </w:pPr>
      <w:r w:rsidRPr="00325AC1">
        <w:rPr>
          <w:sz w:val="24"/>
          <w:szCs w:val="24"/>
        </w:rPr>
        <w:t>1</w:t>
      </w:r>
      <w:r w:rsidRPr="00325AC1">
        <w:rPr>
          <w:sz w:val="24"/>
          <w:szCs w:val="24"/>
        </w:rPr>
        <w:tab/>
        <w:t xml:space="preserve">The </w:t>
      </w:r>
      <w:proofErr w:type="spellStart"/>
      <w:r w:rsidRPr="00325AC1">
        <w:rPr>
          <w:sz w:val="24"/>
          <w:szCs w:val="24"/>
        </w:rPr>
        <w:t>Radiocommunication</w:t>
      </w:r>
      <w:proofErr w:type="spellEnd"/>
      <w:r w:rsidRPr="00325AC1">
        <w:rPr>
          <w:sz w:val="24"/>
          <w:szCs w:val="24"/>
        </w:rPr>
        <w:t xml:space="preserve"> Advisory Group (RAG) met for the twentieth time from 22 to 2</w:t>
      </w:r>
      <w:r w:rsidR="00546512" w:rsidRPr="00325AC1">
        <w:rPr>
          <w:sz w:val="24"/>
          <w:szCs w:val="24"/>
        </w:rPr>
        <w:t>4</w:t>
      </w:r>
      <w:r w:rsidRPr="00325AC1">
        <w:rPr>
          <w:sz w:val="24"/>
          <w:szCs w:val="24"/>
        </w:rPr>
        <w:t> May</w:t>
      </w:r>
      <w:r w:rsidR="00546512" w:rsidRPr="00325AC1">
        <w:rPr>
          <w:sz w:val="24"/>
          <w:szCs w:val="24"/>
        </w:rPr>
        <w:t> </w:t>
      </w:r>
      <w:r w:rsidRPr="00325AC1">
        <w:rPr>
          <w:sz w:val="24"/>
          <w:szCs w:val="24"/>
        </w:rPr>
        <w:t>2013 in Geneva.</w:t>
      </w:r>
    </w:p>
    <w:p w:rsidR="0024039F" w:rsidRPr="00325AC1" w:rsidRDefault="0024039F" w:rsidP="00AE0909">
      <w:pPr>
        <w:pStyle w:val="Normalaftertitle"/>
        <w:spacing w:before="120"/>
        <w:jc w:val="left"/>
        <w:rPr>
          <w:sz w:val="24"/>
          <w:szCs w:val="24"/>
          <w:lang w:eastAsia="zh-CN"/>
        </w:rPr>
      </w:pPr>
      <w:r w:rsidRPr="00325AC1">
        <w:rPr>
          <w:sz w:val="24"/>
          <w:szCs w:val="24"/>
        </w:rPr>
        <w:t>2</w:t>
      </w:r>
      <w:r w:rsidRPr="00325AC1">
        <w:rPr>
          <w:sz w:val="24"/>
          <w:szCs w:val="24"/>
        </w:rPr>
        <w:tab/>
        <w:t>The summary of conclusions of the meeting is contained in the Annex to this letter</w:t>
      </w:r>
      <w:r w:rsidRPr="00325AC1">
        <w:rPr>
          <w:sz w:val="24"/>
          <w:szCs w:val="24"/>
          <w:lang w:eastAsia="zh-CN"/>
        </w:rPr>
        <w:t xml:space="preserve">. </w:t>
      </w:r>
    </w:p>
    <w:p w:rsidR="0024039F" w:rsidRPr="00325AC1" w:rsidRDefault="0024039F" w:rsidP="00AE0909">
      <w:pPr>
        <w:jc w:val="left"/>
        <w:rPr>
          <w:sz w:val="24"/>
          <w:szCs w:val="24"/>
        </w:rPr>
      </w:pPr>
      <w:r w:rsidRPr="00325AC1">
        <w:rPr>
          <w:sz w:val="24"/>
          <w:szCs w:val="24"/>
        </w:rPr>
        <w:t>3</w:t>
      </w:r>
      <w:r w:rsidRPr="00325AC1">
        <w:rPr>
          <w:sz w:val="24"/>
          <w:szCs w:val="24"/>
        </w:rPr>
        <w:tab/>
        <w:t xml:space="preserve">Additional information about this meeting may be found on the RAG website at </w:t>
      </w:r>
      <w:hyperlink r:id="rId9" w:history="1">
        <w:r w:rsidRPr="00325AC1">
          <w:rPr>
            <w:rStyle w:val="Hyperlink"/>
            <w:sz w:val="24"/>
            <w:szCs w:val="24"/>
          </w:rPr>
          <w:t>http://www.itu.int/ITU</w:t>
        </w:r>
        <w:r w:rsidRPr="00325AC1">
          <w:rPr>
            <w:rStyle w:val="Hyperlink"/>
            <w:sz w:val="24"/>
            <w:szCs w:val="24"/>
          </w:rPr>
          <w:noBreakHyphen/>
          <w:t>R/go/RAG</w:t>
        </w:r>
      </w:hyperlink>
      <w:r w:rsidRPr="00325AC1">
        <w:rPr>
          <w:sz w:val="24"/>
          <w:szCs w:val="24"/>
        </w:rPr>
        <w:t>.</w:t>
      </w:r>
    </w:p>
    <w:p w:rsidR="0024039F" w:rsidRPr="00325AC1" w:rsidRDefault="0024039F" w:rsidP="00AE0909">
      <w:pPr>
        <w:jc w:val="left"/>
        <w:rPr>
          <w:sz w:val="24"/>
          <w:szCs w:val="24"/>
        </w:rPr>
      </w:pPr>
    </w:p>
    <w:p w:rsidR="00EE03A0" w:rsidRPr="00325AC1" w:rsidRDefault="00EE03A0" w:rsidP="00AE0909">
      <w:pPr>
        <w:keepNext/>
        <w:spacing w:before="0"/>
        <w:jc w:val="left"/>
        <w:rPr>
          <w:sz w:val="24"/>
          <w:szCs w:val="24"/>
        </w:rPr>
      </w:pPr>
    </w:p>
    <w:p w:rsidR="00D21694" w:rsidRPr="00325AC1" w:rsidRDefault="00D21694" w:rsidP="00031E64">
      <w:pPr>
        <w:rPr>
          <w:rFonts w:asciiTheme="minorHAnsi" w:hAnsiTheme="minorHAnsi" w:cstheme="minorHAnsi"/>
          <w:sz w:val="24"/>
          <w:szCs w:val="24"/>
        </w:rPr>
      </w:pPr>
    </w:p>
    <w:p w:rsidR="002A5DD7" w:rsidRPr="00325AC1" w:rsidRDefault="002A5DD7" w:rsidP="00031E64">
      <w:pPr>
        <w:rPr>
          <w:rFonts w:asciiTheme="minorHAnsi" w:hAnsiTheme="minorHAnsi" w:cstheme="minorHAnsi"/>
          <w:sz w:val="24"/>
          <w:szCs w:val="24"/>
        </w:rPr>
      </w:pPr>
    </w:p>
    <w:p w:rsidR="00D35AB9" w:rsidRPr="00325AC1" w:rsidRDefault="00D35AB9" w:rsidP="00031E64">
      <w:pPr>
        <w:rPr>
          <w:rFonts w:asciiTheme="minorHAnsi" w:hAnsiTheme="minorHAnsi" w:cstheme="minorHAnsi"/>
          <w:sz w:val="24"/>
          <w:szCs w:val="24"/>
        </w:rPr>
      </w:pPr>
    </w:p>
    <w:p w:rsidR="00031E64" w:rsidRPr="00325AC1" w:rsidRDefault="00031E64" w:rsidP="009B3F43">
      <w:pPr>
        <w:spacing w:before="0" w:line="240" w:lineRule="auto"/>
        <w:jc w:val="left"/>
        <w:rPr>
          <w:rFonts w:asciiTheme="minorHAnsi" w:hAnsiTheme="minorHAnsi" w:cstheme="minorHAnsi"/>
          <w:sz w:val="24"/>
          <w:szCs w:val="24"/>
          <w:lang w:val="fr-CH"/>
        </w:rPr>
      </w:pPr>
      <w:r w:rsidRPr="00325AC1">
        <w:rPr>
          <w:rFonts w:asciiTheme="minorHAnsi" w:hAnsiTheme="minorHAnsi" w:cstheme="minorHAnsi"/>
          <w:sz w:val="24"/>
          <w:szCs w:val="24"/>
          <w:lang w:val="fr-CH"/>
        </w:rPr>
        <w:t>François Rancy</w:t>
      </w:r>
    </w:p>
    <w:p w:rsidR="00031E64" w:rsidRPr="00325AC1" w:rsidRDefault="00CE463D" w:rsidP="00546512">
      <w:pPr>
        <w:spacing w:before="0" w:line="240" w:lineRule="auto"/>
        <w:jc w:val="left"/>
        <w:rPr>
          <w:rFonts w:asciiTheme="minorHAnsi" w:hAnsiTheme="minorHAnsi" w:cstheme="minorHAnsi"/>
          <w:sz w:val="24"/>
          <w:szCs w:val="24"/>
          <w:lang w:val="fr-CH"/>
        </w:rPr>
      </w:pPr>
      <w:r w:rsidRPr="00325AC1">
        <w:rPr>
          <w:rFonts w:asciiTheme="minorHAnsi" w:hAnsiTheme="minorHAnsi" w:cstheme="minorHAnsi"/>
          <w:sz w:val="24"/>
          <w:szCs w:val="24"/>
          <w:lang w:val="fr-CH"/>
        </w:rPr>
        <w:t>Director</w:t>
      </w:r>
    </w:p>
    <w:p w:rsidR="00196770" w:rsidRPr="0040117C" w:rsidRDefault="00196770" w:rsidP="00FF33EF">
      <w:pPr>
        <w:spacing w:before="0" w:line="240" w:lineRule="auto"/>
        <w:jc w:val="left"/>
        <w:rPr>
          <w:rFonts w:asciiTheme="minorHAnsi" w:hAnsiTheme="minorHAnsi" w:cstheme="minorHAnsi"/>
          <w:sz w:val="24"/>
          <w:szCs w:val="24"/>
          <w:lang w:val="fr-CH"/>
        </w:rPr>
      </w:pPr>
    </w:p>
    <w:p w:rsidR="009076D7" w:rsidRPr="0040117C" w:rsidRDefault="009076D7" w:rsidP="00FF33EF">
      <w:pPr>
        <w:spacing w:before="0" w:line="240" w:lineRule="auto"/>
        <w:jc w:val="left"/>
        <w:rPr>
          <w:rFonts w:asciiTheme="minorHAnsi" w:hAnsiTheme="minorHAnsi" w:cstheme="minorHAnsi"/>
          <w:sz w:val="24"/>
          <w:szCs w:val="24"/>
          <w:lang w:val="fr-CH"/>
        </w:rPr>
      </w:pPr>
    </w:p>
    <w:p w:rsidR="00A02BAA" w:rsidRPr="0040117C" w:rsidRDefault="00A02BAA" w:rsidP="00FF33EF">
      <w:pPr>
        <w:spacing w:before="0" w:line="240" w:lineRule="auto"/>
        <w:jc w:val="left"/>
        <w:rPr>
          <w:rFonts w:asciiTheme="minorHAnsi" w:hAnsiTheme="minorHAnsi" w:cstheme="minorHAnsi"/>
          <w:sz w:val="24"/>
          <w:szCs w:val="24"/>
          <w:lang w:val="fr-CH"/>
        </w:rPr>
      </w:pPr>
      <w:proofErr w:type="spellStart"/>
      <w:r w:rsidRPr="0040117C">
        <w:rPr>
          <w:rFonts w:asciiTheme="minorHAnsi" w:hAnsiTheme="minorHAnsi" w:cstheme="minorHAnsi"/>
          <w:b/>
          <w:bCs/>
          <w:sz w:val="24"/>
          <w:szCs w:val="24"/>
          <w:lang w:val="fr-CH"/>
        </w:rPr>
        <w:t>Annex</w:t>
      </w:r>
      <w:proofErr w:type="spellEnd"/>
      <w:r w:rsidRPr="0040117C">
        <w:rPr>
          <w:rFonts w:asciiTheme="minorHAnsi" w:hAnsiTheme="minorHAnsi" w:cstheme="minorHAnsi"/>
          <w:b/>
          <w:bCs/>
          <w:sz w:val="24"/>
          <w:szCs w:val="24"/>
          <w:lang w:val="fr-CH"/>
        </w:rPr>
        <w:t>:</w:t>
      </w:r>
      <w:r w:rsidRPr="0040117C">
        <w:rPr>
          <w:rFonts w:asciiTheme="minorHAnsi" w:hAnsiTheme="minorHAnsi" w:cstheme="minorHAnsi"/>
          <w:sz w:val="24"/>
          <w:szCs w:val="24"/>
          <w:lang w:val="fr-CH"/>
        </w:rPr>
        <w:t xml:space="preserve"> 1</w:t>
      </w:r>
    </w:p>
    <w:p w:rsidR="00546512" w:rsidRPr="0040117C" w:rsidRDefault="00546512" w:rsidP="00FF33EF">
      <w:pPr>
        <w:spacing w:before="0" w:line="240" w:lineRule="auto"/>
        <w:jc w:val="left"/>
        <w:rPr>
          <w:rFonts w:asciiTheme="minorHAnsi" w:hAnsiTheme="minorHAnsi" w:cstheme="minorHAnsi"/>
          <w:sz w:val="24"/>
          <w:szCs w:val="24"/>
          <w:lang w:val="fr-CH"/>
        </w:rPr>
      </w:pPr>
    </w:p>
    <w:p w:rsidR="00546512" w:rsidRPr="0040117C" w:rsidRDefault="00546512" w:rsidP="00FF33EF">
      <w:pPr>
        <w:spacing w:before="0" w:line="240" w:lineRule="auto"/>
        <w:jc w:val="left"/>
        <w:rPr>
          <w:rFonts w:asciiTheme="minorHAnsi" w:hAnsiTheme="minorHAnsi" w:cstheme="minorHAnsi"/>
          <w:sz w:val="24"/>
          <w:szCs w:val="24"/>
          <w:lang w:val="fr-CH"/>
        </w:rPr>
      </w:pPr>
    </w:p>
    <w:p w:rsidR="00196770" w:rsidRPr="00453187" w:rsidRDefault="00196770" w:rsidP="00196770">
      <w:pPr>
        <w:tabs>
          <w:tab w:val="clear" w:pos="794"/>
          <w:tab w:val="clear" w:pos="1191"/>
          <w:tab w:val="clear" w:pos="1588"/>
          <w:tab w:val="clear" w:pos="1985"/>
          <w:tab w:val="center" w:pos="6237"/>
        </w:tabs>
        <w:spacing w:before="0" w:line="240" w:lineRule="auto"/>
        <w:rPr>
          <w:sz w:val="18"/>
          <w:szCs w:val="18"/>
          <w:u w:val="single"/>
          <w:lang w:val="fr-CH"/>
        </w:rPr>
      </w:pPr>
      <w:r w:rsidRPr="00453187">
        <w:rPr>
          <w:sz w:val="18"/>
          <w:szCs w:val="18"/>
          <w:u w:val="single"/>
          <w:lang w:val="fr-CH"/>
        </w:rPr>
        <w:t>Distribution:</w:t>
      </w:r>
    </w:p>
    <w:p w:rsidR="00196770" w:rsidRPr="00107F3F" w:rsidRDefault="00196770" w:rsidP="00196770">
      <w:pPr>
        <w:tabs>
          <w:tab w:val="left" w:pos="284"/>
        </w:tabs>
        <w:spacing w:before="0" w:line="240" w:lineRule="auto"/>
        <w:ind w:left="284" w:hanging="284"/>
        <w:rPr>
          <w:sz w:val="18"/>
          <w:szCs w:val="18"/>
        </w:rPr>
      </w:pPr>
      <w:r w:rsidRPr="00107F3F">
        <w:rPr>
          <w:sz w:val="18"/>
          <w:szCs w:val="18"/>
        </w:rPr>
        <w:sym w:font="Symbol" w:char="F02D"/>
      </w:r>
      <w:r w:rsidRPr="00107F3F">
        <w:rPr>
          <w:sz w:val="18"/>
          <w:szCs w:val="18"/>
        </w:rPr>
        <w:tab/>
        <w:t>Administrations of Member States of the ITU</w:t>
      </w:r>
    </w:p>
    <w:p w:rsidR="00196770" w:rsidRPr="00107F3F" w:rsidRDefault="00196770" w:rsidP="00196770">
      <w:pPr>
        <w:tabs>
          <w:tab w:val="left" w:pos="284"/>
        </w:tabs>
        <w:spacing w:before="0" w:line="240" w:lineRule="auto"/>
        <w:ind w:left="284" w:hanging="284"/>
        <w:rPr>
          <w:sz w:val="18"/>
          <w:szCs w:val="18"/>
        </w:rPr>
      </w:pPr>
      <w:r w:rsidRPr="00107F3F">
        <w:rPr>
          <w:sz w:val="18"/>
          <w:szCs w:val="18"/>
        </w:rPr>
        <w:sym w:font="Symbol" w:char="F02D"/>
      </w:r>
      <w:r w:rsidRPr="00107F3F">
        <w:rPr>
          <w:sz w:val="18"/>
          <w:szCs w:val="18"/>
        </w:rPr>
        <w:tab/>
      </w:r>
      <w:proofErr w:type="spellStart"/>
      <w:r w:rsidRPr="00107F3F">
        <w:rPr>
          <w:sz w:val="18"/>
          <w:szCs w:val="18"/>
        </w:rPr>
        <w:t>Radiocommunication</w:t>
      </w:r>
      <w:proofErr w:type="spellEnd"/>
      <w:r w:rsidRPr="00107F3F">
        <w:rPr>
          <w:sz w:val="18"/>
          <w:szCs w:val="18"/>
        </w:rPr>
        <w:t xml:space="preserve"> Sector Members</w:t>
      </w:r>
    </w:p>
    <w:p w:rsidR="00196770" w:rsidRPr="00107F3F" w:rsidRDefault="00196770" w:rsidP="00196770">
      <w:pPr>
        <w:tabs>
          <w:tab w:val="clear" w:pos="794"/>
          <w:tab w:val="left" w:pos="284"/>
        </w:tabs>
        <w:spacing w:before="0" w:line="240" w:lineRule="auto"/>
        <w:rPr>
          <w:sz w:val="18"/>
          <w:szCs w:val="18"/>
        </w:rPr>
      </w:pPr>
      <w:r w:rsidRPr="00107F3F">
        <w:rPr>
          <w:sz w:val="18"/>
          <w:szCs w:val="18"/>
        </w:rPr>
        <w:sym w:font="Symbol" w:char="F02D"/>
      </w:r>
      <w:r w:rsidRPr="00107F3F">
        <w:rPr>
          <w:sz w:val="18"/>
          <w:szCs w:val="18"/>
        </w:rPr>
        <w:tab/>
        <w:t xml:space="preserve">Chairmen and Vice-Chairmen of </w:t>
      </w:r>
      <w:proofErr w:type="spellStart"/>
      <w:r w:rsidRPr="00107F3F">
        <w:rPr>
          <w:sz w:val="18"/>
          <w:szCs w:val="18"/>
        </w:rPr>
        <w:t>Radiocommunication</w:t>
      </w:r>
      <w:proofErr w:type="spellEnd"/>
      <w:r w:rsidRPr="00107F3F">
        <w:rPr>
          <w:sz w:val="18"/>
          <w:szCs w:val="18"/>
        </w:rPr>
        <w:t xml:space="preserve"> Study Groups and</w:t>
      </w:r>
    </w:p>
    <w:p w:rsidR="00196770" w:rsidRPr="00107F3F" w:rsidRDefault="00196770" w:rsidP="00196770">
      <w:pPr>
        <w:tabs>
          <w:tab w:val="clear" w:pos="794"/>
          <w:tab w:val="left" w:pos="284"/>
        </w:tabs>
        <w:spacing w:before="0" w:line="240" w:lineRule="auto"/>
        <w:rPr>
          <w:sz w:val="18"/>
          <w:szCs w:val="18"/>
        </w:rPr>
      </w:pPr>
      <w:r w:rsidRPr="00107F3F">
        <w:rPr>
          <w:sz w:val="18"/>
          <w:szCs w:val="18"/>
        </w:rPr>
        <w:tab/>
        <w:t>Special Committee on Regulatory/Procedural Matters</w:t>
      </w:r>
    </w:p>
    <w:p w:rsidR="00196770" w:rsidRPr="00107F3F" w:rsidRDefault="00196770" w:rsidP="00196770">
      <w:pPr>
        <w:tabs>
          <w:tab w:val="clear" w:pos="794"/>
          <w:tab w:val="left" w:pos="284"/>
        </w:tabs>
        <w:spacing w:before="0" w:line="240" w:lineRule="auto"/>
        <w:rPr>
          <w:sz w:val="18"/>
          <w:szCs w:val="18"/>
        </w:rPr>
      </w:pPr>
      <w:r w:rsidRPr="00107F3F">
        <w:rPr>
          <w:sz w:val="18"/>
          <w:szCs w:val="18"/>
        </w:rPr>
        <w:sym w:font="Symbol" w:char="F02D"/>
      </w:r>
      <w:r w:rsidRPr="00107F3F">
        <w:rPr>
          <w:sz w:val="18"/>
          <w:szCs w:val="18"/>
        </w:rPr>
        <w:tab/>
        <w:t xml:space="preserve">Chairman and Vice-Chairmen of the </w:t>
      </w:r>
      <w:proofErr w:type="spellStart"/>
      <w:r w:rsidRPr="00107F3F">
        <w:rPr>
          <w:sz w:val="18"/>
          <w:szCs w:val="18"/>
        </w:rPr>
        <w:t>Radiocommunication</w:t>
      </w:r>
      <w:proofErr w:type="spellEnd"/>
      <w:r w:rsidRPr="00107F3F">
        <w:rPr>
          <w:sz w:val="18"/>
          <w:szCs w:val="18"/>
        </w:rPr>
        <w:t xml:space="preserve"> Advisory Group</w:t>
      </w:r>
    </w:p>
    <w:p w:rsidR="00196770" w:rsidRPr="00107F3F" w:rsidRDefault="00196770" w:rsidP="00196770">
      <w:pPr>
        <w:tabs>
          <w:tab w:val="left" w:pos="284"/>
        </w:tabs>
        <w:spacing w:before="0" w:line="240" w:lineRule="auto"/>
        <w:ind w:left="284" w:hanging="284"/>
        <w:rPr>
          <w:sz w:val="18"/>
          <w:szCs w:val="18"/>
        </w:rPr>
      </w:pPr>
      <w:r w:rsidRPr="00107F3F">
        <w:rPr>
          <w:sz w:val="18"/>
          <w:szCs w:val="18"/>
        </w:rPr>
        <w:sym w:font="Symbol" w:char="F02D"/>
      </w:r>
      <w:r w:rsidRPr="00107F3F">
        <w:rPr>
          <w:sz w:val="18"/>
          <w:szCs w:val="18"/>
        </w:rPr>
        <w:tab/>
        <w:t>Chairman and Vice-Chairmen of the Conference Preparatory Meeting</w:t>
      </w:r>
    </w:p>
    <w:p w:rsidR="00196770" w:rsidRPr="00107F3F" w:rsidRDefault="00196770" w:rsidP="00196770">
      <w:pPr>
        <w:tabs>
          <w:tab w:val="clear" w:pos="794"/>
          <w:tab w:val="left" w:pos="284"/>
        </w:tabs>
        <w:spacing w:before="0" w:line="240" w:lineRule="auto"/>
        <w:rPr>
          <w:sz w:val="18"/>
          <w:szCs w:val="18"/>
        </w:rPr>
      </w:pPr>
      <w:r w:rsidRPr="00107F3F">
        <w:rPr>
          <w:sz w:val="18"/>
          <w:szCs w:val="18"/>
        </w:rPr>
        <w:sym w:font="Symbol" w:char="F02D"/>
      </w:r>
      <w:r w:rsidRPr="00107F3F">
        <w:rPr>
          <w:sz w:val="18"/>
          <w:szCs w:val="18"/>
        </w:rPr>
        <w:tab/>
        <w:t>Members of the Radio Regulations Board</w:t>
      </w:r>
    </w:p>
    <w:p w:rsidR="00196770" w:rsidRPr="00107F3F" w:rsidRDefault="00196770" w:rsidP="003A55ED">
      <w:pPr>
        <w:pStyle w:val="Footer"/>
        <w:tabs>
          <w:tab w:val="left" w:pos="284"/>
          <w:tab w:val="left" w:pos="1191"/>
          <w:tab w:val="left" w:pos="1588"/>
          <w:tab w:val="left" w:pos="1985"/>
        </w:tabs>
        <w:spacing w:before="0" w:line="240" w:lineRule="auto"/>
        <w:rPr>
          <w:caps/>
          <w:sz w:val="18"/>
          <w:szCs w:val="18"/>
        </w:rPr>
      </w:pPr>
      <w:r w:rsidRPr="00107F3F">
        <w:rPr>
          <w:caps/>
          <w:sz w:val="18"/>
          <w:szCs w:val="18"/>
        </w:rPr>
        <w:sym w:font="Symbol" w:char="F02D"/>
      </w:r>
      <w:r w:rsidRPr="00107F3F">
        <w:rPr>
          <w:caps/>
          <w:sz w:val="18"/>
          <w:szCs w:val="18"/>
        </w:rPr>
        <w:tab/>
      </w:r>
      <w:r w:rsidR="003A55ED" w:rsidRPr="00107F3F">
        <w:rPr>
          <w:sz w:val="18"/>
          <w:szCs w:val="18"/>
        </w:rPr>
        <w:t>Secretary-General of The ITU, Director of the Telecommunication Standardization Bureau</w:t>
      </w:r>
      <w:r w:rsidRPr="00107F3F">
        <w:rPr>
          <w:caps/>
          <w:sz w:val="18"/>
          <w:szCs w:val="18"/>
        </w:rPr>
        <w:t>,</w:t>
      </w:r>
    </w:p>
    <w:p w:rsidR="005269BD" w:rsidRPr="00107F3F" w:rsidRDefault="00196770" w:rsidP="00196770">
      <w:pPr>
        <w:tabs>
          <w:tab w:val="clear" w:pos="794"/>
          <w:tab w:val="left" w:pos="284"/>
        </w:tabs>
        <w:spacing w:before="0" w:line="240" w:lineRule="auto"/>
        <w:rPr>
          <w:sz w:val="18"/>
          <w:szCs w:val="18"/>
        </w:rPr>
      </w:pPr>
      <w:r w:rsidRPr="00107F3F">
        <w:rPr>
          <w:sz w:val="18"/>
          <w:szCs w:val="18"/>
        </w:rPr>
        <w:tab/>
        <w:t>Director of the Telecommunication Development Bureau</w:t>
      </w:r>
    </w:p>
    <w:p w:rsidR="005269BD" w:rsidRDefault="005269BD">
      <w:pPr>
        <w:tabs>
          <w:tab w:val="clear" w:pos="794"/>
          <w:tab w:val="clear" w:pos="1191"/>
          <w:tab w:val="clear" w:pos="1588"/>
          <w:tab w:val="clear" w:pos="1985"/>
        </w:tabs>
        <w:overflowPunct/>
        <w:autoSpaceDE/>
        <w:autoSpaceDN/>
        <w:adjustRightInd/>
        <w:spacing w:before="0" w:line="240" w:lineRule="auto"/>
        <w:jc w:val="left"/>
        <w:textAlignment w:val="auto"/>
        <w:rPr>
          <w:sz w:val="16"/>
          <w:szCs w:val="16"/>
        </w:rPr>
      </w:pPr>
      <w:r>
        <w:rPr>
          <w:sz w:val="16"/>
          <w:szCs w:val="16"/>
        </w:rPr>
        <w:br w:type="page"/>
      </w:r>
    </w:p>
    <w:tbl>
      <w:tblPr>
        <w:tblpPr w:leftFromText="180" w:rightFromText="180" w:horzAnchor="margin" w:tblpY="-615"/>
        <w:tblW w:w="10173" w:type="dxa"/>
        <w:tblLayout w:type="fixed"/>
        <w:tblLook w:val="0000" w:firstRow="0" w:lastRow="0" w:firstColumn="0" w:lastColumn="0" w:noHBand="0" w:noVBand="0"/>
      </w:tblPr>
      <w:tblGrid>
        <w:gridCol w:w="6487"/>
        <w:gridCol w:w="3402"/>
        <w:gridCol w:w="284"/>
      </w:tblGrid>
      <w:tr w:rsidR="00F5637F" w:rsidRPr="00896591" w:rsidTr="00C64A33">
        <w:trPr>
          <w:gridAfter w:val="1"/>
          <w:wAfter w:w="284" w:type="dxa"/>
          <w:cantSplit/>
        </w:trPr>
        <w:tc>
          <w:tcPr>
            <w:tcW w:w="9889" w:type="dxa"/>
            <w:gridSpan w:val="2"/>
          </w:tcPr>
          <w:p w:rsidR="00F5637F" w:rsidRDefault="00F5637F" w:rsidP="00B35BE4">
            <w:pPr>
              <w:shd w:val="solid" w:color="FFFFFF" w:fill="FFFFFF"/>
              <w:spacing w:before="0" w:line="240" w:lineRule="atLeast"/>
              <w:rPr>
                <w:noProof/>
                <w:lang w:eastAsia="zh-CN"/>
              </w:rPr>
            </w:pPr>
          </w:p>
          <w:p w:rsidR="00F5637F" w:rsidRPr="00F5637F" w:rsidRDefault="00F5637F" w:rsidP="00F5637F">
            <w:pPr>
              <w:shd w:val="solid" w:color="FFFFFF" w:fill="FFFFFF"/>
              <w:spacing w:before="0" w:line="240" w:lineRule="atLeast"/>
              <w:jc w:val="center"/>
              <w:rPr>
                <w:b/>
                <w:bCs/>
                <w:noProof/>
                <w:sz w:val="28"/>
                <w:szCs w:val="28"/>
                <w:lang w:eastAsia="zh-CN"/>
              </w:rPr>
            </w:pPr>
            <w:r w:rsidRPr="00F5637F">
              <w:rPr>
                <w:b/>
                <w:bCs/>
                <w:noProof/>
                <w:sz w:val="28"/>
                <w:szCs w:val="28"/>
                <w:lang w:eastAsia="zh-CN"/>
              </w:rPr>
              <w:t>ANNEX</w:t>
            </w:r>
          </w:p>
        </w:tc>
      </w:tr>
      <w:tr w:rsidR="005269BD" w:rsidRPr="00896591" w:rsidTr="00B54569">
        <w:trPr>
          <w:gridAfter w:val="1"/>
          <w:wAfter w:w="284" w:type="dxa"/>
          <w:cantSplit/>
        </w:trPr>
        <w:tc>
          <w:tcPr>
            <w:tcW w:w="6487" w:type="dxa"/>
          </w:tcPr>
          <w:p w:rsidR="005269BD" w:rsidRPr="00896591" w:rsidRDefault="005269BD" w:rsidP="006F3FD9">
            <w:pPr>
              <w:shd w:val="solid" w:color="FFFFFF" w:fill="FFFFFF"/>
              <w:spacing w:before="480" w:after="240"/>
              <w:jc w:val="left"/>
              <w:rPr>
                <w:rFonts w:ascii="Verdana" w:hAnsi="Verdana" w:cs="Times New Roman Bold"/>
                <w:b/>
                <w:bCs/>
              </w:rPr>
            </w:pPr>
            <w:proofErr w:type="spellStart"/>
            <w:r w:rsidRPr="00896591">
              <w:rPr>
                <w:rFonts w:ascii="Verdana" w:hAnsi="Verdana" w:cs="Times New Roman Bold"/>
                <w:b/>
                <w:sz w:val="26"/>
                <w:szCs w:val="26"/>
              </w:rPr>
              <w:t>Radiocommunication</w:t>
            </w:r>
            <w:proofErr w:type="spellEnd"/>
            <w:r w:rsidRPr="00896591">
              <w:rPr>
                <w:rFonts w:ascii="Verdana" w:hAnsi="Verdana" w:cs="Times New Roman Bold"/>
                <w:b/>
                <w:sz w:val="26"/>
                <w:szCs w:val="26"/>
              </w:rPr>
              <w:t xml:space="preserve"> Advisory Group</w:t>
            </w:r>
            <w:r w:rsidRPr="00896591">
              <w:rPr>
                <w:rFonts w:ascii="Verdana" w:hAnsi="Verdana" w:cs="Times New Roman Bold"/>
                <w:b/>
                <w:sz w:val="26"/>
                <w:szCs w:val="26"/>
              </w:rPr>
              <w:br/>
            </w:r>
            <w:r w:rsidRPr="00896591">
              <w:rPr>
                <w:rFonts w:ascii="Verdana" w:hAnsi="Verdana" w:cs="Times New Roman Bold"/>
                <w:b/>
                <w:bCs/>
                <w:sz w:val="20"/>
              </w:rPr>
              <w:t>Geneva, 22-24 May 2013</w:t>
            </w:r>
          </w:p>
        </w:tc>
        <w:tc>
          <w:tcPr>
            <w:tcW w:w="3402" w:type="dxa"/>
          </w:tcPr>
          <w:p w:rsidR="005269BD" w:rsidRPr="00896591" w:rsidRDefault="005269BD" w:rsidP="00B35BE4">
            <w:pPr>
              <w:shd w:val="solid" w:color="FFFFFF" w:fill="FFFFFF"/>
              <w:spacing w:before="0" w:line="240" w:lineRule="atLeast"/>
            </w:pPr>
            <w:r w:rsidRPr="00896591">
              <w:rPr>
                <w:noProof/>
                <w:lang w:eastAsia="zh-CN"/>
              </w:rPr>
              <w:drawing>
                <wp:inline distT="0" distB="0" distL="0" distR="0" wp14:anchorId="327A3CA3" wp14:editId="167518AD">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269BD" w:rsidRPr="00896591" w:rsidTr="00B54569">
        <w:trPr>
          <w:gridAfter w:val="1"/>
          <w:wAfter w:w="284" w:type="dxa"/>
          <w:cantSplit/>
        </w:trPr>
        <w:tc>
          <w:tcPr>
            <w:tcW w:w="6487" w:type="dxa"/>
            <w:tcBorders>
              <w:bottom w:val="single" w:sz="12" w:space="0" w:color="auto"/>
            </w:tcBorders>
          </w:tcPr>
          <w:p w:rsidR="005269BD" w:rsidRPr="00896591" w:rsidRDefault="005269BD" w:rsidP="00B35BE4">
            <w:pPr>
              <w:shd w:val="solid" w:color="FFFFFF" w:fill="FFFFFF"/>
              <w:spacing w:before="0" w:after="48"/>
              <w:rPr>
                <w:rFonts w:ascii="Verdana" w:hAnsi="Verdana" w:cs="Times New Roman Bold"/>
                <w:b/>
              </w:rPr>
            </w:pPr>
          </w:p>
        </w:tc>
        <w:tc>
          <w:tcPr>
            <w:tcW w:w="3402" w:type="dxa"/>
            <w:tcBorders>
              <w:bottom w:val="single" w:sz="12" w:space="0" w:color="auto"/>
            </w:tcBorders>
          </w:tcPr>
          <w:p w:rsidR="005269BD" w:rsidRPr="00896591" w:rsidRDefault="005269BD" w:rsidP="00B35BE4">
            <w:pPr>
              <w:shd w:val="solid" w:color="FFFFFF" w:fill="FFFFFF"/>
              <w:spacing w:before="0" w:after="48" w:line="240" w:lineRule="atLeast"/>
            </w:pPr>
          </w:p>
        </w:tc>
      </w:tr>
      <w:tr w:rsidR="005269BD" w:rsidRPr="00896591" w:rsidTr="00B54569">
        <w:trPr>
          <w:gridAfter w:val="1"/>
          <w:wAfter w:w="284" w:type="dxa"/>
          <w:cantSplit/>
        </w:trPr>
        <w:tc>
          <w:tcPr>
            <w:tcW w:w="6487" w:type="dxa"/>
            <w:tcBorders>
              <w:top w:val="single" w:sz="12" w:space="0" w:color="auto"/>
            </w:tcBorders>
          </w:tcPr>
          <w:p w:rsidR="005269BD" w:rsidRPr="00896591" w:rsidRDefault="005269BD" w:rsidP="00B35BE4">
            <w:pPr>
              <w:shd w:val="solid" w:color="FFFFFF" w:fill="FFFFFF"/>
              <w:spacing w:before="0" w:after="48"/>
              <w:rPr>
                <w:rFonts w:ascii="Verdana" w:hAnsi="Verdana" w:cs="Times New Roman Bold"/>
                <w:bCs/>
              </w:rPr>
            </w:pPr>
          </w:p>
        </w:tc>
        <w:tc>
          <w:tcPr>
            <w:tcW w:w="3402" w:type="dxa"/>
            <w:tcBorders>
              <w:top w:val="single" w:sz="12" w:space="0" w:color="auto"/>
            </w:tcBorders>
          </w:tcPr>
          <w:p w:rsidR="005269BD" w:rsidRPr="00896591" w:rsidRDefault="005269BD" w:rsidP="00B35BE4">
            <w:pPr>
              <w:shd w:val="solid" w:color="FFFFFF" w:fill="FFFFFF"/>
              <w:spacing w:before="0" w:after="48" w:line="240" w:lineRule="atLeast"/>
            </w:pPr>
          </w:p>
        </w:tc>
      </w:tr>
      <w:tr w:rsidR="005269BD" w:rsidRPr="00323BE2" w:rsidTr="00B54569">
        <w:trPr>
          <w:cantSplit/>
        </w:trPr>
        <w:tc>
          <w:tcPr>
            <w:tcW w:w="6487" w:type="dxa"/>
            <w:vMerge w:val="restart"/>
          </w:tcPr>
          <w:p w:rsidR="005269BD" w:rsidRPr="00896591" w:rsidRDefault="005269BD" w:rsidP="00B35BE4">
            <w:pPr>
              <w:shd w:val="solid" w:color="FFFFFF" w:fill="FFFFFF"/>
              <w:spacing w:after="240"/>
              <w:rPr>
                <w:sz w:val="20"/>
              </w:rPr>
            </w:pPr>
            <w:bookmarkStart w:id="1" w:name="dnum" w:colFirst="1" w:colLast="1"/>
          </w:p>
        </w:tc>
        <w:tc>
          <w:tcPr>
            <w:tcW w:w="3686" w:type="dxa"/>
            <w:gridSpan w:val="2"/>
          </w:tcPr>
          <w:p w:rsidR="005269BD" w:rsidRDefault="005269BD" w:rsidP="00B54569">
            <w:pPr>
              <w:shd w:val="solid" w:color="FFFFFF" w:fill="FFFFFF"/>
              <w:spacing w:before="0" w:line="240" w:lineRule="atLeast"/>
              <w:rPr>
                <w:rFonts w:ascii="Verdana" w:hAnsi="Verdana"/>
                <w:sz w:val="20"/>
                <w:lang w:val="fr-CH"/>
              </w:rPr>
            </w:pPr>
          </w:p>
          <w:p w:rsidR="005269BD" w:rsidRPr="00323BE2" w:rsidRDefault="005269BD" w:rsidP="00B54569">
            <w:pPr>
              <w:shd w:val="solid" w:color="FFFFFF" w:fill="FFFFFF"/>
              <w:spacing w:before="0" w:line="240" w:lineRule="atLeast"/>
              <w:rPr>
                <w:rFonts w:ascii="Verdana" w:hAnsi="Verdana"/>
                <w:sz w:val="20"/>
                <w:lang w:val="fr-CH"/>
              </w:rPr>
            </w:pPr>
          </w:p>
        </w:tc>
      </w:tr>
      <w:tr w:rsidR="005269BD" w:rsidRPr="00896591" w:rsidTr="00B54569">
        <w:trPr>
          <w:gridAfter w:val="1"/>
          <w:wAfter w:w="284" w:type="dxa"/>
          <w:cantSplit/>
        </w:trPr>
        <w:tc>
          <w:tcPr>
            <w:tcW w:w="6487" w:type="dxa"/>
            <w:vMerge/>
          </w:tcPr>
          <w:p w:rsidR="005269BD" w:rsidRPr="00323BE2" w:rsidRDefault="005269BD" w:rsidP="00B35BE4">
            <w:pPr>
              <w:spacing w:before="60"/>
              <w:jc w:val="center"/>
              <w:rPr>
                <w:b/>
                <w:smallCaps/>
                <w:sz w:val="32"/>
                <w:lang w:val="fr-CH"/>
              </w:rPr>
            </w:pPr>
            <w:bookmarkStart w:id="2" w:name="ddate" w:colFirst="1" w:colLast="1"/>
            <w:bookmarkEnd w:id="1"/>
          </w:p>
        </w:tc>
        <w:tc>
          <w:tcPr>
            <w:tcW w:w="3402" w:type="dxa"/>
          </w:tcPr>
          <w:p w:rsidR="005269BD" w:rsidRPr="00896591" w:rsidRDefault="005269BD" w:rsidP="00A02ABF">
            <w:pPr>
              <w:shd w:val="solid" w:color="FFFFFF" w:fill="FFFFFF"/>
              <w:spacing w:before="0" w:line="240" w:lineRule="atLeast"/>
              <w:rPr>
                <w:rFonts w:ascii="Verdana" w:hAnsi="Verdana"/>
                <w:sz w:val="20"/>
              </w:rPr>
            </w:pPr>
            <w:r w:rsidRPr="00896591">
              <w:rPr>
                <w:rFonts w:ascii="Verdana" w:hAnsi="Verdana"/>
                <w:b/>
                <w:sz w:val="20"/>
              </w:rPr>
              <w:t>2</w:t>
            </w:r>
            <w:r>
              <w:rPr>
                <w:rFonts w:ascii="Verdana" w:hAnsi="Verdana"/>
                <w:b/>
                <w:sz w:val="20"/>
              </w:rPr>
              <w:t>4</w:t>
            </w:r>
            <w:r w:rsidRPr="00896591">
              <w:rPr>
                <w:rFonts w:ascii="Verdana" w:hAnsi="Verdana"/>
                <w:b/>
                <w:sz w:val="20"/>
              </w:rPr>
              <w:t xml:space="preserve"> May 2013</w:t>
            </w:r>
          </w:p>
        </w:tc>
      </w:tr>
      <w:tr w:rsidR="005269BD" w:rsidRPr="00896591" w:rsidTr="00B54569">
        <w:trPr>
          <w:gridAfter w:val="1"/>
          <w:wAfter w:w="284" w:type="dxa"/>
          <w:cantSplit/>
        </w:trPr>
        <w:tc>
          <w:tcPr>
            <w:tcW w:w="6487" w:type="dxa"/>
            <w:vMerge/>
          </w:tcPr>
          <w:p w:rsidR="005269BD" w:rsidRPr="00896591" w:rsidRDefault="005269BD" w:rsidP="00B35BE4">
            <w:pPr>
              <w:spacing w:before="60"/>
              <w:jc w:val="center"/>
              <w:rPr>
                <w:b/>
                <w:smallCaps/>
                <w:sz w:val="32"/>
              </w:rPr>
            </w:pPr>
            <w:bookmarkStart w:id="3" w:name="dorlang" w:colFirst="1" w:colLast="1"/>
            <w:bookmarkEnd w:id="2"/>
          </w:p>
        </w:tc>
        <w:tc>
          <w:tcPr>
            <w:tcW w:w="3402" w:type="dxa"/>
          </w:tcPr>
          <w:p w:rsidR="005269BD" w:rsidRPr="00896591" w:rsidRDefault="005269BD" w:rsidP="00B54569">
            <w:pPr>
              <w:shd w:val="solid" w:color="FFFFFF" w:fill="FFFFFF"/>
              <w:spacing w:before="0" w:after="120" w:line="240" w:lineRule="atLeast"/>
              <w:rPr>
                <w:rFonts w:ascii="Verdana" w:hAnsi="Verdana"/>
                <w:sz w:val="20"/>
              </w:rPr>
            </w:pPr>
            <w:r w:rsidRPr="00896591">
              <w:rPr>
                <w:rFonts w:ascii="Verdana" w:hAnsi="Verdana"/>
                <w:b/>
                <w:sz w:val="20"/>
              </w:rPr>
              <w:t>English only</w:t>
            </w:r>
          </w:p>
        </w:tc>
      </w:tr>
      <w:tr w:rsidR="005269BD" w:rsidRPr="00896591" w:rsidTr="00B54569">
        <w:trPr>
          <w:gridAfter w:val="1"/>
          <w:wAfter w:w="284" w:type="dxa"/>
          <w:cantSplit/>
        </w:trPr>
        <w:tc>
          <w:tcPr>
            <w:tcW w:w="9889" w:type="dxa"/>
            <w:gridSpan w:val="2"/>
          </w:tcPr>
          <w:p w:rsidR="005269BD" w:rsidRPr="00896591" w:rsidRDefault="005269BD" w:rsidP="005B2C58">
            <w:pPr>
              <w:pStyle w:val="Source"/>
            </w:pPr>
            <w:bookmarkStart w:id="4" w:name="dsource" w:colFirst="0" w:colLast="0"/>
            <w:bookmarkEnd w:id="3"/>
          </w:p>
        </w:tc>
      </w:tr>
      <w:tr w:rsidR="005269BD" w:rsidRPr="00896591" w:rsidTr="00B54569">
        <w:trPr>
          <w:gridAfter w:val="1"/>
          <w:wAfter w:w="284" w:type="dxa"/>
          <w:cantSplit/>
        </w:trPr>
        <w:tc>
          <w:tcPr>
            <w:tcW w:w="9889" w:type="dxa"/>
            <w:gridSpan w:val="2"/>
          </w:tcPr>
          <w:p w:rsidR="005269BD" w:rsidRPr="00896591" w:rsidRDefault="005269BD" w:rsidP="005B2C58">
            <w:pPr>
              <w:pStyle w:val="Title1"/>
            </w:pPr>
            <w:bookmarkStart w:id="5" w:name="dtitle1" w:colFirst="0" w:colLast="0"/>
            <w:bookmarkEnd w:id="4"/>
            <w:r w:rsidRPr="00896591">
              <w:t xml:space="preserve">twentieth meeting of the </w:t>
            </w:r>
            <w:r>
              <w:br/>
            </w:r>
            <w:r w:rsidRPr="00896591">
              <w:t>radiocommunication advisory group</w:t>
            </w:r>
          </w:p>
        </w:tc>
      </w:tr>
      <w:bookmarkEnd w:id="5"/>
    </w:tbl>
    <w:p w:rsidR="005269BD" w:rsidRPr="00896591" w:rsidRDefault="005269BD" w:rsidP="005B2C58">
      <w:pPr>
        <w:pStyle w:val="Normalaftertitle"/>
      </w:pPr>
    </w:p>
    <w:p w:rsidR="005269BD" w:rsidRPr="00896591" w:rsidRDefault="005269BD" w:rsidP="00FA31C5">
      <w:pPr>
        <w:ind w:left="1588" w:hanging="1588"/>
        <w:jc w:val="center"/>
        <w:rPr>
          <w:u w:val="single"/>
        </w:rPr>
      </w:pPr>
      <w:r w:rsidRPr="00896591">
        <w:rPr>
          <w:sz w:val="28"/>
          <w:szCs w:val="28"/>
          <w:lang w:eastAsia="zh-CN"/>
        </w:rPr>
        <w:t>SUMMARY OF CONCLUSIONS</w:t>
      </w:r>
    </w:p>
    <w:p w:rsidR="005269BD" w:rsidRPr="00896591" w:rsidRDefault="005269BD" w:rsidP="001D0F18">
      <w:pPr>
        <w:ind w:left="1588" w:hanging="1588"/>
        <w:rPr>
          <w:u w:val="single"/>
        </w:rPr>
      </w:pPr>
    </w:p>
    <w:p w:rsidR="005269BD" w:rsidRPr="00896591" w:rsidRDefault="005269BD">
      <w:pPr>
        <w:rPr>
          <w:lang w:eastAsia="zh-CN"/>
        </w:rPr>
      </w:pPr>
    </w:p>
    <w:p w:rsidR="005269BD" w:rsidRPr="00896591" w:rsidRDefault="005269BD">
      <w:pPr>
        <w:rPr>
          <w:lang w:eastAsia="zh-CN"/>
        </w:rPr>
        <w:sectPr w:rsidR="005269BD" w:rsidRPr="00896591" w:rsidSect="007D216A">
          <w:headerReference w:type="even" r:id="rId11"/>
          <w:headerReference w:type="default" r:id="rId12"/>
          <w:footerReference w:type="default" r:id="rId13"/>
          <w:headerReference w:type="first" r:id="rId14"/>
          <w:footerReference w:type="first" r:id="rId15"/>
          <w:pgSz w:w="11907" w:h="16834" w:code="9"/>
          <w:pgMar w:top="1418" w:right="1134" w:bottom="992" w:left="1134" w:header="567" w:footer="397" w:gutter="0"/>
          <w:cols w:space="720"/>
          <w:titlePg/>
        </w:sectPr>
      </w:pPr>
    </w:p>
    <w:p w:rsidR="005269BD" w:rsidRPr="00896591" w:rsidRDefault="005269BD" w:rsidP="006F1E8E">
      <w:pPr>
        <w:spacing w:before="0"/>
        <w:ind w:left="1588" w:hanging="1588"/>
        <w:jc w:val="center"/>
        <w:rPr>
          <w:u w:val="single"/>
        </w:rPr>
      </w:pPr>
      <w:r w:rsidRPr="00896591">
        <w:rPr>
          <w:sz w:val="28"/>
          <w:szCs w:val="28"/>
          <w:lang w:eastAsia="zh-CN"/>
        </w:rPr>
        <w:lastRenderedPageBreak/>
        <w:t>SUMMARY OF CONCLUSIONS</w:t>
      </w:r>
    </w:p>
    <w:p w:rsidR="005269BD" w:rsidRPr="00896591" w:rsidRDefault="005269BD"/>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256"/>
        <w:gridCol w:w="9785"/>
      </w:tblGrid>
      <w:tr w:rsidR="005269BD" w:rsidRPr="00896591" w:rsidTr="005F495E">
        <w:trPr>
          <w:tblHeader/>
          <w:jc w:val="center"/>
        </w:trPr>
        <w:tc>
          <w:tcPr>
            <w:tcW w:w="1037" w:type="dxa"/>
            <w:vAlign w:val="center"/>
          </w:tcPr>
          <w:p w:rsidR="005269BD" w:rsidRPr="00896591" w:rsidRDefault="005269BD" w:rsidP="00AB2C3B">
            <w:pPr>
              <w:pStyle w:val="Tablehead"/>
            </w:pPr>
            <w:r w:rsidRPr="00896591">
              <w:br w:type="page"/>
              <w:t>Agenda Item</w:t>
            </w:r>
            <w:r w:rsidRPr="00896591">
              <w:br/>
              <w:t>No.</w:t>
            </w:r>
          </w:p>
        </w:tc>
        <w:tc>
          <w:tcPr>
            <w:tcW w:w="3256" w:type="dxa"/>
            <w:vAlign w:val="center"/>
          </w:tcPr>
          <w:p w:rsidR="005269BD" w:rsidRPr="00896591" w:rsidRDefault="005269BD" w:rsidP="00AB2C3B">
            <w:pPr>
              <w:pStyle w:val="Tablehead"/>
            </w:pPr>
            <w:r w:rsidRPr="00896591">
              <w:t>Subject</w:t>
            </w:r>
          </w:p>
        </w:tc>
        <w:tc>
          <w:tcPr>
            <w:tcW w:w="9785" w:type="dxa"/>
            <w:vAlign w:val="center"/>
          </w:tcPr>
          <w:p w:rsidR="005269BD" w:rsidRPr="00896591" w:rsidRDefault="005269BD" w:rsidP="00AB2C3B">
            <w:pPr>
              <w:pStyle w:val="Tablehead"/>
            </w:pPr>
            <w:r w:rsidRPr="00896591">
              <w:t>Conclusions</w:t>
            </w:r>
          </w:p>
        </w:tc>
      </w:tr>
      <w:tr w:rsidR="005269BD" w:rsidRPr="00896591" w:rsidTr="005F495E">
        <w:trPr>
          <w:jc w:val="center"/>
        </w:trPr>
        <w:tc>
          <w:tcPr>
            <w:tcW w:w="1037" w:type="dxa"/>
          </w:tcPr>
          <w:p w:rsidR="005269BD" w:rsidRPr="00896591" w:rsidRDefault="005269BD" w:rsidP="00E43D51">
            <w:pPr>
              <w:pStyle w:val="Tabletext"/>
              <w:jc w:val="center"/>
            </w:pPr>
            <w:r w:rsidRPr="00896591">
              <w:t>2</w:t>
            </w:r>
          </w:p>
        </w:tc>
        <w:tc>
          <w:tcPr>
            <w:tcW w:w="3256" w:type="dxa"/>
          </w:tcPr>
          <w:p w:rsidR="005269BD" w:rsidRPr="00896591" w:rsidRDefault="005269BD" w:rsidP="00E43D51">
            <w:pPr>
              <w:pStyle w:val="Tabletext"/>
            </w:pPr>
            <w:r w:rsidRPr="00896591">
              <w:t>Chairman’s election (CV244)</w:t>
            </w:r>
          </w:p>
        </w:tc>
        <w:tc>
          <w:tcPr>
            <w:tcW w:w="9785" w:type="dxa"/>
          </w:tcPr>
          <w:p w:rsidR="005269BD" w:rsidRPr="00896591" w:rsidRDefault="005269BD" w:rsidP="00E43D51">
            <w:pPr>
              <w:pStyle w:val="Tabletext"/>
            </w:pPr>
            <w:r w:rsidRPr="00896591">
              <w:t>In accordance with the provisions of CV244 and Resolution ITU</w:t>
            </w:r>
            <w:r w:rsidRPr="00896591">
              <w:noBreakHyphen/>
              <w:t xml:space="preserve">R 15, RAG elected </w:t>
            </w:r>
            <w:proofErr w:type="spellStart"/>
            <w:r w:rsidRPr="00896591">
              <w:t>Mr</w:t>
            </w:r>
            <w:proofErr w:type="spellEnd"/>
            <w:r w:rsidRPr="00896591">
              <w:t xml:space="preserve"> Daniel </w:t>
            </w:r>
            <w:proofErr w:type="spellStart"/>
            <w:r w:rsidRPr="00896591">
              <w:t>Obam</w:t>
            </w:r>
            <w:proofErr w:type="spellEnd"/>
            <w:r w:rsidRPr="00896591">
              <w:t xml:space="preserve"> (Kenya) as Chairman of the RAG and expressed its appreciation for the work done by </w:t>
            </w:r>
            <w:proofErr w:type="spellStart"/>
            <w:r w:rsidRPr="00896591">
              <w:t>Mr</w:t>
            </w:r>
            <w:proofErr w:type="spellEnd"/>
            <w:r w:rsidRPr="00896591">
              <w:t xml:space="preserve"> Bashir </w:t>
            </w:r>
            <w:proofErr w:type="spellStart"/>
            <w:r w:rsidRPr="00896591">
              <w:t>Gwandu</w:t>
            </w:r>
            <w:proofErr w:type="spellEnd"/>
            <w:r w:rsidRPr="00896591">
              <w:t xml:space="preserve"> (Nigeria) during his term in office as previous RAG Chairman.</w:t>
            </w:r>
          </w:p>
        </w:tc>
      </w:tr>
      <w:tr w:rsidR="005269BD" w:rsidRPr="00896591" w:rsidTr="00604914">
        <w:trPr>
          <w:jc w:val="center"/>
        </w:trPr>
        <w:tc>
          <w:tcPr>
            <w:tcW w:w="1037" w:type="dxa"/>
          </w:tcPr>
          <w:p w:rsidR="005269BD" w:rsidRPr="00896591" w:rsidRDefault="005269BD" w:rsidP="00E43D51">
            <w:pPr>
              <w:pStyle w:val="Tabletext"/>
              <w:jc w:val="center"/>
            </w:pPr>
            <w:r w:rsidRPr="00896591">
              <w:t>4</w:t>
            </w:r>
          </w:p>
        </w:tc>
        <w:tc>
          <w:tcPr>
            <w:tcW w:w="3256" w:type="dxa"/>
          </w:tcPr>
          <w:p w:rsidR="005269BD" w:rsidRPr="00896591" w:rsidRDefault="005269BD" w:rsidP="00E43D51">
            <w:pPr>
              <w:pStyle w:val="Tabletext"/>
            </w:pPr>
            <w:r w:rsidRPr="00896591">
              <w:t xml:space="preserve">Council issues </w:t>
            </w:r>
          </w:p>
          <w:p w:rsidR="005269BD" w:rsidRPr="00896591" w:rsidRDefault="005269BD" w:rsidP="00E43D51">
            <w:pPr>
              <w:pStyle w:val="Tabletext"/>
              <w:rPr>
                <w:i/>
              </w:rPr>
            </w:pPr>
            <w:r w:rsidRPr="00896591">
              <w:rPr>
                <w:i/>
              </w:rPr>
              <w:t>(Doc. RAG13-1/1)</w:t>
            </w:r>
          </w:p>
        </w:tc>
        <w:tc>
          <w:tcPr>
            <w:tcW w:w="9785" w:type="dxa"/>
            <w:tcBorders>
              <w:bottom w:val="single" w:sz="6" w:space="0" w:color="auto"/>
            </w:tcBorders>
          </w:tcPr>
          <w:p w:rsidR="005269BD" w:rsidRPr="00896591" w:rsidRDefault="005269BD" w:rsidP="00E43D51">
            <w:pPr>
              <w:pStyle w:val="Tabletext"/>
            </w:pPr>
            <w:r w:rsidRPr="00896591">
              <w:t>RAG noted the information provided in the Director’s Report on several Council issues related to ITU</w:t>
            </w:r>
            <w:r w:rsidRPr="00896591">
              <w:noBreakHyphen/>
              <w:t>R, including satellite matters, and conformance and interoperability.</w:t>
            </w:r>
          </w:p>
          <w:p w:rsidR="005269BD" w:rsidRPr="00896591" w:rsidRDefault="005269BD" w:rsidP="00E43D51">
            <w:pPr>
              <w:pStyle w:val="Tabletext"/>
            </w:pPr>
            <w:r w:rsidRPr="00896591">
              <w:t xml:space="preserve">RAG noted that the baseline draft budget for 2014-2015 submitted for the consideration of the forthcoming Council meeting does not include the RA/WRC events which Council decided should take place in 2015 (see Council Resolution 1343). RAG invited the Director to </w:t>
            </w:r>
            <w:r>
              <w:t>convey</w:t>
            </w:r>
            <w:r w:rsidRPr="00896591">
              <w:t xml:space="preserve"> to Council the views of RAG members that these events should be maintained as scheduled</w:t>
            </w:r>
            <w:r>
              <w:t xml:space="preserve"> to the extent practicable</w:t>
            </w:r>
            <w:r w:rsidRPr="00896591">
              <w:t>.</w:t>
            </w:r>
          </w:p>
          <w:p w:rsidR="005269BD" w:rsidRPr="00896591" w:rsidRDefault="005269BD" w:rsidP="00E43D51">
            <w:pPr>
              <w:pStyle w:val="Tabletext"/>
            </w:pPr>
            <w:r w:rsidRPr="00896591">
              <w:t>RAG considered the information provided on the sales statistics of the Radio Regulations 2012 publication compared to the 2008 edition. It was noted that, contrary to expectations, the quantity of sales of DVD and paper versions of the RR increased. In view of that, RAG noted that the free online access does not seem to have produced any negative impact on the sales of the paper or DVD versions of the RR. RAG noted that the free online access to the RR also allows for a greater visibility of and access to that treaty. In addition to the quantitative assessment, RAG requested the Director to undertake a qualitative analysis of those downloading RR based on their profiles, and report on the results to the next meeting.</w:t>
            </w:r>
          </w:p>
          <w:p w:rsidR="005269BD" w:rsidRPr="00896591" w:rsidRDefault="005269BD" w:rsidP="00E43D51">
            <w:pPr>
              <w:pStyle w:val="Tabletext"/>
            </w:pPr>
            <w:r w:rsidRPr="00896591">
              <w:t>RAG invited the Director to consider the possibility of making the ITU</w:t>
            </w:r>
            <w:r w:rsidRPr="00896591">
              <w:noBreakHyphen/>
              <w:t>R mandatory service publication free or on a cost-recovery basis.</w:t>
            </w:r>
          </w:p>
          <w:p w:rsidR="005269BD" w:rsidRPr="00896591" w:rsidRDefault="005269BD" w:rsidP="00E43D51">
            <w:pPr>
              <w:pStyle w:val="Tabletext"/>
            </w:pPr>
            <w:r w:rsidRPr="00896591">
              <w:t xml:space="preserve">At its 19th meeting (2012), RAG had </w:t>
            </w:r>
            <w:r>
              <w:t>invited</w:t>
            </w:r>
            <w:r w:rsidRPr="00896591">
              <w:t xml:space="preserve"> the Director to examine the possibility of giving free online access to the three spectrum management handbooks. RAG noted the information provided by the Director on the financial impact of this measure and concluded that the cost/benefits assessment would be favourable. RAG therefore </w:t>
            </w:r>
            <w:r>
              <w:t>invited</w:t>
            </w:r>
            <w:r w:rsidRPr="00896591">
              <w:t xml:space="preserve"> the Director to </w:t>
            </w:r>
            <w:r>
              <w:t>inform Council of the financial evaluation which was carried out for taking appropriate action to implement this measure</w:t>
            </w:r>
            <w:r w:rsidRPr="00896591">
              <w:t>.</w:t>
            </w:r>
          </w:p>
        </w:tc>
      </w:tr>
    </w:tbl>
    <w:p w:rsidR="005269BD" w:rsidRDefault="005269BD">
      <w:r>
        <w:br w:type="page"/>
      </w:r>
    </w:p>
    <w:tbl>
      <w:tblPr>
        <w:tblStyle w:val="TableGrid"/>
        <w:tblW w:w="14078" w:type="dxa"/>
        <w:tblLayout w:type="fixed"/>
        <w:tblLook w:val="0000" w:firstRow="0" w:lastRow="0" w:firstColumn="0" w:lastColumn="0" w:noHBand="0" w:noVBand="0"/>
      </w:tblPr>
      <w:tblGrid>
        <w:gridCol w:w="1037"/>
        <w:gridCol w:w="3256"/>
        <w:gridCol w:w="9785"/>
      </w:tblGrid>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lastRenderedPageBreak/>
              <w:t>5</w:t>
            </w:r>
          </w:p>
        </w:tc>
        <w:tc>
          <w:tcPr>
            <w:tcW w:w="3256" w:type="dxa"/>
          </w:tcPr>
          <w:p w:rsidR="005269BD" w:rsidRPr="009B4D73" w:rsidRDefault="005269BD" w:rsidP="00E43D51">
            <w:pPr>
              <w:pStyle w:val="Tabletext"/>
              <w:rPr>
                <w:rFonts w:cstheme="minorHAnsi"/>
                <w:szCs w:val="20"/>
              </w:rPr>
            </w:pPr>
            <w:r w:rsidRPr="009B4D73">
              <w:rPr>
                <w:rFonts w:cstheme="minorHAnsi"/>
                <w:szCs w:val="20"/>
              </w:rPr>
              <w:t>Study Group issues</w:t>
            </w:r>
          </w:p>
          <w:p w:rsidR="005269BD" w:rsidRPr="009B4D73" w:rsidRDefault="005269BD" w:rsidP="00E43D51">
            <w:pPr>
              <w:pStyle w:val="Tabletext"/>
              <w:rPr>
                <w:rFonts w:cstheme="minorHAnsi"/>
                <w:i/>
                <w:iCs/>
                <w:szCs w:val="20"/>
              </w:rPr>
            </w:pPr>
            <w:r w:rsidRPr="009B4D73">
              <w:rPr>
                <w:rFonts w:cstheme="minorHAnsi"/>
                <w:i/>
                <w:iCs/>
                <w:szCs w:val="20"/>
              </w:rPr>
              <w:t>(Docs. RAG13-1/1(§ 4.1, Add.1), 2, 4, 7, 8, 10, 11, 12, 16, 19, 20)</w:t>
            </w:r>
          </w:p>
        </w:tc>
        <w:tc>
          <w:tcPr>
            <w:tcW w:w="9785" w:type="dxa"/>
          </w:tcPr>
          <w:p w:rsidR="005269BD" w:rsidRPr="009B4D73" w:rsidRDefault="005269BD" w:rsidP="00E43D51">
            <w:pPr>
              <w:shd w:val="clear" w:color="auto" w:fill="FFFFFF"/>
              <w:spacing w:before="40" w:after="40" w:line="240" w:lineRule="auto"/>
              <w:rPr>
                <w:rFonts w:eastAsia="Dotum" w:cstheme="minorHAnsi"/>
                <w:sz w:val="20"/>
                <w:szCs w:val="20"/>
              </w:rPr>
            </w:pPr>
            <w:r w:rsidRPr="009B4D73">
              <w:rPr>
                <w:rFonts w:cstheme="minorHAnsi"/>
                <w:sz w:val="20"/>
                <w:szCs w:val="20"/>
              </w:rPr>
              <w:t>RAG noted the revised version of the Working Guidelines presented in Doc. RAG13-1/10. RAG also noted that the Working Guidelines could be updated more frequently to take into account any conclusions of RAG regarding working methods, and that duplication of text already contained in Resolution ITU</w:t>
            </w:r>
            <w:r w:rsidRPr="009B4D73">
              <w:rPr>
                <w:rFonts w:cstheme="minorHAnsi"/>
                <w:sz w:val="20"/>
                <w:szCs w:val="20"/>
              </w:rPr>
              <w:noBreakHyphen/>
              <w:t>R 1 should be avoided in future revisions of the guidelines. RAG invited the Director to provide quick links to the guidelines including revision history, the template of contribution and format of Recommendations (see the Annex to Doc. 14) on the main web page of each Working Party, Study Group in order to improve accessibility of useful information.</w:t>
            </w:r>
          </w:p>
          <w:p w:rsidR="005269BD" w:rsidRPr="009B4D73" w:rsidRDefault="005269BD" w:rsidP="00E43D51">
            <w:pPr>
              <w:pStyle w:val="Tabletext"/>
              <w:rPr>
                <w:rFonts w:cstheme="minorHAnsi"/>
                <w:szCs w:val="20"/>
              </w:rPr>
            </w:pPr>
            <w:r w:rsidRPr="009B4D73">
              <w:rPr>
                <w:rFonts w:cstheme="minorHAnsi"/>
                <w:szCs w:val="20"/>
              </w:rPr>
              <w:t>RAG noted that “as received” versions of contributions to meetings are being posted as soon as they are received by BR and that BR is planning to implement a system to enable membership, subject to suitable authorization, to directly upload their own contributions to the “as received” webpage.</w:t>
            </w:r>
          </w:p>
          <w:p w:rsidR="005269BD" w:rsidRPr="009B4D73" w:rsidRDefault="005269BD" w:rsidP="00E43D51">
            <w:pPr>
              <w:pStyle w:val="Tabletext"/>
              <w:rPr>
                <w:rFonts w:cstheme="minorHAnsi"/>
                <w:szCs w:val="20"/>
              </w:rPr>
            </w:pPr>
            <w:r w:rsidRPr="009B4D73">
              <w:rPr>
                <w:rFonts w:cstheme="minorHAnsi"/>
                <w:szCs w:val="20"/>
              </w:rPr>
              <w:t xml:space="preserve">RAG noted that in accordance with No. 92 of the ITU Constitution, decisions of a </w:t>
            </w:r>
            <w:proofErr w:type="spellStart"/>
            <w:r w:rsidRPr="009B4D73">
              <w:rPr>
                <w:rFonts w:cstheme="minorHAnsi"/>
                <w:szCs w:val="20"/>
              </w:rPr>
              <w:t>Radiocommunication</w:t>
            </w:r>
            <w:proofErr w:type="spellEnd"/>
            <w:r w:rsidRPr="009B4D73">
              <w:rPr>
                <w:rFonts w:cstheme="minorHAnsi"/>
                <w:szCs w:val="20"/>
              </w:rPr>
              <w:t xml:space="preserve"> Assembly shall be in conformity with the ITU Constitution, Convention and the Radio Regulations.</w:t>
            </w:r>
          </w:p>
          <w:p w:rsidR="005269BD" w:rsidRPr="009B4D73" w:rsidRDefault="005269BD" w:rsidP="00E43D51">
            <w:pPr>
              <w:pStyle w:val="Tabletext"/>
              <w:rPr>
                <w:rFonts w:cstheme="minorHAnsi"/>
                <w:szCs w:val="20"/>
              </w:rPr>
            </w:pPr>
            <w:r w:rsidRPr="009B4D73">
              <w:rPr>
                <w:rFonts w:cstheme="minorHAnsi"/>
                <w:szCs w:val="20"/>
              </w:rPr>
              <w:t>RAG noted the ongoing enhancements to electronic working methods being introduced by BR.</w:t>
            </w:r>
          </w:p>
          <w:p w:rsidR="005269BD" w:rsidRPr="009B4D73" w:rsidRDefault="005269BD" w:rsidP="00E43D51">
            <w:pPr>
              <w:pStyle w:val="Tabletext"/>
              <w:rPr>
                <w:rFonts w:cstheme="minorHAnsi"/>
                <w:szCs w:val="20"/>
              </w:rPr>
            </w:pPr>
            <w:r w:rsidRPr="009B4D73">
              <w:rPr>
                <w:rFonts w:cstheme="minorHAnsi"/>
                <w:szCs w:val="20"/>
              </w:rPr>
              <w:t>RAG considered experience gained with remote participation, noting that availability of remote participation at meetings held outside Geneva is also desirable. RAG invited the Director to improve the existing guideline on minimum requirements for remote participation and the need to make it more visible.</w:t>
            </w:r>
          </w:p>
          <w:p w:rsidR="005269BD" w:rsidRPr="009B4D73" w:rsidRDefault="005269BD" w:rsidP="00E43D51">
            <w:pPr>
              <w:pStyle w:val="Tabletext"/>
              <w:rPr>
                <w:rFonts w:cstheme="minorHAnsi"/>
                <w:szCs w:val="20"/>
              </w:rPr>
            </w:pPr>
            <w:r w:rsidRPr="009B4D73">
              <w:rPr>
                <w:rFonts w:cstheme="minorHAnsi"/>
                <w:szCs w:val="20"/>
              </w:rPr>
              <w:t xml:space="preserve">RAG invited the Director to continue development of the Recommendations database search facility and to include a field indicating which Recommendations are incorporated by reference in the Radio Regulations, possibly indicating in which RR provisions they are referenced. RAG also invited the Study Groups to review which services and frequency bands are applicable to the Recommendations under their responsibility and to advise BR accordingly, and to consider developing lists of systems/applications or general topics that could be used to further classify the Recommendations. </w:t>
            </w:r>
          </w:p>
          <w:p w:rsidR="005269BD" w:rsidRPr="009B4D73" w:rsidRDefault="005269BD" w:rsidP="00E43D51">
            <w:pPr>
              <w:pStyle w:val="Tabletext"/>
              <w:rPr>
                <w:rFonts w:cstheme="minorHAnsi"/>
                <w:szCs w:val="20"/>
                <w:lang w:eastAsia="ru-RU"/>
              </w:rPr>
            </w:pPr>
            <w:r w:rsidRPr="009B4D73">
              <w:rPr>
                <w:rFonts w:cstheme="minorHAnsi"/>
                <w:szCs w:val="20"/>
              </w:rPr>
              <w:t>RAG noted the provision made for Inter-Sector Rapporteur Groups (IRGs) in Annex C of WTSA Resolution 18 and, pending approval of corresponding provisions in Resolution ITU</w:t>
            </w:r>
            <w:r w:rsidRPr="009B4D73">
              <w:rPr>
                <w:rFonts w:cstheme="minorHAnsi"/>
                <w:szCs w:val="20"/>
              </w:rPr>
              <w:noBreakHyphen/>
              <w:t>R 6, advised that on an  interim basis IRGs could be established between ITU</w:t>
            </w:r>
            <w:r w:rsidRPr="009B4D73">
              <w:rPr>
                <w:rFonts w:cstheme="minorHAnsi"/>
                <w:szCs w:val="20"/>
              </w:rPr>
              <w:noBreakHyphen/>
              <w:t>R SG 6 and ITU</w:t>
            </w:r>
            <w:r w:rsidRPr="009B4D73">
              <w:rPr>
                <w:rFonts w:cstheme="minorHAnsi"/>
                <w:szCs w:val="20"/>
              </w:rPr>
              <w:noBreakHyphen/>
              <w:t>T SG 9 for joint studies on topics such as  audiovisual quality assessment and between ITU</w:t>
            </w:r>
            <w:r w:rsidRPr="009B4D73">
              <w:rPr>
                <w:rFonts w:cstheme="minorHAnsi"/>
                <w:szCs w:val="20"/>
              </w:rPr>
              <w:noBreakHyphen/>
              <w:t>R SG 6 and ITU</w:t>
            </w:r>
            <w:r w:rsidRPr="009B4D73">
              <w:rPr>
                <w:rFonts w:cstheme="minorHAnsi"/>
                <w:szCs w:val="20"/>
              </w:rPr>
              <w:noBreakHyphen/>
              <w:t>T SG 12 on audiovisual metadata, and with other matters with ITU-T as appropriate. The Director was invited to prepare a liaison to TSAG to inform ITU</w:t>
            </w:r>
            <w:r w:rsidRPr="009B4D73">
              <w:rPr>
                <w:rFonts w:cstheme="minorHAnsi"/>
                <w:szCs w:val="20"/>
              </w:rPr>
              <w:noBreakHyphen/>
              <w:t>T of this conclusion. Other Study Groups might follow this example on an interim basis in consultation with the Director of BR. RAG supported a</w:t>
            </w:r>
            <w:r w:rsidRPr="009B4D73">
              <w:rPr>
                <w:rFonts w:cstheme="minorHAnsi"/>
                <w:bCs/>
                <w:iCs/>
                <w:szCs w:val="20"/>
              </w:rPr>
              <w:t xml:space="preserve"> </w:t>
            </w:r>
            <w:r w:rsidRPr="009B4D73">
              <w:rPr>
                <w:rFonts w:cstheme="minorHAnsi"/>
                <w:szCs w:val="20"/>
              </w:rPr>
              <w:t>proposal from the CCV t</w:t>
            </w:r>
            <w:r w:rsidRPr="009B4D73">
              <w:rPr>
                <w:rFonts w:cstheme="minorHAnsi"/>
                <w:szCs w:val="20"/>
                <w:lang w:eastAsia="ru-RU"/>
              </w:rPr>
              <w:t xml:space="preserve">o conduct the </w:t>
            </w:r>
            <w:r w:rsidRPr="009B4D73">
              <w:rPr>
                <w:rFonts w:cstheme="minorHAnsi"/>
                <w:szCs w:val="20"/>
              </w:rPr>
              <w:t>ITU</w:t>
            </w:r>
            <w:r w:rsidRPr="009B4D73">
              <w:rPr>
                <w:rFonts w:cstheme="minorHAnsi"/>
                <w:szCs w:val="20"/>
              </w:rPr>
              <w:noBreakHyphen/>
              <w:t xml:space="preserve">R </w:t>
            </w:r>
            <w:r w:rsidRPr="009B4D73">
              <w:rPr>
                <w:rFonts w:cstheme="minorHAnsi"/>
                <w:szCs w:val="20"/>
                <w:lang w:eastAsia="ru-RU"/>
              </w:rPr>
              <w:t xml:space="preserve">CCV and </w:t>
            </w:r>
            <w:r w:rsidRPr="009B4D73">
              <w:rPr>
                <w:rFonts w:cstheme="minorHAnsi"/>
                <w:szCs w:val="20"/>
              </w:rPr>
              <w:t>ITU</w:t>
            </w:r>
            <w:r w:rsidRPr="009B4D73">
              <w:rPr>
                <w:rFonts w:cstheme="minorHAnsi"/>
                <w:szCs w:val="20"/>
              </w:rPr>
              <w:noBreakHyphen/>
              <w:t xml:space="preserve">T </w:t>
            </w:r>
            <w:r w:rsidRPr="009B4D73">
              <w:rPr>
                <w:rFonts w:cstheme="minorHAnsi"/>
                <w:szCs w:val="20"/>
                <w:lang w:eastAsia="ru-RU"/>
              </w:rPr>
              <w:t>SCV meetings jointly, with extensive use of electronic methods.</w:t>
            </w:r>
          </w:p>
          <w:p w:rsidR="005269BD" w:rsidRPr="009B4D73" w:rsidRDefault="005269BD" w:rsidP="00E43D51">
            <w:pPr>
              <w:pStyle w:val="Tabletext"/>
              <w:rPr>
                <w:rFonts w:cstheme="minorHAnsi"/>
                <w:szCs w:val="20"/>
                <w:lang w:eastAsia="ru-RU"/>
              </w:rPr>
            </w:pPr>
            <w:r w:rsidRPr="009B4D73">
              <w:rPr>
                <w:rFonts w:cstheme="minorHAnsi"/>
                <w:szCs w:val="20"/>
                <w:lang w:eastAsia="ru-RU"/>
              </w:rPr>
              <w:t>RAG noted the written and oral reports from Study Groups 1, 4, 5 and 6 on activities related to the implementation of ITU</w:t>
            </w:r>
            <w:r w:rsidRPr="009B4D73">
              <w:rPr>
                <w:rFonts w:cstheme="minorHAnsi"/>
                <w:szCs w:val="20"/>
                <w:lang w:eastAsia="ru-RU"/>
              </w:rPr>
              <w:noBreakHyphen/>
              <w:t>R Resolutions and encouraged the Study Group Chairmen to continue to report on these activities to the RAG.</w:t>
            </w:r>
          </w:p>
          <w:p w:rsidR="005269BD" w:rsidRPr="009B4D73" w:rsidRDefault="005269BD" w:rsidP="00E43D51">
            <w:pPr>
              <w:pStyle w:val="PlainText"/>
              <w:spacing w:before="40" w:after="40"/>
              <w:rPr>
                <w:rFonts w:cstheme="minorHAnsi"/>
                <w:sz w:val="20"/>
                <w:szCs w:val="20"/>
              </w:rPr>
            </w:pPr>
            <w:r w:rsidRPr="009B4D73">
              <w:rPr>
                <w:rFonts w:cstheme="minorHAnsi"/>
                <w:sz w:val="20"/>
                <w:szCs w:val="20"/>
              </w:rPr>
              <w:t>Regarding the implementation of Resolution ITU-R 59 on Electronic News Gathering (ENG), RAG recalled that administrations are encouraged to provide the BR with URL links of their national webpages prepared in order to provide guidance for ENG users; RAG advised the Director to create a webpage to consolidate those links.</w:t>
            </w:r>
          </w:p>
          <w:p w:rsidR="005269BD" w:rsidRPr="009B4D73" w:rsidRDefault="005269BD" w:rsidP="00E43D51">
            <w:pPr>
              <w:pStyle w:val="Tabletext"/>
              <w:rPr>
                <w:rFonts w:cstheme="minorHAnsi"/>
                <w:szCs w:val="20"/>
                <w:lang w:eastAsia="ru-RU"/>
              </w:rPr>
            </w:pPr>
            <w:r w:rsidRPr="009B4D73">
              <w:rPr>
                <w:rFonts w:cstheme="minorHAnsi"/>
                <w:szCs w:val="20"/>
              </w:rPr>
              <w:t>RAG noted the presentation by TSB on the outcomes of WTSA-12.</w:t>
            </w: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lastRenderedPageBreak/>
              <w:t>5.1</w:t>
            </w:r>
          </w:p>
        </w:tc>
        <w:tc>
          <w:tcPr>
            <w:tcW w:w="3256" w:type="dxa"/>
          </w:tcPr>
          <w:p w:rsidR="005269BD" w:rsidRPr="009B4D73" w:rsidRDefault="005269BD" w:rsidP="00E43D51">
            <w:pPr>
              <w:pStyle w:val="Tabletext"/>
              <w:rPr>
                <w:rFonts w:cstheme="minorHAnsi"/>
                <w:szCs w:val="20"/>
              </w:rPr>
            </w:pPr>
            <w:r w:rsidRPr="009B4D73">
              <w:rPr>
                <w:rFonts w:cstheme="minorHAnsi"/>
                <w:szCs w:val="20"/>
              </w:rPr>
              <w:t>Reports from the RAG Correspondence Groups</w:t>
            </w:r>
          </w:p>
        </w:tc>
        <w:tc>
          <w:tcPr>
            <w:tcW w:w="9785" w:type="dxa"/>
          </w:tcPr>
          <w:p w:rsidR="005269BD" w:rsidRPr="009B4D73" w:rsidRDefault="005269BD" w:rsidP="00E43D51">
            <w:pPr>
              <w:pStyle w:val="Tabletext"/>
              <w:jc w:val="center"/>
              <w:rPr>
                <w:rFonts w:cstheme="minorHAnsi"/>
                <w:szCs w:val="20"/>
              </w:rPr>
            </w:pPr>
            <w:r w:rsidRPr="009B4D73">
              <w:rPr>
                <w:rFonts w:cstheme="minorHAnsi"/>
                <w:szCs w:val="20"/>
              </w:rPr>
              <w:t>-</w:t>
            </w: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t>5.1.1</w:t>
            </w:r>
          </w:p>
        </w:tc>
        <w:tc>
          <w:tcPr>
            <w:tcW w:w="3256" w:type="dxa"/>
          </w:tcPr>
          <w:p w:rsidR="005269BD" w:rsidRPr="009B4D73" w:rsidRDefault="005269BD" w:rsidP="00E43D51">
            <w:pPr>
              <w:pStyle w:val="Tabletext"/>
              <w:rPr>
                <w:rFonts w:cstheme="minorHAnsi"/>
                <w:szCs w:val="20"/>
              </w:rPr>
            </w:pPr>
            <w:r w:rsidRPr="009B4D73">
              <w:rPr>
                <w:rFonts w:cstheme="minorHAnsi"/>
                <w:szCs w:val="20"/>
              </w:rPr>
              <w:t>Electronic Document Handling</w:t>
            </w:r>
          </w:p>
          <w:p w:rsidR="005269BD" w:rsidRPr="009B4D73" w:rsidRDefault="005269BD" w:rsidP="00E43D51">
            <w:pPr>
              <w:pStyle w:val="Tabletext"/>
              <w:rPr>
                <w:rFonts w:cstheme="minorHAnsi"/>
                <w:szCs w:val="20"/>
              </w:rPr>
            </w:pPr>
            <w:r w:rsidRPr="009B4D73">
              <w:rPr>
                <w:rFonts w:cstheme="minorHAnsi"/>
                <w:i/>
                <w:szCs w:val="20"/>
              </w:rPr>
              <w:t>(Doc. RAG13-1/6)</w:t>
            </w:r>
          </w:p>
        </w:tc>
        <w:tc>
          <w:tcPr>
            <w:tcW w:w="9785" w:type="dxa"/>
          </w:tcPr>
          <w:p w:rsidR="005269BD" w:rsidRPr="009B4D73" w:rsidRDefault="005269BD" w:rsidP="00E43D51">
            <w:pPr>
              <w:pStyle w:val="Tabletext"/>
              <w:rPr>
                <w:rFonts w:cstheme="minorHAnsi"/>
                <w:szCs w:val="20"/>
              </w:rPr>
            </w:pPr>
            <w:r w:rsidRPr="009B4D73">
              <w:rPr>
                <w:rFonts w:cstheme="minorHAnsi"/>
                <w:szCs w:val="20"/>
              </w:rPr>
              <w:t>RAG noted the report of the EDH CG and invited the Director to consider:</w:t>
            </w:r>
          </w:p>
          <w:p w:rsidR="005269BD" w:rsidRPr="009B4D73" w:rsidRDefault="005269BD" w:rsidP="00E43D51">
            <w:pPr>
              <w:pStyle w:val="Tabletext"/>
              <w:ind w:left="284" w:hanging="284"/>
              <w:rPr>
                <w:rFonts w:cstheme="minorHAnsi"/>
                <w:szCs w:val="20"/>
              </w:rPr>
            </w:pPr>
            <w:r w:rsidRPr="009B4D73">
              <w:rPr>
                <w:rFonts w:cstheme="minorHAnsi"/>
                <w:szCs w:val="20"/>
              </w:rPr>
              <w:t>–</w:t>
            </w:r>
            <w:r w:rsidRPr="009B4D73">
              <w:rPr>
                <w:rFonts w:cstheme="minorHAnsi"/>
                <w:szCs w:val="20"/>
              </w:rPr>
              <w:tab/>
              <w:t>the need to clearly distinguish between the “as received” webpage and the formal documents page;</w:t>
            </w:r>
          </w:p>
          <w:p w:rsidR="005269BD" w:rsidRPr="009B4D73" w:rsidRDefault="005269BD" w:rsidP="00E43D51">
            <w:pPr>
              <w:pStyle w:val="Tabletext"/>
              <w:ind w:left="284" w:hanging="284"/>
              <w:rPr>
                <w:rFonts w:cstheme="minorHAnsi"/>
                <w:szCs w:val="20"/>
              </w:rPr>
            </w:pPr>
            <w:r w:rsidRPr="009B4D73">
              <w:rPr>
                <w:rFonts w:cstheme="minorHAnsi"/>
                <w:szCs w:val="20"/>
              </w:rPr>
              <w:t>–</w:t>
            </w:r>
            <w:r w:rsidRPr="009B4D73">
              <w:rPr>
                <w:rFonts w:cstheme="minorHAnsi"/>
                <w:szCs w:val="20"/>
              </w:rPr>
              <w:tab/>
              <w:t>the desirability of developing user guides for the various EDH tools and remote participation;</w:t>
            </w:r>
          </w:p>
          <w:p w:rsidR="005269BD" w:rsidRPr="009B4D73" w:rsidRDefault="005269BD" w:rsidP="00E43D51">
            <w:pPr>
              <w:pStyle w:val="Tabletext"/>
              <w:ind w:left="284" w:hanging="284"/>
              <w:rPr>
                <w:rFonts w:cstheme="minorHAnsi"/>
                <w:szCs w:val="20"/>
              </w:rPr>
            </w:pPr>
            <w:r w:rsidRPr="009B4D73">
              <w:rPr>
                <w:rFonts w:cstheme="minorHAnsi"/>
                <w:szCs w:val="20"/>
              </w:rPr>
              <w:t>–</w:t>
            </w:r>
            <w:r w:rsidRPr="009B4D73">
              <w:rPr>
                <w:rFonts w:cstheme="minorHAnsi"/>
                <w:szCs w:val="20"/>
              </w:rPr>
              <w:tab/>
              <w:t>the need to ensure that hyperlinks are not broken when moving to the new web format;</w:t>
            </w:r>
          </w:p>
          <w:p w:rsidR="005269BD" w:rsidRPr="009B4D73" w:rsidRDefault="005269BD" w:rsidP="00E43D51">
            <w:pPr>
              <w:pStyle w:val="Tabletext"/>
              <w:ind w:left="284" w:hanging="284"/>
              <w:rPr>
                <w:rFonts w:eastAsia="Times New Roman" w:cstheme="minorHAnsi"/>
                <w:szCs w:val="20"/>
              </w:rPr>
            </w:pPr>
            <w:r w:rsidRPr="009B4D73">
              <w:rPr>
                <w:rFonts w:cstheme="minorHAnsi"/>
                <w:szCs w:val="20"/>
              </w:rPr>
              <w:t>–</w:t>
            </w:r>
            <w:r w:rsidRPr="009B4D73">
              <w:rPr>
                <w:rFonts w:cstheme="minorHAnsi"/>
                <w:szCs w:val="20"/>
              </w:rPr>
              <w:tab/>
              <w:t>the need to ensure the use of the official languages of the Union for webpages on equal footing.</w:t>
            </w:r>
          </w:p>
          <w:p w:rsidR="005269BD" w:rsidRPr="009B4D73" w:rsidRDefault="005269BD" w:rsidP="00E43D51">
            <w:pPr>
              <w:pStyle w:val="Tabletext"/>
              <w:rPr>
                <w:rFonts w:cstheme="minorHAnsi"/>
                <w:szCs w:val="20"/>
              </w:rPr>
            </w:pPr>
            <w:r w:rsidRPr="009B4D73">
              <w:rPr>
                <w:rFonts w:cstheme="minorHAnsi"/>
                <w:szCs w:val="20"/>
              </w:rPr>
              <w:t>RAG invited the delegates to note that the personal webpages are no longer being provided by ITU.</w:t>
            </w: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t>5.1.2</w:t>
            </w:r>
          </w:p>
        </w:tc>
        <w:tc>
          <w:tcPr>
            <w:tcW w:w="3256" w:type="dxa"/>
          </w:tcPr>
          <w:p w:rsidR="005269BD" w:rsidRPr="009B4D73" w:rsidRDefault="005269BD" w:rsidP="00E43D51">
            <w:pPr>
              <w:pStyle w:val="Tabletext"/>
              <w:rPr>
                <w:rFonts w:cstheme="minorHAnsi"/>
                <w:szCs w:val="20"/>
              </w:rPr>
            </w:pPr>
            <w:r w:rsidRPr="009B4D73">
              <w:rPr>
                <w:rFonts w:cstheme="minorHAnsi"/>
                <w:szCs w:val="20"/>
              </w:rPr>
              <w:t>Format of ITU</w:t>
            </w:r>
            <w:r w:rsidRPr="009B4D73">
              <w:rPr>
                <w:rFonts w:cstheme="minorHAnsi"/>
                <w:szCs w:val="20"/>
              </w:rPr>
              <w:noBreakHyphen/>
              <w:t>R Recommendations</w:t>
            </w:r>
          </w:p>
          <w:p w:rsidR="005269BD" w:rsidRPr="009B4D73" w:rsidRDefault="005269BD" w:rsidP="00E43D51">
            <w:pPr>
              <w:pStyle w:val="Tabletext"/>
              <w:rPr>
                <w:rFonts w:cstheme="minorHAnsi"/>
                <w:szCs w:val="20"/>
              </w:rPr>
            </w:pPr>
            <w:r w:rsidRPr="009B4D73">
              <w:rPr>
                <w:rFonts w:cstheme="minorHAnsi"/>
                <w:i/>
                <w:szCs w:val="20"/>
              </w:rPr>
              <w:t>(Doc. RAG13-1/14)</w:t>
            </w:r>
          </w:p>
        </w:tc>
        <w:tc>
          <w:tcPr>
            <w:tcW w:w="9785" w:type="dxa"/>
          </w:tcPr>
          <w:p w:rsidR="005269BD" w:rsidRPr="009B4D73" w:rsidRDefault="005269BD" w:rsidP="00E43D51">
            <w:pPr>
              <w:pStyle w:val="Tabletext"/>
              <w:rPr>
                <w:rFonts w:cstheme="minorHAnsi"/>
                <w:szCs w:val="20"/>
              </w:rPr>
            </w:pPr>
            <w:r w:rsidRPr="009B4D73">
              <w:rPr>
                <w:rFonts w:cstheme="minorHAnsi"/>
                <w:szCs w:val="20"/>
              </w:rPr>
              <w:t>RAG supported use of the format for Recommendations proposed in the Annex to Document 14 and advised the Director to bring this information to the attention of the Study Groups and the membership.</w:t>
            </w:r>
          </w:p>
          <w:p w:rsidR="005269BD" w:rsidRPr="009B4D73" w:rsidRDefault="005269BD" w:rsidP="00E43D51">
            <w:pPr>
              <w:pStyle w:val="Tabletext"/>
              <w:rPr>
                <w:rFonts w:cstheme="minorHAnsi"/>
                <w:szCs w:val="20"/>
              </w:rPr>
            </w:pPr>
            <w:r w:rsidRPr="009B4D73">
              <w:rPr>
                <w:rFonts w:cstheme="minorHAnsi"/>
                <w:szCs w:val="20"/>
              </w:rPr>
              <w:t>RAG decided that this Correspondence Group could be disbanded and thanked Mr A. Nalbandian (ARM) for his work.</w:t>
            </w:r>
          </w:p>
        </w:tc>
      </w:tr>
      <w:tr w:rsidR="005269BD" w:rsidRPr="009B4D73" w:rsidTr="00987B77">
        <w:trPr>
          <w:trHeight w:val="1312"/>
        </w:trPr>
        <w:tc>
          <w:tcPr>
            <w:tcW w:w="1037" w:type="dxa"/>
          </w:tcPr>
          <w:p w:rsidR="005269BD" w:rsidRPr="009B4D73" w:rsidRDefault="005269BD" w:rsidP="00E43D51">
            <w:pPr>
              <w:pStyle w:val="Tabletext"/>
              <w:jc w:val="center"/>
              <w:rPr>
                <w:rFonts w:cstheme="minorHAnsi"/>
                <w:szCs w:val="20"/>
              </w:rPr>
            </w:pPr>
            <w:r w:rsidRPr="009B4D73">
              <w:rPr>
                <w:rFonts w:cstheme="minorHAnsi"/>
                <w:szCs w:val="20"/>
              </w:rPr>
              <w:t>5.1.3</w:t>
            </w:r>
          </w:p>
        </w:tc>
        <w:tc>
          <w:tcPr>
            <w:tcW w:w="3256" w:type="dxa"/>
          </w:tcPr>
          <w:p w:rsidR="005269BD" w:rsidRPr="009B4D73" w:rsidRDefault="005269BD" w:rsidP="00E43D51">
            <w:pPr>
              <w:pStyle w:val="Tabletext"/>
              <w:rPr>
                <w:rFonts w:cstheme="minorHAnsi"/>
                <w:szCs w:val="20"/>
              </w:rPr>
            </w:pPr>
            <w:r w:rsidRPr="009B4D73">
              <w:rPr>
                <w:rFonts w:cstheme="minorHAnsi"/>
                <w:szCs w:val="20"/>
              </w:rPr>
              <w:t>Revision of Resolution ITU</w:t>
            </w:r>
            <w:r w:rsidRPr="009B4D73">
              <w:rPr>
                <w:rFonts w:cstheme="minorHAnsi"/>
                <w:szCs w:val="20"/>
              </w:rPr>
              <w:noBreakHyphen/>
              <w:t>R 1-6</w:t>
            </w:r>
          </w:p>
          <w:p w:rsidR="005269BD" w:rsidRPr="009B4D73" w:rsidRDefault="005269BD" w:rsidP="00E43D51">
            <w:pPr>
              <w:pStyle w:val="Tabletext"/>
              <w:rPr>
                <w:rFonts w:cstheme="minorHAnsi"/>
                <w:szCs w:val="20"/>
              </w:rPr>
            </w:pPr>
            <w:r w:rsidRPr="009B4D73">
              <w:rPr>
                <w:rFonts w:cstheme="minorHAnsi"/>
                <w:i/>
                <w:szCs w:val="20"/>
              </w:rPr>
              <w:t>(Doc. RAG13-1/18)</w:t>
            </w:r>
          </w:p>
        </w:tc>
        <w:tc>
          <w:tcPr>
            <w:tcW w:w="9785" w:type="dxa"/>
          </w:tcPr>
          <w:p w:rsidR="005269BD" w:rsidRPr="009B4D73" w:rsidRDefault="005269BD" w:rsidP="00E43D51">
            <w:pPr>
              <w:pStyle w:val="Tabletext"/>
              <w:rPr>
                <w:rFonts w:cstheme="minorHAnsi"/>
                <w:szCs w:val="20"/>
              </w:rPr>
            </w:pPr>
            <w:r w:rsidRPr="009B4D73">
              <w:rPr>
                <w:rFonts w:cstheme="minorHAnsi"/>
                <w:szCs w:val="20"/>
              </w:rPr>
              <w:t xml:space="preserve">RAG noted that Mr R. Haines (USA) would no longer be able to act as Chairman of this CG. RAG decided to disband this CG and to appoint Mr A. </w:t>
            </w:r>
            <w:proofErr w:type="spellStart"/>
            <w:r w:rsidRPr="009B4D73">
              <w:rPr>
                <w:rFonts w:cstheme="minorHAnsi"/>
                <w:szCs w:val="20"/>
              </w:rPr>
              <w:t>Vallet</w:t>
            </w:r>
            <w:proofErr w:type="spellEnd"/>
            <w:r w:rsidRPr="009B4D73">
              <w:rPr>
                <w:rFonts w:cstheme="minorHAnsi"/>
                <w:szCs w:val="20"/>
              </w:rPr>
              <w:t xml:space="preserve"> (F) (e-mail: vallet@anfr.fr) as Rapporteur to progress the work and report back to the next RAG meeting. The terms of reference of </w:t>
            </w:r>
            <w:proofErr w:type="spellStart"/>
            <w:r w:rsidRPr="009B4D73">
              <w:rPr>
                <w:rFonts w:cstheme="minorHAnsi"/>
                <w:szCs w:val="20"/>
              </w:rPr>
              <w:t>Mr</w:t>
            </w:r>
            <w:proofErr w:type="spellEnd"/>
            <w:r w:rsidRPr="009B4D73">
              <w:rPr>
                <w:rFonts w:cstheme="minorHAnsi"/>
                <w:szCs w:val="20"/>
              </w:rPr>
              <w:t> </w:t>
            </w:r>
            <w:proofErr w:type="spellStart"/>
            <w:r w:rsidRPr="009B4D73">
              <w:rPr>
                <w:rFonts w:cstheme="minorHAnsi"/>
                <w:szCs w:val="20"/>
              </w:rPr>
              <w:t>Vallet’s</w:t>
            </w:r>
            <w:proofErr w:type="spellEnd"/>
            <w:r w:rsidRPr="009B4D73">
              <w:rPr>
                <w:rFonts w:cstheme="minorHAnsi"/>
                <w:szCs w:val="20"/>
              </w:rPr>
              <w:t xml:space="preserve"> activity are the same as for the former CG (included as Annex 2 to the summary of conclusions of the 19th meeting of RAG) and using the information contained in Document RAG13</w:t>
            </w:r>
            <w:r w:rsidRPr="009B4D73">
              <w:rPr>
                <w:rFonts w:cstheme="minorHAnsi"/>
                <w:szCs w:val="20"/>
              </w:rPr>
              <w:noBreakHyphen/>
              <w:t>1/18, as appropriate.</w:t>
            </w:r>
          </w:p>
        </w:tc>
      </w:tr>
      <w:tr w:rsidR="005269BD" w:rsidRPr="009B4D73" w:rsidTr="00987B77">
        <w:tc>
          <w:tcPr>
            <w:tcW w:w="1037" w:type="dxa"/>
          </w:tcPr>
          <w:p w:rsidR="005269BD" w:rsidRPr="009B4D73" w:rsidRDefault="005269BD" w:rsidP="00E43D51">
            <w:pPr>
              <w:pStyle w:val="Tabletext"/>
              <w:jc w:val="center"/>
              <w:rPr>
                <w:rFonts w:eastAsia="Times New Roman" w:cstheme="minorHAnsi"/>
                <w:szCs w:val="20"/>
              </w:rPr>
            </w:pPr>
            <w:r w:rsidRPr="009B4D73">
              <w:rPr>
                <w:rFonts w:cstheme="minorHAnsi"/>
                <w:szCs w:val="20"/>
              </w:rPr>
              <w:br w:type="page"/>
              <w:t>5.1.4</w:t>
            </w:r>
          </w:p>
        </w:tc>
        <w:tc>
          <w:tcPr>
            <w:tcW w:w="3256" w:type="dxa"/>
          </w:tcPr>
          <w:p w:rsidR="005269BD" w:rsidRPr="009B4D73" w:rsidRDefault="005269BD" w:rsidP="00E43D51">
            <w:pPr>
              <w:pStyle w:val="Tabletext"/>
              <w:rPr>
                <w:rFonts w:cstheme="minorHAnsi"/>
                <w:szCs w:val="20"/>
              </w:rPr>
            </w:pPr>
            <w:r w:rsidRPr="009B4D73">
              <w:rPr>
                <w:rFonts w:cstheme="minorHAnsi"/>
                <w:szCs w:val="20"/>
              </w:rPr>
              <w:t>Revision of Resolution ITU</w:t>
            </w:r>
            <w:r w:rsidRPr="009B4D73">
              <w:rPr>
                <w:rFonts w:cstheme="minorHAnsi"/>
                <w:szCs w:val="20"/>
              </w:rPr>
              <w:noBreakHyphen/>
              <w:t>R 6-1</w:t>
            </w:r>
          </w:p>
          <w:p w:rsidR="005269BD" w:rsidRPr="009B4D73" w:rsidRDefault="005269BD" w:rsidP="00E43D51">
            <w:pPr>
              <w:pStyle w:val="Tabletext"/>
              <w:rPr>
                <w:rFonts w:cstheme="minorHAnsi"/>
                <w:szCs w:val="20"/>
              </w:rPr>
            </w:pPr>
            <w:r w:rsidRPr="009B4D73">
              <w:rPr>
                <w:rFonts w:cstheme="minorHAnsi"/>
                <w:i/>
                <w:szCs w:val="20"/>
              </w:rPr>
              <w:t>(Doc. RAG13-1/9)</w:t>
            </w:r>
          </w:p>
        </w:tc>
        <w:tc>
          <w:tcPr>
            <w:tcW w:w="9785" w:type="dxa"/>
          </w:tcPr>
          <w:p w:rsidR="005269BD" w:rsidRPr="009B4D73" w:rsidRDefault="005269BD" w:rsidP="00E43D51">
            <w:pPr>
              <w:pStyle w:val="Tabletext"/>
              <w:rPr>
                <w:rFonts w:cstheme="minorHAnsi"/>
                <w:szCs w:val="20"/>
              </w:rPr>
            </w:pPr>
            <w:r w:rsidRPr="009B4D73">
              <w:rPr>
                <w:rFonts w:cstheme="minorHAnsi"/>
                <w:szCs w:val="20"/>
              </w:rPr>
              <w:t xml:space="preserve">RAG supported the proposed revision prepared by the CG. RAG decided to disband this CG and thanked Mr P. </w:t>
            </w:r>
            <w:proofErr w:type="spellStart"/>
            <w:r w:rsidRPr="009B4D73">
              <w:rPr>
                <w:rFonts w:cstheme="minorHAnsi"/>
                <w:szCs w:val="20"/>
              </w:rPr>
              <w:t>Zaccarian</w:t>
            </w:r>
            <w:proofErr w:type="spellEnd"/>
            <w:r w:rsidRPr="009B4D73">
              <w:rPr>
                <w:rFonts w:cstheme="minorHAnsi"/>
                <w:szCs w:val="20"/>
              </w:rPr>
              <w:t xml:space="preserve"> for his work. The Director was invited to review any inconsistencies between the proposed text and the text of Annex C to ITU</w:t>
            </w:r>
            <w:r w:rsidRPr="009B4D73">
              <w:rPr>
                <w:rFonts w:cstheme="minorHAnsi"/>
                <w:szCs w:val="20"/>
              </w:rPr>
              <w:noBreakHyphen/>
              <w:t>T Resolution 18 and report back to the next RAG meeting.</w:t>
            </w: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t>6</w:t>
            </w:r>
          </w:p>
        </w:tc>
        <w:tc>
          <w:tcPr>
            <w:tcW w:w="3256" w:type="dxa"/>
          </w:tcPr>
          <w:p w:rsidR="005269BD" w:rsidRPr="009B4D73" w:rsidRDefault="005269BD" w:rsidP="00E43D51">
            <w:pPr>
              <w:pStyle w:val="Tabletext"/>
              <w:rPr>
                <w:rFonts w:cstheme="minorHAnsi"/>
                <w:b/>
                <w:bCs/>
                <w:szCs w:val="20"/>
              </w:rPr>
            </w:pPr>
            <w:proofErr w:type="spellStart"/>
            <w:r w:rsidRPr="009B4D73">
              <w:rPr>
                <w:rStyle w:val="Strong"/>
                <w:rFonts w:cstheme="minorHAnsi"/>
                <w:szCs w:val="20"/>
              </w:rPr>
              <w:t>Radiocommunication</w:t>
            </w:r>
            <w:proofErr w:type="spellEnd"/>
            <w:r w:rsidRPr="009B4D73">
              <w:rPr>
                <w:rStyle w:val="Strong"/>
                <w:rFonts w:cstheme="minorHAnsi"/>
                <w:szCs w:val="20"/>
              </w:rPr>
              <w:t xml:space="preserve"> Conferences</w:t>
            </w:r>
          </w:p>
        </w:tc>
        <w:tc>
          <w:tcPr>
            <w:tcW w:w="9785" w:type="dxa"/>
          </w:tcPr>
          <w:p w:rsidR="005269BD" w:rsidRPr="009B4D73" w:rsidRDefault="005269BD" w:rsidP="00E43D51">
            <w:pPr>
              <w:pStyle w:val="Tabletext"/>
              <w:rPr>
                <w:rFonts w:cstheme="minorHAnsi"/>
                <w:szCs w:val="20"/>
              </w:rPr>
            </w:pP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t>6.1</w:t>
            </w:r>
          </w:p>
        </w:tc>
        <w:tc>
          <w:tcPr>
            <w:tcW w:w="3256" w:type="dxa"/>
          </w:tcPr>
          <w:p w:rsidR="005269BD" w:rsidRPr="009B4D73" w:rsidRDefault="005269BD" w:rsidP="00E43D51">
            <w:pPr>
              <w:pStyle w:val="Tabletext"/>
              <w:rPr>
                <w:rFonts w:cstheme="minorHAnsi"/>
                <w:szCs w:val="20"/>
              </w:rPr>
            </w:pPr>
            <w:r w:rsidRPr="009B4D73">
              <w:rPr>
                <w:rFonts w:cstheme="minorHAnsi"/>
                <w:szCs w:val="20"/>
              </w:rPr>
              <w:t>WRC-12 implementation</w:t>
            </w:r>
          </w:p>
          <w:p w:rsidR="005269BD" w:rsidRPr="009B4D73" w:rsidRDefault="005269BD" w:rsidP="00E43D51">
            <w:pPr>
              <w:pStyle w:val="Tabletext"/>
              <w:rPr>
                <w:rFonts w:cstheme="minorHAnsi"/>
                <w:szCs w:val="20"/>
              </w:rPr>
            </w:pPr>
            <w:r w:rsidRPr="009B4D73">
              <w:rPr>
                <w:rFonts w:cstheme="minorHAnsi"/>
                <w:i/>
                <w:szCs w:val="20"/>
              </w:rPr>
              <w:t>(Docs. RAG13-1/1(§ 2.1, 3.2), 3, 5)</w:t>
            </w:r>
          </w:p>
        </w:tc>
        <w:tc>
          <w:tcPr>
            <w:tcW w:w="9785" w:type="dxa"/>
          </w:tcPr>
          <w:p w:rsidR="005269BD" w:rsidRPr="009B4D73" w:rsidRDefault="005269BD" w:rsidP="00E43D51">
            <w:pPr>
              <w:pStyle w:val="Tabletext"/>
              <w:rPr>
                <w:rFonts w:eastAsia="Times New Roman" w:cstheme="minorHAnsi"/>
                <w:szCs w:val="20"/>
              </w:rPr>
            </w:pPr>
            <w:r w:rsidRPr="009B4D73">
              <w:rPr>
                <w:rFonts w:cstheme="minorHAnsi"/>
                <w:szCs w:val="20"/>
              </w:rPr>
              <w:t>RAG noted that BR published circular CR/343 related to the bringing into use and suspension of a frequency assignment to a space station in the geostationary-satellite orbit. Comments, such as those presented in Document 5 (USA) for information. RAG concluded that the issue should be dealt with by the RRB due to the fact that the matter is not within the terms of reference of the RAG, and invited administrations to convey their concerns to the Board if they so wish. In this connection, the USA provided the statement contained in Annex 2.</w:t>
            </w:r>
          </w:p>
          <w:p w:rsidR="005269BD" w:rsidRPr="009B4D73" w:rsidRDefault="005269BD" w:rsidP="00E43D51">
            <w:pPr>
              <w:pStyle w:val="Tabletext"/>
              <w:rPr>
                <w:rFonts w:cstheme="minorHAnsi"/>
                <w:szCs w:val="20"/>
              </w:rPr>
            </w:pPr>
            <w:r w:rsidRPr="009B4D73">
              <w:rPr>
                <w:rFonts w:cstheme="minorHAnsi"/>
                <w:szCs w:val="20"/>
              </w:rPr>
              <w:t>RAG approved the liaison statement to TSAG proposed in Document 3 (Rep. of Korea) to inform ITU</w:t>
            </w:r>
            <w:r w:rsidRPr="009B4D73">
              <w:rPr>
                <w:rFonts w:cstheme="minorHAnsi"/>
                <w:szCs w:val="20"/>
              </w:rPr>
              <w:noBreakHyphen/>
              <w:t>T of the extension of the lower limit in the Table of Frequency Allocations of RR Article 5 from 9 to 8.3 kHz as decided by WRC-12.</w:t>
            </w: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t>6.2</w:t>
            </w:r>
          </w:p>
        </w:tc>
        <w:tc>
          <w:tcPr>
            <w:tcW w:w="3256" w:type="dxa"/>
          </w:tcPr>
          <w:p w:rsidR="005269BD" w:rsidRPr="009B4D73" w:rsidRDefault="005269BD" w:rsidP="00E43D51">
            <w:pPr>
              <w:pStyle w:val="Tabletext"/>
              <w:rPr>
                <w:rFonts w:eastAsia="Arial Unicode MS" w:cstheme="minorHAnsi"/>
                <w:szCs w:val="20"/>
              </w:rPr>
            </w:pPr>
            <w:r w:rsidRPr="009B4D73">
              <w:rPr>
                <w:rFonts w:eastAsia="Arial Unicode MS" w:cstheme="minorHAnsi"/>
                <w:szCs w:val="20"/>
              </w:rPr>
              <w:t>WRC-15 preparation</w:t>
            </w:r>
          </w:p>
          <w:p w:rsidR="005269BD" w:rsidRPr="009B4D73" w:rsidRDefault="005269BD" w:rsidP="00E43D51">
            <w:pPr>
              <w:pStyle w:val="Tabletext"/>
              <w:rPr>
                <w:rFonts w:eastAsia="Arial Unicode MS" w:cstheme="minorHAnsi"/>
                <w:szCs w:val="20"/>
              </w:rPr>
            </w:pPr>
            <w:r w:rsidRPr="009B4D73">
              <w:rPr>
                <w:rFonts w:cstheme="minorHAnsi"/>
                <w:i/>
                <w:szCs w:val="20"/>
              </w:rPr>
              <w:t>(Doc. RAG13-1/1 (§§ 2.1, 5))</w:t>
            </w:r>
          </w:p>
        </w:tc>
        <w:tc>
          <w:tcPr>
            <w:tcW w:w="9785" w:type="dxa"/>
          </w:tcPr>
          <w:p w:rsidR="005269BD" w:rsidRPr="009B4D73" w:rsidRDefault="005269BD" w:rsidP="00E43D51">
            <w:pPr>
              <w:pStyle w:val="Tabletext"/>
              <w:rPr>
                <w:rFonts w:eastAsia="Times New Roman" w:cstheme="minorHAnsi"/>
                <w:szCs w:val="20"/>
              </w:rPr>
            </w:pPr>
            <w:r w:rsidRPr="009B4D73">
              <w:rPr>
                <w:rFonts w:cstheme="minorHAnsi"/>
                <w:szCs w:val="20"/>
              </w:rPr>
              <w:t>RAG noted the information provided in the Director’s Report on WRC-15 preparation. Considering the different views expressed regarding the best time to hold the first session of the CPM (CPM-1), either immediately after the WRC or on the Monday of the following week, RAG concluded that the matter should be further analysed in the light of the past and recent experiences, and invited the Director to report on the results of his analysis to the next RAG meeting.</w:t>
            </w: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lastRenderedPageBreak/>
              <w:t>7</w:t>
            </w:r>
          </w:p>
        </w:tc>
        <w:tc>
          <w:tcPr>
            <w:tcW w:w="3256" w:type="dxa"/>
          </w:tcPr>
          <w:p w:rsidR="005269BD" w:rsidRPr="009B4D73" w:rsidRDefault="005269BD" w:rsidP="00E43D51">
            <w:pPr>
              <w:pStyle w:val="Tabletext"/>
              <w:rPr>
                <w:rFonts w:eastAsia="Arial Unicode MS" w:cstheme="minorHAnsi"/>
                <w:szCs w:val="20"/>
              </w:rPr>
            </w:pPr>
            <w:r w:rsidRPr="009B4D73">
              <w:rPr>
                <w:rFonts w:eastAsia="Arial Unicode MS" w:cstheme="minorHAnsi"/>
                <w:szCs w:val="20"/>
              </w:rPr>
              <w:t>ITU</w:t>
            </w:r>
            <w:r w:rsidRPr="009B4D73">
              <w:rPr>
                <w:rFonts w:eastAsia="Arial Unicode MS" w:cstheme="minorHAnsi"/>
                <w:szCs w:val="20"/>
              </w:rPr>
              <w:noBreakHyphen/>
              <w:t>R Strategic and Operational Plans</w:t>
            </w:r>
          </w:p>
        </w:tc>
        <w:tc>
          <w:tcPr>
            <w:tcW w:w="9785" w:type="dxa"/>
          </w:tcPr>
          <w:p w:rsidR="005269BD" w:rsidRPr="009B4D73" w:rsidRDefault="005269BD" w:rsidP="00E43D51">
            <w:pPr>
              <w:pStyle w:val="Tabletext"/>
              <w:rPr>
                <w:rFonts w:cstheme="minorHAnsi"/>
                <w:szCs w:val="20"/>
                <w:highlight w:val="yellow"/>
              </w:rPr>
            </w:pP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t>7.1</w:t>
            </w:r>
          </w:p>
        </w:tc>
        <w:tc>
          <w:tcPr>
            <w:tcW w:w="3256" w:type="dxa"/>
          </w:tcPr>
          <w:p w:rsidR="005269BD" w:rsidRPr="009B4D73" w:rsidRDefault="005269BD" w:rsidP="00E43D51">
            <w:pPr>
              <w:pStyle w:val="Tabletext"/>
              <w:rPr>
                <w:rFonts w:cstheme="minorHAnsi"/>
                <w:szCs w:val="20"/>
              </w:rPr>
            </w:pPr>
            <w:r w:rsidRPr="009B4D73">
              <w:rPr>
                <w:rFonts w:eastAsia="Arial Unicode MS" w:cstheme="minorHAnsi"/>
                <w:szCs w:val="20"/>
              </w:rPr>
              <w:t>Strategic Plan for 2016-2019</w:t>
            </w:r>
          </w:p>
          <w:p w:rsidR="005269BD" w:rsidRPr="009B4D73" w:rsidRDefault="005269BD" w:rsidP="00E43D51">
            <w:pPr>
              <w:pStyle w:val="Tabletext"/>
              <w:rPr>
                <w:rFonts w:cstheme="minorHAnsi"/>
                <w:i/>
                <w:szCs w:val="20"/>
              </w:rPr>
            </w:pPr>
            <w:r w:rsidRPr="009B4D73">
              <w:rPr>
                <w:rFonts w:cstheme="minorHAnsi"/>
                <w:i/>
                <w:szCs w:val="20"/>
              </w:rPr>
              <w:t>(Docs. RAG13-1/13 +Add.1, 15, 17)</w:t>
            </w:r>
          </w:p>
        </w:tc>
        <w:tc>
          <w:tcPr>
            <w:tcW w:w="9785" w:type="dxa"/>
          </w:tcPr>
          <w:p w:rsidR="005269BD" w:rsidRPr="009B4D73" w:rsidRDefault="005269BD" w:rsidP="00E43D51">
            <w:pPr>
              <w:pStyle w:val="Tabletext"/>
              <w:rPr>
                <w:rFonts w:cstheme="minorHAnsi"/>
                <w:szCs w:val="20"/>
              </w:rPr>
            </w:pPr>
            <w:r w:rsidRPr="009B4D73">
              <w:rPr>
                <w:rFonts w:cstheme="minorHAnsi"/>
                <w:szCs w:val="20"/>
              </w:rPr>
              <w:t xml:space="preserve">RAG noted the oral report by the Chairman of the Informal Meeting on the Strategic and Operational Plans of 21 May (Mr A. Nalbandian, ARM). RAG set up a drafting group chaired by Dr V. </w:t>
            </w:r>
            <w:proofErr w:type="spellStart"/>
            <w:r w:rsidRPr="009B4D73">
              <w:rPr>
                <w:rFonts w:cstheme="minorHAnsi"/>
                <w:szCs w:val="20"/>
              </w:rPr>
              <w:t>Rawat</w:t>
            </w:r>
            <w:proofErr w:type="spellEnd"/>
            <w:r w:rsidRPr="009B4D73">
              <w:rPr>
                <w:rFonts w:cstheme="minorHAnsi"/>
                <w:szCs w:val="20"/>
              </w:rPr>
              <w:t xml:space="preserve"> (CAN) to prepare a draft contribution to the Council WG on the Strategic Plan and agreed on the text as contained in  Annex 1. RAG decided to disband the CG on Strategic Plan and thanked Mr. K. Arasteh (Iran, Islamic Rep. of) for his work.</w:t>
            </w: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t>7.2</w:t>
            </w:r>
          </w:p>
        </w:tc>
        <w:tc>
          <w:tcPr>
            <w:tcW w:w="3256" w:type="dxa"/>
          </w:tcPr>
          <w:p w:rsidR="005269BD" w:rsidRPr="009B4D73" w:rsidRDefault="005269BD" w:rsidP="00E43D51">
            <w:pPr>
              <w:pStyle w:val="Tabletext"/>
              <w:rPr>
                <w:rFonts w:cstheme="minorHAnsi"/>
                <w:szCs w:val="20"/>
              </w:rPr>
            </w:pPr>
            <w:r w:rsidRPr="009B4D73">
              <w:rPr>
                <w:rFonts w:cstheme="minorHAnsi"/>
                <w:szCs w:val="20"/>
              </w:rPr>
              <w:t xml:space="preserve">Operational Plan for 2014-2017 </w:t>
            </w:r>
          </w:p>
          <w:p w:rsidR="005269BD" w:rsidRPr="009B4D73" w:rsidRDefault="005269BD" w:rsidP="00E43D51">
            <w:pPr>
              <w:pStyle w:val="Tabletext"/>
              <w:rPr>
                <w:rFonts w:cstheme="minorHAnsi"/>
                <w:szCs w:val="20"/>
              </w:rPr>
            </w:pPr>
            <w:r w:rsidRPr="009B4D73">
              <w:rPr>
                <w:rFonts w:cstheme="minorHAnsi"/>
                <w:i/>
                <w:szCs w:val="20"/>
              </w:rPr>
              <w:t>(Doc. RAG13-1/1 (§ 8))</w:t>
            </w:r>
          </w:p>
        </w:tc>
        <w:tc>
          <w:tcPr>
            <w:tcW w:w="9785" w:type="dxa"/>
          </w:tcPr>
          <w:p w:rsidR="005269BD" w:rsidRPr="009B4D73" w:rsidRDefault="005269BD" w:rsidP="00E43D51">
            <w:pPr>
              <w:pStyle w:val="Tabletext"/>
              <w:rPr>
                <w:rFonts w:cstheme="minorHAnsi"/>
                <w:szCs w:val="20"/>
              </w:rPr>
            </w:pPr>
            <w:r w:rsidRPr="009B4D73">
              <w:rPr>
                <w:rFonts w:cstheme="minorHAnsi"/>
                <w:szCs w:val="20"/>
              </w:rPr>
              <w:t>RAG reviewed the draft Operational Plan and endorsed it without change.</w:t>
            </w:r>
          </w:p>
          <w:p w:rsidR="005269BD" w:rsidRPr="009B4D73" w:rsidRDefault="005269BD" w:rsidP="00E43D51">
            <w:pPr>
              <w:pStyle w:val="Tabletext"/>
              <w:rPr>
                <w:rFonts w:eastAsia="Times New Roman" w:cstheme="minorHAnsi"/>
                <w:color w:val="231F20"/>
                <w:szCs w:val="20"/>
                <w:lang w:eastAsia="zh-CN"/>
              </w:rPr>
            </w:pPr>
            <w:r w:rsidRPr="009B4D73">
              <w:rPr>
                <w:rFonts w:cstheme="minorHAnsi"/>
                <w:szCs w:val="20"/>
              </w:rPr>
              <w:t xml:space="preserve">RAG concluded that there is a need to spend more time for the review of the draft Operational Plan and suggested that, in connection to the next RAG meeting in 2014, a  half-day meeting (without interpretation) be dedicated to the consideration of the draft operational plan (see CV181A) as well as to </w:t>
            </w:r>
            <w:r w:rsidRPr="009B4D73">
              <w:rPr>
                <w:rFonts w:cstheme="minorHAnsi"/>
                <w:color w:val="231F20"/>
                <w:szCs w:val="20"/>
                <w:lang w:eastAsia="zh-CN"/>
              </w:rPr>
              <w:t>review the implementation of the operational plan of the preceding period (see CV160CA).</w:t>
            </w:r>
          </w:p>
          <w:p w:rsidR="005269BD" w:rsidRPr="009B4D73" w:rsidRDefault="005269BD" w:rsidP="00E43D51">
            <w:pPr>
              <w:pStyle w:val="Tabletext"/>
              <w:rPr>
                <w:rFonts w:cstheme="minorHAnsi"/>
                <w:szCs w:val="20"/>
                <w:highlight w:val="yellow"/>
              </w:rPr>
            </w:pPr>
            <w:r w:rsidRPr="009B4D73">
              <w:rPr>
                <w:rFonts w:cstheme="minorHAnsi"/>
                <w:color w:val="231F20"/>
                <w:szCs w:val="20"/>
                <w:lang w:eastAsia="zh-CN"/>
              </w:rPr>
              <w:t>RAG invited the Director to convey to Council a suggestion for  allocating more time during Council sessions for the consideration and approval of the draft Operational Plan.</w:t>
            </w: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t>8</w:t>
            </w:r>
          </w:p>
        </w:tc>
        <w:tc>
          <w:tcPr>
            <w:tcW w:w="3256" w:type="dxa"/>
          </w:tcPr>
          <w:p w:rsidR="005269BD" w:rsidRPr="009B4D73" w:rsidRDefault="005269BD" w:rsidP="00E43D51">
            <w:pPr>
              <w:pStyle w:val="Tabletext"/>
              <w:rPr>
                <w:rFonts w:cstheme="minorHAnsi"/>
                <w:i/>
                <w:iCs/>
                <w:szCs w:val="20"/>
              </w:rPr>
            </w:pPr>
            <w:r w:rsidRPr="009B4D73">
              <w:rPr>
                <w:rFonts w:cstheme="minorHAnsi"/>
                <w:szCs w:val="20"/>
              </w:rPr>
              <w:t>Information and assistance</w:t>
            </w:r>
          </w:p>
          <w:p w:rsidR="005269BD" w:rsidRPr="009B4D73" w:rsidRDefault="005269BD" w:rsidP="00E43D51">
            <w:pPr>
              <w:pStyle w:val="Tabletext"/>
              <w:rPr>
                <w:rFonts w:eastAsia="Arial Unicode MS" w:cstheme="minorHAnsi"/>
                <w:szCs w:val="20"/>
              </w:rPr>
            </w:pPr>
            <w:r w:rsidRPr="009B4D73">
              <w:rPr>
                <w:rFonts w:cstheme="minorHAnsi"/>
                <w:i/>
                <w:szCs w:val="20"/>
              </w:rPr>
              <w:t>(Docs. RAG13-1/1 (Add.2 &amp; 3, §9, 10, 11))</w:t>
            </w:r>
          </w:p>
        </w:tc>
        <w:tc>
          <w:tcPr>
            <w:tcW w:w="9785" w:type="dxa"/>
          </w:tcPr>
          <w:p w:rsidR="005269BD" w:rsidRPr="009B4D73" w:rsidRDefault="005269BD" w:rsidP="00E43D51">
            <w:pPr>
              <w:pStyle w:val="Tabletext"/>
              <w:rPr>
                <w:rFonts w:eastAsia="Times New Roman" w:cstheme="minorHAnsi"/>
                <w:szCs w:val="20"/>
              </w:rPr>
            </w:pPr>
            <w:r w:rsidRPr="009B4D73">
              <w:rPr>
                <w:rFonts w:cstheme="minorHAnsi"/>
                <w:szCs w:val="20"/>
              </w:rPr>
              <w:t xml:space="preserve">BR presented its strategy for Regional </w:t>
            </w:r>
            <w:proofErr w:type="spellStart"/>
            <w:r w:rsidRPr="009B4D73">
              <w:rPr>
                <w:rFonts w:cstheme="minorHAnsi"/>
                <w:szCs w:val="20"/>
              </w:rPr>
              <w:t>Radiocommunication</w:t>
            </w:r>
            <w:proofErr w:type="spellEnd"/>
            <w:r w:rsidRPr="009B4D73">
              <w:rPr>
                <w:rFonts w:cstheme="minorHAnsi"/>
                <w:szCs w:val="20"/>
              </w:rPr>
              <w:t xml:space="preserve"> Seminars (RRS) aimed at increasing participation of members from countries with very low participation in the current events, including the World </w:t>
            </w:r>
            <w:proofErr w:type="spellStart"/>
            <w:r w:rsidRPr="009B4D73">
              <w:rPr>
                <w:rFonts w:cstheme="minorHAnsi"/>
                <w:szCs w:val="20"/>
              </w:rPr>
              <w:t>Radiocommunication</w:t>
            </w:r>
            <w:proofErr w:type="spellEnd"/>
            <w:r w:rsidRPr="009B4D73">
              <w:rPr>
                <w:rFonts w:cstheme="minorHAnsi"/>
                <w:szCs w:val="20"/>
              </w:rPr>
              <w:t xml:space="preserve"> Seminars (WRSs). The proposed strategy depicted the possible cycle of RRSs, with a view to cover all regions yearly, and all </w:t>
            </w:r>
            <w:proofErr w:type="spellStart"/>
            <w:r w:rsidRPr="009B4D73">
              <w:rPr>
                <w:rFonts w:cstheme="minorHAnsi"/>
                <w:szCs w:val="20"/>
              </w:rPr>
              <w:t>subregions</w:t>
            </w:r>
            <w:proofErr w:type="spellEnd"/>
            <w:r w:rsidRPr="009B4D73">
              <w:rPr>
                <w:rFonts w:cstheme="minorHAnsi"/>
                <w:szCs w:val="20"/>
              </w:rPr>
              <w:t xml:space="preserve"> in a three-year period (between WRCs). A structure for the RRSs was suggested, based on online tutorials, presentations and workshops (on terrestrial and space services), and a forum on a topic of interest and relevance to each region. BR announced that the schedule of RRSs for 2013 included: Americas (Asuncion, Paraguay, 8 to 12 July); Africa (</w:t>
            </w:r>
            <w:proofErr w:type="spellStart"/>
            <w:r w:rsidRPr="009B4D73">
              <w:rPr>
                <w:rFonts w:cstheme="minorHAnsi"/>
                <w:szCs w:val="20"/>
              </w:rPr>
              <w:t>Yaounde</w:t>
            </w:r>
            <w:proofErr w:type="spellEnd"/>
            <w:r w:rsidRPr="009B4D73">
              <w:rPr>
                <w:rFonts w:cstheme="minorHAnsi"/>
                <w:szCs w:val="20"/>
              </w:rPr>
              <w:t>, Cameroon, last week of September); Eastern Europe and CIS (end September); and Pacific Islands (planned for end November-beginning of December).</w:t>
            </w:r>
          </w:p>
          <w:p w:rsidR="005269BD" w:rsidRPr="009B4D73" w:rsidRDefault="005269BD" w:rsidP="00E43D51">
            <w:pPr>
              <w:pStyle w:val="Tabletext"/>
              <w:rPr>
                <w:rFonts w:cstheme="minorHAnsi"/>
                <w:szCs w:val="20"/>
              </w:rPr>
            </w:pPr>
            <w:r w:rsidRPr="009B4D73">
              <w:rPr>
                <w:rFonts w:cstheme="minorHAnsi"/>
                <w:szCs w:val="20"/>
              </w:rPr>
              <w:t>While noting the benefits of the proposed approach, RAG provided the following comments to be considered by the Director: actively involve regional organizations, both in planning (including surveys about agenda topics, and statistics for members of these organizations) and in the implementation of regional seminars; agendas could be enlarged beyond RR applications, touching on other relevant topics of the greatest interest to participating countries of the region; harmonize this regional approach in view of the need to preserve WRSs as a unique space for exchange of experience worldwide. RAG also advised the Director to perform a detailed financial analysis of the proposed strategy and to duly pursue coordination activities of these events with BDT.</w:t>
            </w:r>
          </w:p>
          <w:p w:rsidR="005269BD" w:rsidRPr="009B4D73" w:rsidRDefault="005269BD" w:rsidP="00E43D51">
            <w:pPr>
              <w:pStyle w:val="Tabletext"/>
              <w:rPr>
                <w:rFonts w:cstheme="minorHAnsi"/>
                <w:szCs w:val="20"/>
              </w:rPr>
            </w:pPr>
            <w:r w:rsidRPr="009B4D73">
              <w:rPr>
                <w:rFonts w:cstheme="minorHAnsi"/>
                <w:szCs w:val="20"/>
              </w:rPr>
              <w:t>RAG noted the statistics on ITU</w:t>
            </w:r>
            <w:r w:rsidRPr="009B4D73">
              <w:rPr>
                <w:rFonts w:cstheme="minorHAnsi"/>
                <w:szCs w:val="20"/>
              </w:rPr>
              <w:noBreakHyphen/>
              <w:t>R membership (Doc. 1(Add.3)) and concluded with satisfaction that the general trend on the number of Sector Members, Associates and Academia has now become positive.</w:t>
            </w:r>
          </w:p>
          <w:p w:rsidR="005269BD" w:rsidRPr="009B4D73" w:rsidRDefault="005269BD" w:rsidP="00E43D51">
            <w:pPr>
              <w:pStyle w:val="Tabletext"/>
              <w:rPr>
                <w:rFonts w:cstheme="minorHAnsi"/>
                <w:szCs w:val="20"/>
              </w:rPr>
            </w:pPr>
            <w:r w:rsidRPr="009B4D73">
              <w:rPr>
                <w:rFonts w:cstheme="minorHAnsi"/>
                <w:szCs w:val="20"/>
              </w:rPr>
              <w:t>RAG emphasized the need for greater participation of Academia in Study Group work (particularly, Study Groups 3 and 7). RAG invited the Director to consider the comments raised during the meeting on the implementation of Resolution ITU</w:t>
            </w:r>
            <w:r w:rsidRPr="009B4D73">
              <w:rPr>
                <w:rFonts w:cstheme="minorHAnsi"/>
                <w:szCs w:val="20"/>
              </w:rPr>
              <w:noBreakHyphen/>
              <w:t>R 63.</w:t>
            </w: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lastRenderedPageBreak/>
              <w:t>9</w:t>
            </w:r>
          </w:p>
        </w:tc>
        <w:tc>
          <w:tcPr>
            <w:tcW w:w="3256" w:type="dxa"/>
          </w:tcPr>
          <w:p w:rsidR="005269BD" w:rsidRPr="009B4D73" w:rsidRDefault="005269BD" w:rsidP="00E43D51">
            <w:pPr>
              <w:pStyle w:val="Tabletext"/>
              <w:rPr>
                <w:rFonts w:cstheme="minorHAnsi"/>
                <w:szCs w:val="20"/>
              </w:rPr>
            </w:pPr>
            <w:r w:rsidRPr="009B4D73">
              <w:rPr>
                <w:rFonts w:cstheme="minorHAnsi"/>
                <w:szCs w:val="20"/>
              </w:rPr>
              <w:t>BR Information System</w:t>
            </w:r>
          </w:p>
          <w:p w:rsidR="005269BD" w:rsidRPr="009B4D73" w:rsidRDefault="005269BD" w:rsidP="00E43D51">
            <w:pPr>
              <w:pStyle w:val="Tabletext"/>
              <w:rPr>
                <w:rFonts w:cstheme="minorHAnsi"/>
                <w:i/>
                <w:iCs/>
                <w:szCs w:val="20"/>
              </w:rPr>
            </w:pPr>
            <w:r w:rsidRPr="009B4D73">
              <w:rPr>
                <w:rFonts w:cstheme="minorHAnsi"/>
                <w:i/>
                <w:iCs/>
                <w:szCs w:val="20"/>
              </w:rPr>
              <w:t>(Doc. RAG13-1/1 (§ 6))</w:t>
            </w:r>
          </w:p>
        </w:tc>
        <w:tc>
          <w:tcPr>
            <w:tcW w:w="9785" w:type="dxa"/>
          </w:tcPr>
          <w:p w:rsidR="005269BD" w:rsidRPr="009B4D73" w:rsidRDefault="005269BD" w:rsidP="00E43D51">
            <w:pPr>
              <w:pStyle w:val="Tabletext"/>
              <w:rPr>
                <w:rFonts w:cstheme="minorHAnsi"/>
                <w:szCs w:val="20"/>
              </w:rPr>
            </w:pPr>
            <w:r w:rsidRPr="009B4D73">
              <w:rPr>
                <w:rFonts w:cstheme="minorHAnsi"/>
                <w:szCs w:val="20"/>
              </w:rPr>
              <w:t>RAG noted the information provided in the Director’s Report and encouraged the Director to pursue the implementation of the software development activities foreseen in the roadmap provided by RAG-19 (2012).</w:t>
            </w: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t>10</w:t>
            </w:r>
          </w:p>
        </w:tc>
        <w:tc>
          <w:tcPr>
            <w:tcW w:w="3256" w:type="dxa"/>
          </w:tcPr>
          <w:p w:rsidR="005269BD" w:rsidRPr="009B4D73" w:rsidRDefault="005269BD" w:rsidP="00E43D51">
            <w:pPr>
              <w:pStyle w:val="Tabletext"/>
              <w:rPr>
                <w:rFonts w:cstheme="minorHAnsi"/>
                <w:szCs w:val="20"/>
              </w:rPr>
            </w:pPr>
            <w:r w:rsidRPr="009B4D73">
              <w:rPr>
                <w:rFonts w:cstheme="minorHAnsi"/>
                <w:szCs w:val="20"/>
              </w:rPr>
              <w:t>Date of next meeting</w:t>
            </w:r>
          </w:p>
        </w:tc>
        <w:tc>
          <w:tcPr>
            <w:tcW w:w="9785" w:type="dxa"/>
          </w:tcPr>
          <w:p w:rsidR="005269BD" w:rsidRPr="009B4D73" w:rsidRDefault="005269BD" w:rsidP="00E43D51">
            <w:pPr>
              <w:pStyle w:val="Tabletext"/>
              <w:rPr>
                <w:rFonts w:eastAsia="Times New Roman" w:cstheme="minorHAnsi"/>
                <w:szCs w:val="20"/>
              </w:rPr>
            </w:pPr>
            <w:r w:rsidRPr="009B4D73">
              <w:rPr>
                <w:rFonts w:cstheme="minorHAnsi"/>
                <w:szCs w:val="20"/>
              </w:rPr>
              <w:t>RAG noted the proposal to hold its 21st session from 24 to 27 June 2014, with the second day (without interpretation) to consider issues related to the ITU-R preparation for the Plenipotentiary Conference and the Operational Plans.</w:t>
            </w:r>
          </w:p>
        </w:tc>
      </w:tr>
      <w:tr w:rsidR="005269BD" w:rsidRPr="009B4D73" w:rsidTr="00987B77">
        <w:tc>
          <w:tcPr>
            <w:tcW w:w="1037" w:type="dxa"/>
          </w:tcPr>
          <w:p w:rsidR="005269BD" w:rsidRPr="009B4D73" w:rsidRDefault="005269BD" w:rsidP="00E43D51">
            <w:pPr>
              <w:pStyle w:val="Tabletext"/>
              <w:jc w:val="center"/>
              <w:rPr>
                <w:rFonts w:cstheme="minorHAnsi"/>
                <w:szCs w:val="20"/>
              </w:rPr>
            </w:pPr>
            <w:r w:rsidRPr="009B4D73">
              <w:rPr>
                <w:rFonts w:cstheme="minorHAnsi"/>
                <w:szCs w:val="20"/>
              </w:rPr>
              <w:t>11</w:t>
            </w:r>
          </w:p>
        </w:tc>
        <w:tc>
          <w:tcPr>
            <w:tcW w:w="3256" w:type="dxa"/>
          </w:tcPr>
          <w:p w:rsidR="005269BD" w:rsidRPr="009B4D73" w:rsidRDefault="005269BD" w:rsidP="00E43D51">
            <w:pPr>
              <w:pStyle w:val="Tabletext"/>
              <w:rPr>
                <w:rFonts w:cstheme="minorHAnsi"/>
                <w:szCs w:val="20"/>
              </w:rPr>
            </w:pPr>
            <w:r w:rsidRPr="009B4D73">
              <w:rPr>
                <w:rFonts w:cstheme="minorHAnsi"/>
                <w:szCs w:val="20"/>
              </w:rPr>
              <w:t>Other issues</w:t>
            </w:r>
          </w:p>
          <w:p w:rsidR="005269BD" w:rsidRPr="009B4D73" w:rsidRDefault="005269BD" w:rsidP="00E43D51">
            <w:pPr>
              <w:pStyle w:val="Tabletext"/>
              <w:rPr>
                <w:rFonts w:cstheme="minorHAnsi"/>
                <w:i/>
                <w:iCs/>
                <w:szCs w:val="20"/>
              </w:rPr>
            </w:pPr>
            <w:r w:rsidRPr="009B4D73">
              <w:rPr>
                <w:rFonts w:cstheme="minorHAnsi"/>
                <w:i/>
                <w:iCs/>
                <w:szCs w:val="20"/>
              </w:rPr>
              <w:t>(Doc. RAG13-1/1 (§ 7))</w:t>
            </w:r>
          </w:p>
        </w:tc>
        <w:tc>
          <w:tcPr>
            <w:tcW w:w="9785" w:type="dxa"/>
          </w:tcPr>
          <w:p w:rsidR="005269BD" w:rsidRPr="009B4D73" w:rsidRDefault="005269BD" w:rsidP="00E43D51">
            <w:pPr>
              <w:pStyle w:val="Tabletext"/>
              <w:rPr>
                <w:rFonts w:eastAsia="Times New Roman" w:cstheme="minorHAnsi"/>
                <w:szCs w:val="20"/>
              </w:rPr>
            </w:pPr>
            <w:r w:rsidRPr="009B4D73">
              <w:rPr>
                <w:rFonts w:cstheme="minorHAnsi"/>
                <w:szCs w:val="20"/>
              </w:rPr>
              <w:t xml:space="preserve">RAG noted the information provided on space monitoring in the Director’s Report, and requested the Director to take into account the comments expressed during the meeting – in particular those related to the financial implications – in his actions to implement the proposed activities. RAG invited the Director to consider the necessary cooperation with the Director of BDT on this matter. </w:t>
            </w:r>
          </w:p>
        </w:tc>
      </w:tr>
    </w:tbl>
    <w:p w:rsidR="005269BD" w:rsidRPr="00896591" w:rsidRDefault="005269BD" w:rsidP="00B72E98">
      <w:pPr>
        <w:rPr>
          <w:lang w:eastAsia="zh-CN"/>
        </w:rPr>
        <w:sectPr w:rsidR="005269BD" w:rsidRPr="00896591" w:rsidSect="00AB2C3B">
          <w:headerReference w:type="default" r:id="rId16"/>
          <w:footerReference w:type="default" r:id="rId17"/>
          <w:headerReference w:type="first" r:id="rId18"/>
          <w:footerReference w:type="first" r:id="rId19"/>
          <w:pgSz w:w="16834" w:h="11907" w:orient="landscape" w:code="9"/>
          <w:pgMar w:top="1418" w:right="1418" w:bottom="1134" w:left="1418" w:header="720" w:footer="720" w:gutter="0"/>
          <w:paperSrc w:first="15" w:other="15"/>
          <w:cols w:space="720"/>
          <w:docGrid w:linePitch="326"/>
        </w:sectPr>
      </w:pPr>
    </w:p>
    <w:p w:rsidR="005269BD" w:rsidRPr="00F16DC2" w:rsidRDefault="005269BD" w:rsidP="003D7719">
      <w:pPr>
        <w:pStyle w:val="AnnexNotitle0"/>
        <w:rPr>
          <w:rFonts w:asciiTheme="minorHAnsi" w:hAnsiTheme="minorHAnsi" w:cstheme="minorHAnsi"/>
        </w:rPr>
      </w:pPr>
      <w:r w:rsidRPr="00F16DC2">
        <w:rPr>
          <w:rFonts w:asciiTheme="minorHAnsi" w:hAnsiTheme="minorHAnsi" w:cstheme="minorHAnsi"/>
        </w:rPr>
        <w:lastRenderedPageBreak/>
        <w:t>ANNEX 1</w:t>
      </w:r>
      <w:r w:rsidRPr="00F16DC2">
        <w:rPr>
          <w:rFonts w:asciiTheme="minorHAnsi" w:hAnsiTheme="minorHAnsi" w:cstheme="minorHAnsi"/>
        </w:rPr>
        <w:br/>
      </w:r>
      <w:r w:rsidRPr="00F16DC2">
        <w:rPr>
          <w:rFonts w:asciiTheme="minorHAnsi" w:hAnsiTheme="minorHAnsi" w:cstheme="minorHAnsi"/>
        </w:rPr>
        <w:br/>
      </w:r>
      <w:proofErr w:type="spellStart"/>
      <w:r w:rsidRPr="00F16DC2">
        <w:rPr>
          <w:rFonts w:asciiTheme="minorHAnsi" w:hAnsiTheme="minorHAnsi" w:cstheme="minorHAnsi"/>
          <w:lang w:eastAsia="zh-CN"/>
        </w:rPr>
        <w:t>Radiocommunication</w:t>
      </w:r>
      <w:proofErr w:type="spellEnd"/>
      <w:r w:rsidRPr="00F16DC2">
        <w:rPr>
          <w:rFonts w:asciiTheme="minorHAnsi" w:hAnsiTheme="minorHAnsi" w:cstheme="minorHAnsi"/>
          <w:lang w:eastAsia="zh-CN"/>
        </w:rPr>
        <w:t xml:space="preserve"> Advisory Group</w:t>
      </w:r>
    </w:p>
    <w:p w:rsidR="005269BD" w:rsidRPr="00F16DC2" w:rsidRDefault="005269BD" w:rsidP="00264B2D">
      <w:pPr>
        <w:pStyle w:val="Title1"/>
        <w:rPr>
          <w:rFonts w:asciiTheme="minorHAnsi" w:hAnsiTheme="minorHAnsi" w:cstheme="minorHAnsi"/>
        </w:rPr>
      </w:pPr>
      <w:r w:rsidRPr="00F16DC2">
        <w:rPr>
          <w:rFonts w:asciiTheme="minorHAnsi" w:hAnsiTheme="minorHAnsi" w:cstheme="minorHAnsi"/>
        </w:rPr>
        <w:t xml:space="preserve">contribution  of the </w:t>
      </w:r>
      <w:r w:rsidRPr="00F16DC2">
        <w:rPr>
          <w:rFonts w:asciiTheme="minorHAnsi" w:hAnsiTheme="minorHAnsi" w:cstheme="minorHAnsi"/>
          <w:lang w:eastAsia="zh-CN"/>
        </w:rPr>
        <w:t xml:space="preserve">Radiocommunication Advisory Group to the PREparation of the </w:t>
      </w:r>
      <w:r w:rsidRPr="00F16DC2">
        <w:rPr>
          <w:rFonts w:asciiTheme="minorHAnsi" w:hAnsiTheme="minorHAnsi" w:cstheme="minorHAnsi"/>
        </w:rPr>
        <w:t>strategic plan for the 2016-2019 period</w:t>
      </w:r>
    </w:p>
    <w:p w:rsidR="005269BD" w:rsidRPr="00896591" w:rsidRDefault="005269BD" w:rsidP="00316405">
      <w:pPr>
        <w:pStyle w:val="Heading1"/>
      </w:pPr>
      <w:r w:rsidRPr="00896591">
        <w:t>1</w:t>
      </w:r>
      <w:r w:rsidRPr="00896591">
        <w:tab/>
        <w:t>Introduction</w:t>
      </w:r>
    </w:p>
    <w:p w:rsidR="005269BD" w:rsidRPr="005F3D64" w:rsidRDefault="005269BD" w:rsidP="00A37C27">
      <w:pPr>
        <w:jc w:val="left"/>
        <w:rPr>
          <w:sz w:val="24"/>
          <w:szCs w:val="24"/>
        </w:rPr>
      </w:pPr>
      <w:r w:rsidRPr="005F3D64">
        <w:rPr>
          <w:sz w:val="24"/>
          <w:szCs w:val="24"/>
        </w:rPr>
        <w:t xml:space="preserve">At its 18th Meeting, in 2011, the </w:t>
      </w:r>
      <w:proofErr w:type="spellStart"/>
      <w:r w:rsidRPr="005F3D64">
        <w:rPr>
          <w:sz w:val="24"/>
          <w:szCs w:val="24"/>
        </w:rPr>
        <w:t>Radiocommunication</w:t>
      </w:r>
      <w:proofErr w:type="spellEnd"/>
      <w:r w:rsidRPr="005F3D64">
        <w:rPr>
          <w:sz w:val="24"/>
          <w:szCs w:val="24"/>
        </w:rPr>
        <w:t xml:space="preserve"> Advisory Group (RAG) established a Correspondence Group on ITU</w:t>
      </w:r>
      <w:r w:rsidRPr="005F3D64">
        <w:rPr>
          <w:sz w:val="24"/>
          <w:szCs w:val="24"/>
        </w:rPr>
        <w:noBreakHyphen/>
        <w:t>R Strategic Plan. At its 19th Meeting, in 2012, the RAG concluded that the work of the Correspondence Group should continue. The RAG also held a face-to-face meeting of RAG participants and meetings of a drafting group in conjunction with the session of the RAG in 2013 to discuss issues related to the ITU</w:t>
      </w:r>
      <w:r w:rsidRPr="005F3D64">
        <w:rPr>
          <w:sz w:val="24"/>
          <w:szCs w:val="24"/>
        </w:rPr>
        <w:noBreakHyphen/>
        <w:t xml:space="preserve">R Strategic Plan, 2016-2019. </w:t>
      </w:r>
    </w:p>
    <w:p w:rsidR="005269BD" w:rsidRPr="005F3D64" w:rsidRDefault="005269BD" w:rsidP="00A37C27">
      <w:pPr>
        <w:jc w:val="left"/>
        <w:rPr>
          <w:sz w:val="24"/>
          <w:szCs w:val="24"/>
        </w:rPr>
      </w:pPr>
      <w:r w:rsidRPr="005F3D64">
        <w:rPr>
          <w:sz w:val="24"/>
          <w:szCs w:val="24"/>
        </w:rPr>
        <w:t xml:space="preserve">The RAG noted the draft budgets of the Union are now based on the results-based budget (RBB) format endorsed at the Plenipotentiary Conference and set forth in Resolution 151. The costs of the goals and objectives of each Sector are provided in line with the Strategic Plan for the Union. </w:t>
      </w:r>
    </w:p>
    <w:p w:rsidR="005269BD" w:rsidRPr="005F3D64" w:rsidRDefault="005269BD" w:rsidP="00A37C27">
      <w:pPr>
        <w:jc w:val="left"/>
        <w:rPr>
          <w:bCs/>
          <w:sz w:val="24"/>
          <w:szCs w:val="24"/>
        </w:rPr>
      </w:pPr>
      <w:r w:rsidRPr="005F3D64">
        <w:rPr>
          <w:bCs/>
          <w:sz w:val="24"/>
          <w:szCs w:val="24"/>
        </w:rPr>
        <w:t xml:space="preserve">The RAG assumed that, in accordance with </w:t>
      </w:r>
      <w:r w:rsidRPr="005F3D64">
        <w:rPr>
          <w:sz w:val="24"/>
          <w:szCs w:val="24"/>
        </w:rPr>
        <w:t xml:space="preserve">the ITU Convention (No. 62A), the 2013 session of Council will establish a Council Working Group (CWG) for the elaboration of the draft Strategic Plan for the period 2016-2019. This CWG is to draw on input from Member States, Sector Members, and from the Sector advisory groups. </w:t>
      </w:r>
      <w:r w:rsidRPr="005F3D64">
        <w:rPr>
          <w:bCs/>
          <w:sz w:val="24"/>
          <w:szCs w:val="24"/>
        </w:rPr>
        <w:t>Based on this understanding and in view of the proposals and suggestions contained in Documents</w:t>
      </w:r>
      <w:r w:rsidRPr="005F3D64">
        <w:rPr>
          <w:sz w:val="24"/>
          <w:szCs w:val="24"/>
        </w:rPr>
        <w:t xml:space="preserve"> RAG13-1/13, 15 and 17 that were received by the 20th Meeting of the RAG, t</w:t>
      </w:r>
      <w:r w:rsidRPr="005F3D64">
        <w:rPr>
          <w:bCs/>
          <w:sz w:val="24"/>
          <w:szCs w:val="24"/>
        </w:rPr>
        <w:t>he RAG forwards its conclusions on this issue to the Council for its consideration.</w:t>
      </w:r>
    </w:p>
    <w:p w:rsidR="005269BD" w:rsidRPr="005F3D64" w:rsidRDefault="005269BD" w:rsidP="00A37C27">
      <w:pPr>
        <w:jc w:val="left"/>
        <w:rPr>
          <w:bCs/>
          <w:sz w:val="24"/>
          <w:szCs w:val="24"/>
        </w:rPr>
      </w:pPr>
      <w:r w:rsidRPr="005F3D64">
        <w:rPr>
          <w:bCs/>
          <w:sz w:val="24"/>
          <w:szCs w:val="24"/>
        </w:rPr>
        <w:t xml:space="preserve">This document presents these conclusions according to the following general  considerations: </w:t>
      </w:r>
    </w:p>
    <w:p w:rsidR="005269BD" w:rsidRPr="005F3D64" w:rsidRDefault="005269BD" w:rsidP="00A37C27">
      <w:pPr>
        <w:pStyle w:val="enumlev1"/>
        <w:jc w:val="left"/>
        <w:rPr>
          <w:sz w:val="24"/>
          <w:szCs w:val="24"/>
        </w:rPr>
      </w:pPr>
      <w:r w:rsidRPr="005F3D64">
        <w:rPr>
          <w:sz w:val="24"/>
          <w:szCs w:val="24"/>
        </w:rPr>
        <w:t>–</w:t>
      </w:r>
      <w:r w:rsidRPr="005F3D64">
        <w:rPr>
          <w:sz w:val="24"/>
          <w:szCs w:val="24"/>
        </w:rPr>
        <w:tab/>
      </w:r>
      <w:r w:rsidRPr="005F3D64">
        <w:rPr>
          <w:b/>
          <w:sz w:val="24"/>
          <w:szCs w:val="24"/>
        </w:rPr>
        <w:t>Scope of the ITU</w:t>
      </w:r>
      <w:r w:rsidRPr="005F3D64">
        <w:rPr>
          <w:b/>
          <w:sz w:val="24"/>
          <w:szCs w:val="24"/>
        </w:rPr>
        <w:noBreakHyphen/>
        <w:t>R Strategic Plan</w:t>
      </w:r>
      <w:r w:rsidRPr="005F3D64">
        <w:rPr>
          <w:sz w:val="24"/>
          <w:szCs w:val="24"/>
        </w:rPr>
        <w:t xml:space="preserve">: the Plan should be designed for the entire </w:t>
      </w:r>
      <w:proofErr w:type="spellStart"/>
      <w:r w:rsidRPr="005F3D64">
        <w:rPr>
          <w:sz w:val="24"/>
          <w:szCs w:val="24"/>
        </w:rPr>
        <w:t>Radiocommunication</w:t>
      </w:r>
      <w:proofErr w:type="spellEnd"/>
      <w:r w:rsidRPr="005F3D64">
        <w:rPr>
          <w:sz w:val="24"/>
          <w:szCs w:val="24"/>
        </w:rPr>
        <w:t xml:space="preserve"> Sector and the parts related to the </w:t>
      </w:r>
      <w:proofErr w:type="spellStart"/>
      <w:r w:rsidRPr="005F3D64">
        <w:rPr>
          <w:sz w:val="24"/>
          <w:szCs w:val="24"/>
        </w:rPr>
        <w:t>Radiocommunication</w:t>
      </w:r>
      <w:proofErr w:type="spellEnd"/>
      <w:r w:rsidRPr="005F3D64">
        <w:rPr>
          <w:sz w:val="24"/>
          <w:szCs w:val="24"/>
        </w:rPr>
        <w:t xml:space="preserve"> Bureau (BR) should be clearly identified,</w:t>
      </w:r>
    </w:p>
    <w:p w:rsidR="005269BD" w:rsidRPr="005F3D64" w:rsidRDefault="005269BD" w:rsidP="00A37C27">
      <w:pPr>
        <w:pStyle w:val="enumlev1"/>
        <w:jc w:val="left"/>
        <w:rPr>
          <w:sz w:val="24"/>
          <w:szCs w:val="24"/>
        </w:rPr>
      </w:pPr>
      <w:r w:rsidRPr="005F3D64">
        <w:rPr>
          <w:sz w:val="24"/>
          <w:szCs w:val="24"/>
        </w:rPr>
        <w:t>–</w:t>
      </w:r>
      <w:r w:rsidRPr="005F3D64">
        <w:rPr>
          <w:sz w:val="24"/>
          <w:szCs w:val="24"/>
        </w:rPr>
        <w:tab/>
      </w:r>
      <w:r w:rsidRPr="005F3D64">
        <w:rPr>
          <w:b/>
          <w:sz w:val="24"/>
          <w:szCs w:val="24"/>
        </w:rPr>
        <w:t>Structure of the ITU</w:t>
      </w:r>
      <w:r w:rsidRPr="005F3D64">
        <w:rPr>
          <w:b/>
          <w:sz w:val="24"/>
          <w:szCs w:val="24"/>
        </w:rPr>
        <w:noBreakHyphen/>
        <w:t>R Strategic Plan</w:t>
      </w:r>
      <w:r w:rsidRPr="005F3D64">
        <w:rPr>
          <w:sz w:val="24"/>
          <w:szCs w:val="24"/>
        </w:rPr>
        <w:t xml:space="preserve">: the current Strategic Plan should be restructured to simplify and articulate its different parts in a more logical manner, </w:t>
      </w:r>
    </w:p>
    <w:p w:rsidR="005269BD" w:rsidRPr="005F3D64" w:rsidRDefault="005269BD" w:rsidP="00A37C27">
      <w:pPr>
        <w:pStyle w:val="enumlev1"/>
        <w:jc w:val="left"/>
        <w:rPr>
          <w:sz w:val="24"/>
          <w:szCs w:val="24"/>
        </w:rPr>
      </w:pPr>
      <w:r w:rsidRPr="005F3D64">
        <w:rPr>
          <w:sz w:val="24"/>
          <w:szCs w:val="24"/>
        </w:rPr>
        <w:t>–</w:t>
      </w:r>
      <w:r w:rsidRPr="005F3D64">
        <w:rPr>
          <w:sz w:val="24"/>
          <w:szCs w:val="24"/>
        </w:rPr>
        <w:tab/>
      </w:r>
      <w:r w:rsidRPr="005F3D64">
        <w:rPr>
          <w:b/>
          <w:sz w:val="24"/>
          <w:szCs w:val="24"/>
        </w:rPr>
        <w:t>Description of the ITU</w:t>
      </w:r>
      <w:r w:rsidRPr="005F3D64">
        <w:rPr>
          <w:b/>
          <w:sz w:val="24"/>
          <w:szCs w:val="24"/>
        </w:rPr>
        <w:noBreakHyphen/>
        <w:t>R Strategic Plan</w:t>
      </w:r>
      <w:r w:rsidRPr="005F3D64">
        <w:rPr>
          <w:sz w:val="24"/>
          <w:szCs w:val="24"/>
        </w:rPr>
        <w:t>: the description of the Strategic Plan could be improved to more coherently and consistently describe, but also more clearly distinguish, the strategic objectives, processes, activities and outputs. This would help ensure that there are appropriate linkages of the processes and activities of the BR to the strategic objectives of the ITU</w:t>
      </w:r>
      <w:r w:rsidRPr="005F3D64">
        <w:rPr>
          <w:sz w:val="24"/>
          <w:szCs w:val="24"/>
        </w:rPr>
        <w:noBreakHyphen/>
        <w:t xml:space="preserve">R, </w:t>
      </w:r>
    </w:p>
    <w:p w:rsidR="005269BD" w:rsidRPr="005F3D64" w:rsidRDefault="005269BD" w:rsidP="00A37C27">
      <w:pPr>
        <w:pStyle w:val="enumlev1"/>
        <w:jc w:val="left"/>
        <w:rPr>
          <w:sz w:val="24"/>
          <w:szCs w:val="24"/>
        </w:rPr>
      </w:pPr>
      <w:r w:rsidRPr="005F3D64">
        <w:rPr>
          <w:sz w:val="24"/>
          <w:szCs w:val="24"/>
        </w:rPr>
        <w:t>–</w:t>
      </w:r>
      <w:r w:rsidRPr="005F3D64">
        <w:rPr>
          <w:sz w:val="24"/>
          <w:szCs w:val="24"/>
        </w:rPr>
        <w:tab/>
      </w:r>
      <w:r w:rsidRPr="005F3D64">
        <w:rPr>
          <w:b/>
          <w:sz w:val="24"/>
          <w:szCs w:val="24"/>
        </w:rPr>
        <w:t>Terminology</w:t>
      </w:r>
      <w:r w:rsidRPr="005F3D64">
        <w:rPr>
          <w:sz w:val="24"/>
          <w:szCs w:val="24"/>
        </w:rPr>
        <w:t>: the key concepts should be simplified, clarified and defined in the ITU</w:t>
      </w:r>
      <w:r w:rsidRPr="005F3D64">
        <w:rPr>
          <w:sz w:val="24"/>
          <w:szCs w:val="24"/>
        </w:rPr>
        <w:noBreakHyphen/>
        <w:t xml:space="preserve">R Strategic Plan, especially to avoid using terms, which have similar meanings (e.g. objective and goal), and </w:t>
      </w:r>
    </w:p>
    <w:p w:rsidR="005269BD" w:rsidRPr="005F3D64" w:rsidRDefault="005269BD" w:rsidP="00A37C27">
      <w:pPr>
        <w:pStyle w:val="enumlev1"/>
        <w:jc w:val="left"/>
        <w:rPr>
          <w:sz w:val="24"/>
          <w:szCs w:val="24"/>
        </w:rPr>
      </w:pPr>
      <w:r w:rsidRPr="005F3D64">
        <w:rPr>
          <w:sz w:val="24"/>
          <w:szCs w:val="24"/>
        </w:rPr>
        <w:t>–</w:t>
      </w:r>
      <w:r w:rsidRPr="005F3D64">
        <w:rPr>
          <w:sz w:val="24"/>
          <w:szCs w:val="24"/>
        </w:rPr>
        <w:tab/>
      </w:r>
      <w:r w:rsidRPr="005F3D64">
        <w:rPr>
          <w:b/>
          <w:sz w:val="24"/>
          <w:szCs w:val="24"/>
        </w:rPr>
        <w:t>Highlighting ITU</w:t>
      </w:r>
      <w:r w:rsidRPr="005F3D64">
        <w:rPr>
          <w:b/>
          <w:sz w:val="24"/>
          <w:szCs w:val="24"/>
        </w:rPr>
        <w:noBreakHyphen/>
        <w:t>R priorities in the ITU</w:t>
      </w:r>
      <w:r w:rsidRPr="005F3D64">
        <w:rPr>
          <w:b/>
          <w:sz w:val="24"/>
          <w:szCs w:val="24"/>
        </w:rPr>
        <w:noBreakHyphen/>
        <w:t>R Strategic Plan</w:t>
      </w:r>
      <w:r w:rsidRPr="005F3D64">
        <w:rPr>
          <w:sz w:val="24"/>
          <w:szCs w:val="24"/>
        </w:rPr>
        <w:t xml:space="preserve">: the World </w:t>
      </w:r>
      <w:proofErr w:type="spellStart"/>
      <w:r w:rsidRPr="005F3D64">
        <w:rPr>
          <w:sz w:val="24"/>
          <w:szCs w:val="24"/>
        </w:rPr>
        <w:t>Radiocommunication</w:t>
      </w:r>
      <w:proofErr w:type="spellEnd"/>
      <w:r w:rsidRPr="005F3D64">
        <w:rPr>
          <w:sz w:val="24"/>
          <w:szCs w:val="24"/>
        </w:rPr>
        <w:t xml:space="preserve"> Conferences (WRC) should be shown to be among the central and priority activities of the ITU</w:t>
      </w:r>
      <w:r w:rsidRPr="005F3D64">
        <w:rPr>
          <w:sz w:val="24"/>
          <w:szCs w:val="24"/>
        </w:rPr>
        <w:noBreakHyphen/>
        <w:t>R. As the strategic plan is linked to the financial and operational plans of the sector, the identification of WRCs as a strategic priority will help to ensure their functioning and timely convening.</w:t>
      </w:r>
    </w:p>
    <w:p w:rsidR="005269BD" w:rsidRPr="005F3D64" w:rsidRDefault="005269BD" w:rsidP="00A37C27">
      <w:pPr>
        <w:jc w:val="left"/>
        <w:rPr>
          <w:sz w:val="24"/>
          <w:szCs w:val="24"/>
        </w:rPr>
      </w:pPr>
      <w:r w:rsidRPr="005F3D64">
        <w:rPr>
          <w:sz w:val="24"/>
          <w:szCs w:val="24"/>
        </w:rPr>
        <w:lastRenderedPageBreak/>
        <w:t xml:space="preserve">The RAG also noted that the Strategic Plan and the associated terminology should be consistent across the three Sectors and the General Secretariat. </w:t>
      </w:r>
    </w:p>
    <w:p w:rsidR="005269BD" w:rsidRPr="005F3D64" w:rsidRDefault="005269BD" w:rsidP="005C1132">
      <w:pPr>
        <w:jc w:val="left"/>
        <w:rPr>
          <w:sz w:val="24"/>
          <w:szCs w:val="24"/>
        </w:rPr>
      </w:pPr>
      <w:r w:rsidRPr="005F3D64">
        <w:rPr>
          <w:sz w:val="24"/>
          <w:szCs w:val="24"/>
        </w:rPr>
        <w:t>Finally, consideration should also be given to streamlining the presentation of the parts of the Strategic Plan applicable to the Sectors and the General Secretariat with a view to eliminating possible redundancies (e.g. the same information reflected in goals and objectives), as well as transferring some information to the Operational Plans.</w:t>
      </w:r>
    </w:p>
    <w:p w:rsidR="005269BD" w:rsidRPr="005F3D64" w:rsidRDefault="005269BD" w:rsidP="005C1132">
      <w:pPr>
        <w:pStyle w:val="Heading1"/>
        <w:jc w:val="left"/>
        <w:rPr>
          <w:szCs w:val="24"/>
        </w:rPr>
      </w:pPr>
      <w:r w:rsidRPr="005F3D64">
        <w:rPr>
          <w:szCs w:val="24"/>
        </w:rPr>
        <w:t>2</w:t>
      </w:r>
      <w:r w:rsidRPr="005F3D64">
        <w:rPr>
          <w:szCs w:val="24"/>
        </w:rPr>
        <w:tab/>
        <w:t>Scope of the ITU</w:t>
      </w:r>
      <w:r w:rsidRPr="005F3D64">
        <w:rPr>
          <w:szCs w:val="24"/>
        </w:rPr>
        <w:noBreakHyphen/>
        <w:t xml:space="preserve">R Strategic Plan: a Plan for the entire </w:t>
      </w:r>
      <w:proofErr w:type="spellStart"/>
      <w:r w:rsidRPr="005F3D64">
        <w:rPr>
          <w:szCs w:val="24"/>
        </w:rPr>
        <w:t>Radiocommunication</w:t>
      </w:r>
      <w:proofErr w:type="spellEnd"/>
      <w:r w:rsidRPr="005F3D64">
        <w:rPr>
          <w:szCs w:val="24"/>
        </w:rPr>
        <w:t xml:space="preserve"> Sector</w:t>
      </w:r>
    </w:p>
    <w:p w:rsidR="005269BD" w:rsidRPr="005F3D64" w:rsidRDefault="005269BD" w:rsidP="00A37C27">
      <w:pPr>
        <w:jc w:val="left"/>
        <w:rPr>
          <w:sz w:val="24"/>
          <w:szCs w:val="24"/>
        </w:rPr>
      </w:pPr>
      <w:r w:rsidRPr="005F3D64">
        <w:rPr>
          <w:sz w:val="24"/>
          <w:szCs w:val="24"/>
        </w:rPr>
        <w:t xml:space="preserve">As described in Article 12 of the Constitution (notably Nos. 86-88), the </w:t>
      </w:r>
      <w:proofErr w:type="spellStart"/>
      <w:r w:rsidRPr="005F3D64">
        <w:rPr>
          <w:sz w:val="24"/>
          <w:szCs w:val="24"/>
        </w:rPr>
        <w:t>Radiocommunication</w:t>
      </w:r>
      <w:proofErr w:type="spellEnd"/>
      <w:r w:rsidRPr="005F3D64">
        <w:rPr>
          <w:sz w:val="24"/>
          <w:szCs w:val="24"/>
        </w:rPr>
        <w:t xml:space="preserve"> Sector comprises the Member States (No. 87) and the Sector Members (No. 88). Moreover, Nos. 80</w:t>
      </w:r>
      <w:r w:rsidRPr="005F3D64">
        <w:rPr>
          <w:sz w:val="24"/>
          <w:szCs w:val="24"/>
        </w:rPr>
        <w:noBreakHyphen/>
        <w:t xml:space="preserve">85 explain that the Sector works through world and regional </w:t>
      </w:r>
      <w:proofErr w:type="spellStart"/>
      <w:r w:rsidRPr="005F3D64">
        <w:rPr>
          <w:sz w:val="24"/>
          <w:szCs w:val="24"/>
        </w:rPr>
        <w:t>radiocommunication</w:t>
      </w:r>
      <w:proofErr w:type="spellEnd"/>
      <w:r w:rsidRPr="005F3D64">
        <w:rPr>
          <w:sz w:val="24"/>
          <w:szCs w:val="24"/>
        </w:rPr>
        <w:t xml:space="preserve"> conferences (WRC and RRC) (No.</w:t>
      </w:r>
      <w:r w:rsidR="00A37C27" w:rsidRPr="005F3D64">
        <w:rPr>
          <w:sz w:val="24"/>
          <w:szCs w:val="24"/>
        </w:rPr>
        <w:t> </w:t>
      </w:r>
      <w:r w:rsidRPr="005F3D64">
        <w:rPr>
          <w:sz w:val="24"/>
          <w:szCs w:val="24"/>
        </w:rPr>
        <w:t xml:space="preserve">81), the Radio Regulations Board (RRB) (No. 82), </w:t>
      </w:r>
      <w:proofErr w:type="spellStart"/>
      <w:r w:rsidRPr="005F3D64">
        <w:rPr>
          <w:sz w:val="24"/>
          <w:szCs w:val="24"/>
        </w:rPr>
        <w:t>Radiocommunication</w:t>
      </w:r>
      <w:proofErr w:type="spellEnd"/>
      <w:r w:rsidRPr="005F3D64">
        <w:rPr>
          <w:sz w:val="24"/>
          <w:szCs w:val="24"/>
        </w:rPr>
        <w:t xml:space="preserve"> assemblies (No. 83), </w:t>
      </w:r>
      <w:proofErr w:type="spellStart"/>
      <w:r w:rsidRPr="005F3D64">
        <w:rPr>
          <w:sz w:val="24"/>
          <w:szCs w:val="24"/>
        </w:rPr>
        <w:t>Radiocommunication</w:t>
      </w:r>
      <w:proofErr w:type="spellEnd"/>
      <w:r w:rsidRPr="005F3D64">
        <w:rPr>
          <w:sz w:val="24"/>
          <w:szCs w:val="24"/>
        </w:rPr>
        <w:t xml:space="preserve"> study groups (No. 84), the </w:t>
      </w:r>
      <w:proofErr w:type="spellStart"/>
      <w:r w:rsidRPr="005F3D64">
        <w:rPr>
          <w:sz w:val="24"/>
          <w:szCs w:val="24"/>
        </w:rPr>
        <w:t>Radiocommunication</w:t>
      </w:r>
      <w:proofErr w:type="spellEnd"/>
      <w:r w:rsidRPr="005F3D64">
        <w:rPr>
          <w:sz w:val="24"/>
          <w:szCs w:val="24"/>
        </w:rPr>
        <w:t xml:space="preserve"> Advisory Group (No. 84A) and the </w:t>
      </w:r>
      <w:proofErr w:type="spellStart"/>
      <w:r w:rsidRPr="005F3D64">
        <w:rPr>
          <w:sz w:val="24"/>
          <w:szCs w:val="24"/>
        </w:rPr>
        <w:t>Radiocommunication</w:t>
      </w:r>
      <w:proofErr w:type="spellEnd"/>
      <w:r w:rsidRPr="005F3D64">
        <w:rPr>
          <w:sz w:val="24"/>
          <w:szCs w:val="24"/>
        </w:rPr>
        <w:t xml:space="preserve"> Bureau, headed by the elected Director (No. 85). </w:t>
      </w:r>
    </w:p>
    <w:p w:rsidR="005269BD" w:rsidRPr="005F3D64" w:rsidRDefault="005269BD" w:rsidP="005C1132">
      <w:pPr>
        <w:jc w:val="left"/>
        <w:rPr>
          <w:sz w:val="24"/>
          <w:szCs w:val="24"/>
        </w:rPr>
      </w:pPr>
      <w:r w:rsidRPr="005F3D64">
        <w:rPr>
          <w:sz w:val="24"/>
          <w:szCs w:val="24"/>
        </w:rPr>
        <w:t xml:space="preserve">The draft Strategic Plan should therefore clearly identify: </w:t>
      </w:r>
    </w:p>
    <w:p w:rsidR="005269BD" w:rsidRPr="005F3D64" w:rsidRDefault="005269BD" w:rsidP="005C1132">
      <w:pPr>
        <w:pStyle w:val="enumlev1"/>
        <w:jc w:val="left"/>
        <w:rPr>
          <w:sz w:val="24"/>
          <w:szCs w:val="24"/>
        </w:rPr>
      </w:pPr>
      <w:r w:rsidRPr="005F3D64">
        <w:rPr>
          <w:sz w:val="24"/>
          <w:szCs w:val="24"/>
        </w:rPr>
        <w:t>•</w:t>
      </w:r>
      <w:r w:rsidRPr="005F3D64">
        <w:rPr>
          <w:sz w:val="24"/>
          <w:szCs w:val="24"/>
        </w:rPr>
        <w:tab/>
        <w:t xml:space="preserve">the role, responsibilities and activities of the </w:t>
      </w:r>
      <w:proofErr w:type="spellStart"/>
      <w:r w:rsidRPr="005F3D64">
        <w:rPr>
          <w:sz w:val="24"/>
          <w:szCs w:val="24"/>
        </w:rPr>
        <w:t>Radiocommunication</w:t>
      </w:r>
      <w:proofErr w:type="spellEnd"/>
      <w:r w:rsidRPr="005F3D64">
        <w:rPr>
          <w:sz w:val="24"/>
          <w:szCs w:val="24"/>
        </w:rPr>
        <w:t xml:space="preserve"> Bureau and other ITU</w:t>
      </w:r>
      <w:r w:rsidRPr="005F3D64">
        <w:rPr>
          <w:sz w:val="24"/>
          <w:szCs w:val="24"/>
        </w:rPr>
        <w:noBreakHyphen/>
        <w:t>R entities, which are designed to support the ITU</w:t>
      </w:r>
      <w:r w:rsidRPr="005F3D64">
        <w:rPr>
          <w:sz w:val="24"/>
          <w:szCs w:val="24"/>
        </w:rPr>
        <w:noBreakHyphen/>
        <w:t xml:space="preserve">R membership, and </w:t>
      </w:r>
    </w:p>
    <w:p w:rsidR="005269BD" w:rsidRPr="005F3D64" w:rsidRDefault="005269BD" w:rsidP="00316405">
      <w:pPr>
        <w:pStyle w:val="enumlev1"/>
        <w:rPr>
          <w:sz w:val="24"/>
          <w:szCs w:val="24"/>
        </w:rPr>
      </w:pPr>
      <w:r w:rsidRPr="005F3D64">
        <w:rPr>
          <w:sz w:val="24"/>
          <w:szCs w:val="24"/>
        </w:rPr>
        <w:t>•</w:t>
      </w:r>
      <w:r w:rsidRPr="005F3D64">
        <w:rPr>
          <w:sz w:val="24"/>
          <w:szCs w:val="24"/>
        </w:rPr>
        <w:tab/>
        <w:t>the role, responsibilities and activities of Member States and Sector Members.</w:t>
      </w:r>
    </w:p>
    <w:p w:rsidR="005269BD" w:rsidRPr="00896591" w:rsidRDefault="005269BD" w:rsidP="00630ACF">
      <w:pPr>
        <w:pBdr>
          <w:top w:val="single" w:sz="4" w:space="1" w:color="auto"/>
          <w:left w:val="single" w:sz="4" w:space="4" w:color="auto"/>
          <w:bottom w:val="single" w:sz="4" w:space="1" w:color="auto"/>
          <w:right w:val="single" w:sz="4" w:space="4" w:color="auto"/>
        </w:pBdr>
        <w:rPr>
          <w:b/>
          <w:bCs/>
        </w:rPr>
      </w:pPr>
      <w:r w:rsidRPr="00896591">
        <w:rPr>
          <w:b/>
          <w:bCs/>
        </w:rPr>
        <w:t xml:space="preserve">The RAG therefore proposes that the Draft Strategic Plan of the Union for the 2016-2019 period should be prepared with a view to encompassing the functions of the entire </w:t>
      </w:r>
      <w:proofErr w:type="spellStart"/>
      <w:r w:rsidRPr="00896591">
        <w:rPr>
          <w:b/>
          <w:bCs/>
        </w:rPr>
        <w:t>Radiocommunication</w:t>
      </w:r>
      <w:proofErr w:type="spellEnd"/>
      <w:r w:rsidRPr="00896591">
        <w:rPr>
          <w:b/>
          <w:bCs/>
        </w:rPr>
        <w:t xml:space="preserve"> Sector. In particular, the role and tasks of the </w:t>
      </w:r>
      <w:proofErr w:type="spellStart"/>
      <w:r w:rsidRPr="00896591">
        <w:rPr>
          <w:b/>
          <w:bCs/>
        </w:rPr>
        <w:t>Radiocommunication</w:t>
      </w:r>
      <w:proofErr w:type="spellEnd"/>
      <w:r w:rsidRPr="00896591">
        <w:rPr>
          <w:b/>
          <w:bCs/>
        </w:rPr>
        <w:t xml:space="preserve"> Bureau should be clearly identified. </w:t>
      </w:r>
    </w:p>
    <w:p w:rsidR="005269BD" w:rsidRPr="00896591" w:rsidRDefault="005269BD" w:rsidP="00316405">
      <w:pPr>
        <w:pStyle w:val="Heading1"/>
      </w:pPr>
      <w:r w:rsidRPr="00896591">
        <w:t>3</w:t>
      </w:r>
      <w:r w:rsidRPr="00896591">
        <w:tab/>
        <w:t>Restructuring the current ITU</w:t>
      </w:r>
      <w:r w:rsidRPr="00896591">
        <w:noBreakHyphen/>
        <w:t xml:space="preserve">R Strategic Plan </w:t>
      </w:r>
    </w:p>
    <w:p w:rsidR="005269BD" w:rsidRPr="005F3D64" w:rsidRDefault="005269BD" w:rsidP="005C1132">
      <w:pPr>
        <w:jc w:val="left"/>
        <w:rPr>
          <w:sz w:val="24"/>
          <w:szCs w:val="24"/>
        </w:rPr>
      </w:pPr>
      <w:r w:rsidRPr="005F3D64">
        <w:rPr>
          <w:sz w:val="24"/>
          <w:szCs w:val="24"/>
        </w:rPr>
        <w:t xml:space="preserve">Similarly to the Strategic Plans of the two other Sectors, the current Strategic Plan of the </w:t>
      </w:r>
      <w:proofErr w:type="spellStart"/>
      <w:r w:rsidRPr="005F3D64">
        <w:rPr>
          <w:sz w:val="24"/>
          <w:szCs w:val="24"/>
        </w:rPr>
        <w:t>Radiocommunication</w:t>
      </w:r>
      <w:proofErr w:type="spellEnd"/>
      <w:r w:rsidRPr="005F3D64">
        <w:rPr>
          <w:sz w:val="24"/>
          <w:szCs w:val="24"/>
        </w:rPr>
        <w:t xml:space="preserve"> Sector, as contained in Section 4 of Resolution 71 (Rev. Guadalajara, 2010), comprises five parts and two tables, as follows: </w:t>
      </w:r>
    </w:p>
    <w:p w:rsidR="005269BD" w:rsidRPr="005F3D64" w:rsidRDefault="005269BD" w:rsidP="005C1132">
      <w:pPr>
        <w:pStyle w:val="enumlev1"/>
        <w:tabs>
          <w:tab w:val="clear" w:pos="1191"/>
          <w:tab w:val="clear" w:pos="1588"/>
          <w:tab w:val="left" w:pos="1701"/>
        </w:tabs>
        <w:jc w:val="left"/>
        <w:rPr>
          <w:sz w:val="24"/>
          <w:szCs w:val="24"/>
        </w:rPr>
      </w:pPr>
      <w:r w:rsidRPr="005F3D64">
        <w:rPr>
          <w:sz w:val="24"/>
          <w:szCs w:val="24"/>
        </w:rPr>
        <w:tab/>
        <w:t>“4.1</w:t>
      </w:r>
      <w:r w:rsidRPr="005F3D64">
        <w:rPr>
          <w:sz w:val="24"/>
          <w:szCs w:val="24"/>
        </w:rPr>
        <w:tab/>
        <w:t>Situational analysis</w:t>
      </w:r>
    </w:p>
    <w:p w:rsidR="005269BD" w:rsidRPr="005F3D64" w:rsidRDefault="005269BD" w:rsidP="005C1132">
      <w:pPr>
        <w:pStyle w:val="enumlev1"/>
        <w:tabs>
          <w:tab w:val="clear" w:pos="1191"/>
          <w:tab w:val="clear" w:pos="1588"/>
          <w:tab w:val="left" w:pos="1701"/>
        </w:tabs>
        <w:jc w:val="left"/>
        <w:rPr>
          <w:sz w:val="24"/>
          <w:szCs w:val="24"/>
        </w:rPr>
      </w:pPr>
      <w:r w:rsidRPr="005F3D64">
        <w:rPr>
          <w:sz w:val="24"/>
          <w:szCs w:val="24"/>
        </w:rPr>
        <w:tab/>
        <w:t>4.2</w:t>
      </w:r>
      <w:r w:rsidRPr="005F3D64">
        <w:rPr>
          <w:sz w:val="24"/>
          <w:szCs w:val="24"/>
        </w:rPr>
        <w:tab/>
        <w:t>Vision</w:t>
      </w:r>
    </w:p>
    <w:p w:rsidR="005269BD" w:rsidRPr="005F3D64" w:rsidRDefault="005269BD" w:rsidP="005C1132">
      <w:pPr>
        <w:pStyle w:val="enumlev1"/>
        <w:tabs>
          <w:tab w:val="clear" w:pos="1191"/>
          <w:tab w:val="clear" w:pos="1588"/>
          <w:tab w:val="left" w:pos="1701"/>
        </w:tabs>
        <w:jc w:val="left"/>
        <w:rPr>
          <w:sz w:val="24"/>
          <w:szCs w:val="24"/>
        </w:rPr>
      </w:pPr>
      <w:r w:rsidRPr="005F3D64">
        <w:rPr>
          <w:sz w:val="24"/>
          <w:szCs w:val="24"/>
        </w:rPr>
        <w:tab/>
        <w:t>4.3</w:t>
      </w:r>
      <w:r w:rsidRPr="005F3D64">
        <w:rPr>
          <w:sz w:val="24"/>
          <w:szCs w:val="24"/>
        </w:rPr>
        <w:tab/>
        <w:t xml:space="preserve">Mission </w:t>
      </w:r>
    </w:p>
    <w:p w:rsidR="005269BD" w:rsidRPr="005F3D64" w:rsidRDefault="005269BD" w:rsidP="005C1132">
      <w:pPr>
        <w:pStyle w:val="enumlev1"/>
        <w:tabs>
          <w:tab w:val="clear" w:pos="1191"/>
          <w:tab w:val="clear" w:pos="1588"/>
          <w:tab w:val="left" w:pos="1701"/>
        </w:tabs>
        <w:jc w:val="left"/>
        <w:rPr>
          <w:sz w:val="24"/>
          <w:szCs w:val="24"/>
        </w:rPr>
      </w:pPr>
      <w:r w:rsidRPr="005F3D64">
        <w:rPr>
          <w:sz w:val="24"/>
          <w:szCs w:val="24"/>
        </w:rPr>
        <w:tab/>
        <w:t>4.4</w:t>
      </w:r>
      <w:r w:rsidRPr="005F3D64">
        <w:rPr>
          <w:sz w:val="24"/>
          <w:szCs w:val="24"/>
        </w:rPr>
        <w:tab/>
        <w:t xml:space="preserve">Strategic goal </w:t>
      </w:r>
    </w:p>
    <w:p w:rsidR="005269BD" w:rsidRPr="005F3D64" w:rsidRDefault="005269BD" w:rsidP="005C1132">
      <w:pPr>
        <w:pStyle w:val="enumlev1"/>
        <w:tabs>
          <w:tab w:val="clear" w:pos="1191"/>
          <w:tab w:val="clear" w:pos="1588"/>
          <w:tab w:val="left" w:pos="1701"/>
        </w:tabs>
        <w:jc w:val="left"/>
        <w:rPr>
          <w:sz w:val="24"/>
          <w:szCs w:val="24"/>
        </w:rPr>
      </w:pPr>
      <w:r w:rsidRPr="005F3D64">
        <w:rPr>
          <w:sz w:val="24"/>
          <w:szCs w:val="24"/>
        </w:rPr>
        <w:tab/>
        <w:t>4.5</w:t>
      </w:r>
      <w:r w:rsidRPr="005F3D64">
        <w:rPr>
          <w:sz w:val="24"/>
          <w:szCs w:val="24"/>
        </w:rPr>
        <w:tab/>
        <w:t>Objectives</w:t>
      </w:r>
    </w:p>
    <w:p w:rsidR="005269BD" w:rsidRPr="005F3D64" w:rsidRDefault="005269BD" w:rsidP="005C1132">
      <w:pPr>
        <w:pStyle w:val="enumlev1"/>
        <w:jc w:val="left"/>
        <w:rPr>
          <w:sz w:val="24"/>
          <w:szCs w:val="24"/>
        </w:rPr>
      </w:pPr>
      <w:r w:rsidRPr="005F3D64">
        <w:rPr>
          <w:sz w:val="24"/>
          <w:szCs w:val="24"/>
        </w:rPr>
        <w:tab/>
        <w:t>Table 4.1 – ITU</w:t>
      </w:r>
      <w:r w:rsidRPr="005F3D64">
        <w:rPr>
          <w:sz w:val="24"/>
          <w:szCs w:val="24"/>
        </w:rPr>
        <w:noBreakHyphen/>
        <w:t>R Outputs and Objectives</w:t>
      </w:r>
    </w:p>
    <w:p w:rsidR="005269BD" w:rsidRPr="005F3D64" w:rsidRDefault="005269BD" w:rsidP="005C1132">
      <w:pPr>
        <w:pStyle w:val="enumlev1"/>
        <w:jc w:val="left"/>
        <w:rPr>
          <w:sz w:val="24"/>
          <w:szCs w:val="24"/>
        </w:rPr>
      </w:pPr>
      <w:r w:rsidRPr="005F3D64">
        <w:rPr>
          <w:sz w:val="24"/>
          <w:szCs w:val="24"/>
        </w:rPr>
        <w:tab/>
        <w:t>Table 4.2 – Objectives, outputs, expected results and key performance indicators of ITU</w:t>
      </w:r>
      <w:r w:rsidRPr="005F3D64">
        <w:rPr>
          <w:sz w:val="24"/>
          <w:szCs w:val="24"/>
        </w:rPr>
        <w:noBreakHyphen/>
        <w:t>R”</w:t>
      </w:r>
    </w:p>
    <w:p w:rsidR="005269BD" w:rsidRPr="005F3D64" w:rsidRDefault="005269BD" w:rsidP="005C1132">
      <w:pPr>
        <w:jc w:val="left"/>
        <w:rPr>
          <w:sz w:val="24"/>
          <w:szCs w:val="24"/>
        </w:rPr>
      </w:pPr>
      <w:r w:rsidRPr="005F3D64">
        <w:rPr>
          <w:sz w:val="24"/>
          <w:szCs w:val="24"/>
        </w:rPr>
        <w:t xml:space="preserve">Part “4.1 Situational analysis” is the necessary introduction to a definition of a strategy for the </w:t>
      </w:r>
      <w:proofErr w:type="spellStart"/>
      <w:r w:rsidRPr="005F3D64">
        <w:rPr>
          <w:sz w:val="24"/>
          <w:szCs w:val="24"/>
        </w:rPr>
        <w:t>Radiocommunication</w:t>
      </w:r>
      <w:proofErr w:type="spellEnd"/>
      <w:r w:rsidRPr="005F3D64">
        <w:rPr>
          <w:sz w:val="24"/>
          <w:szCs w:val="24"/>
        </w:rPr>
        <w:t xml:space="preserve"> Sector. However, Part 4.2 seems to be a summary of the various elements forming Part “4.1 Situational analysis”. </w:t>
      </w:r>
    </w:p>
    <w:p w:rsidR="005269BD" w:rsidRPr="00896591" w:rsidRDefault="005269BD" w:rsidP="00B819BE">
      <w:pPr>
        <w:pBdr>
          <w:top w:val="single" w:sz="4" w:space="1" w:color="auto"/>
          <w:left w:val="single" w:sz="4" w:space="4" w:color="auto"/>
          <w:bottom w:val="single" w:sz="4" w:space="1" w:color="auto"/>
          <w:right w:val="single" w:sz="4" w:space="4" w:color="auto"/>
        </w:pBdr>
      </w:pPr>
      <w:r w:rsidRPr="00896591">
        <w:rPr>
          <w:b/>
        </w:rPr>
        <w:t>The RAG therefore proposes that</w:t>
      </w:r>
      <w:r w:rsidRPr="00896591">
        <w:t xml:space="preserve"> </w:t>
      </w:r>
      <w:r w:rsidRPr="00896591">
        <w:rPr>
          <w:b/>
        </w:rPr>
        <w:t>Part 4.2 should be merged with Part 4.1 to become the summary and conclusion of the situational analysis.</w:t>
      </w:r>
    </w:p>
    <w:p w:rsidR="005269BD" w:rsidRDefault="005269BD" w:rsidP="008D06D7">
      <w:pPr>
        <w:keepLines/>
      </w:pPr>
    </w:p>
    <w:p w:rsidR="005269BD" w:rsidRPr="005F3D64" w:rsidRDefault="005269BD" w:rsidP="005C1132">
      <w:pPr>
        <w:keepLines/>
        <w:jc w:val="left"/>
        <w:rPr>
          <w:sz w:val="24"/>
          <w:szCs w:val="24"/>
        </w:rPr>
      </w:pPr>
      <w:r w:rsidRPr="005F3D64">
        <w:rPr>
          <w:sz w:val="24"/>
          <w:szCs w:val="24"/>
        </w:rPr>
        <w:lastRenderedPageBreak/>
        <w:t xml:space="preserve">Part “4.3 Mission” appears to be a rewording of No. 78 of Article 12 of the Constitution, which defines the functions of the </w:t>
      </w:r>
      <w:proofErr w:type="spellStart"/>
      <w:r w:rsidRPr="005F3D64">
        <w:rPr>
          <w:sz w:val="24"/>
          <w:szCs w:val="24"/>
        </w:rPr>
        <w:t>Radiocommunication</w:t>
      </w:r>
      <w:proofErr w:type="spellEnd"/>
      <w:r w:rsidRPr="005F3D64">
        <w:rPr>
          <w:sz w:val="24"/>
          <w:szCs w:val="24"/>
        </w:rPr>
        <w:t xml:space="preserve"> Sector. While it may be desirable to recall the provisions set forth by No. 78 of the Constitution in Resolution 71, it is suggested that a simple reference to this provision would be preferable to its rewording in order to avoid misalignment or mistakes. </w:t>
      </w:r>
    </w:p>
    <w:p w:rsidR="005269BD" w:rsidRPr="00896591" w:rsidRDefault="005269BD" w:rsidP="008D06D7">
      <w:pPr>
        <w:pBdr>
          <w:top w:val="single" w:sz="4" w:space="1" w:color="auto"/>
          <w:left w:val="single" w:sz="4" w:space="4" w:color="auto"/>
          <w:bottom w:val="single" w:sz="4" w:space="1" w:color="auto"/>
          <w:right w:val="single" w:sz="4" w:space="4" w:color="auto"/>
        </w:pBdr>
      </w:pPr>
      <w:r w:rsidRPr="00896591">
        <w:rPr>
          <w:b/>
        </w:rPr>
        <w:t>The RAG therefore proposes that Part “4.3 Mission” could be replaced by a reference to No. 78 of the Constitution at the beginning of Part 4.4</w:t>
      </w:r>
      <w:r w:rsidRPr="00896591">
        <w:t>.</w:t>
      </w:r>
    </w:p>
    <w:p w:rsidR="005269BD" w:rsidRPr="005F3D64" w:rsidRDefault="005269BD" w:rsidP="005C1132">
      <w:pPr>
        <w:jc w:val="left"/>
        <w:rPr>
          <w:sz w:val="24"/>
          <w:szCs w:val="24"/>
        </w:rPr>
      </w:pPr>
      <w:r w:rsidRPr="005F3D64">
        <w:rPr>
          <w:sz w:val="24"/>
          <w:szCs w:val="24"/>
        </w:rPr>
        <w:t>Part “4.4 Strategic goal” is the core of the ITU</w:t>
      </w:r>
      <w:r w:rsidRPr="005F3D64">
        <w:rPr>
          <w:sz w:val="24"/>
          <w:szCs w:val="24"/>
        </w:rPr>
        <w:noBreakHyphen/>
        <w:t>R Strategic Plan since it defines the three main goals of the Sector. Part “4.5 Objectives” provides details on the various activities carried out by the ITU</w:t>
      </w:r>
      <w:r w:rsidRPr="005F3D64">
        <w:rPr>
          <w:sz w:val="24"/>
          <w:szCs w:val="24"/>
        </w:rPr>
        <w:noBreakHyphen/>
        <w:t xml:space="preserve">R to meet the strategic goals contained in Part 4.4. In order to avoid ambiguity between a “Strategic goal” and “Objectives” designed to meet it, the terminology of these two Parts should be clarified. </w:t>
      </w:r>
    </w:p>
    <w:p w:rsidR="005269BD" w:rsidRPr="00896591" w:rsidRDefault="005269BD" w:rsidP="008A69E9">
      <w:pPr>
        <w:pBdr>
          <w:top w:val="single" w:sz="4" w:space="1" w:color="auto"/>
          <w:left w:val="single" w:sz="4" w:space="4" w:color="auto"/>
          <w:bottom w:val="single" w:sz="4" w:space="1" w:color="auto"/>
          <w:right w:val="single" w:sz="4" w:space="4" w:color="auto"/>
        </w:pBdr>
      </w:pPr>
      <w:r w:rsidRPr="00896591">
        <w:rPr>
          <w:b/>
        </w:rPr>
        <w:t>The RAG therefore proposes that Part “4.4 Strategic goal” could be renamed “Strategic objectives” and Part “4.5 Objectives” renamed “ITU</w:t>
      </w:r>
      <w:r w:rsidRPr="00896591">
        <w:rPr>
          <w:b/>
        </w:rPr>
        <w:noBreakHyphen/>
        <w:t xml:space="preserve">R Processes”. </w:t>
      </w:r>
    </w:p>
    <w:p w:rsidR="005269BD" w:rsidRPr="005F3D64" w:rsidRDefault="005269BD" w:rsidP="005C1132">
      <w:pPr>
        <w:jc w:val="left"/>
        <w:rPr>
          <w:sz w:val="24"/>
          <w:szCs w:val="24"/>
        </w:rPr>
      </w:pPr>
      <w:r w:rsidRPr="005F3D64">
        <w:rPr>
          <w:sz w:val="24"/>
          <w:szCs w:val="24"/>
        </w:rPr>
        <w:t>Note:</w:t>
      </w:r>
      <w:r w:rsidRPr="005F3D64">
        <w:rPr>
          <w:b/>
          <w:sz w:val="24"/>
          <w:szCs w:val="24"/>
        </w:rPr>
        <w:t xml:space="preserve"> </w:t>
      </w:r>
      <w:r w:rsidRPr="005F3D64">
        <w:rPr>
          <w:sz w:val="24"/>
          <w:szCs w:val="24"/>
        </w:rPr>
        <w:t>There may be a need to review, and possibly amend, these objectives once a satisfactory description of the activities of the ITU</w:t>
      </w:r>
      <w:r w:rsidRPr="005F3D64">
        <w:rPr>
          <w:sz w:val="24"/>
          <w:szCs w:val="24"/>
        </w:rPr>
        <w:noBreakHyphen/>
        <w:t>R has been agreed.</w:t>
      </w:r>
    </w:p>
    <w:p w:rsidR="005269BD" w:rsidRPr="00896591" w:rsidRDefault="005269BD" w:rsidP="008D06D7">
      <w:pPr>
        <w:pStyle w:val="Heading1"/>
      </w:pPr>
      <w:r w:rsidRPr="00896591">
        <w:t>4</w:t>
      </w:r>
      <w:r w:rsidRPr="00896591">
        <w:tab/>
        <w:t>Description of the ITU</w:t>
      </w:r>
      <w:r w:rsidRPr="00896591">
        <w:noBreakHyphen/>
        <w:t xml:space="preserve">R Strategic Plan </w:t>
      </w:r>
    </w:p>
    <w:p w:rsidR="005269BD" w:rsidRPr="005F3D64" w:rsidRDefault="005269BD" w:rsidP="005C1132">
      <w:pPr>
        <w:jc w:val="left"/>
        <w:rPr>
          <w:rFonts w:eastAsia="SimSun"/>
          <w:sz w:val="24"/>
          <w:szCs w:val="24"/>
          <w:lang w:eastAsia="zh-CN"/>
        </w:rPr>
      </w:pPr>
      <w:r w:rsidRPr="005F3D64">
        <w:rPr>
          <w:sz w:val="24"/>
          <w:szCs w:val="24"/>
        </w:rPr>
        <w:t>Part 4.5 of Annex 1 to Resolution 71 (Rev. Guadalajara, 2010) groups the activities of the ITU</w:t>
      </w:r>
      <w:r w:rsidRPr="005F3D64">
        <w:rPr>
          <w:sz w:val="24"/>
          <w:szCs w:val="24"/>
        </w:rPr>
        <w:noBreakHyphen/>
        <w:t xml:space="preserve">R in five processes (called “Objectives” in the current version of Resolution 71), which are aimed at achieving the strategic goal: </w:t>
      </w:r>
      <w:r w:rsidRPr="005F3D64">
        <w:rPr>
          <w:rFonts w:eastAsia="SimSun"/>
          <w:sz w:val="24"/>
          <w:szCs w:val="24"/>
          <w:lang w:eastAsia="zh-CN"/>
        </w:rPr>
        <w:t xml:space="preserve">Coordinating, Processing, Producing, Informing and Assisting. </w:t>
      </w:r>
    </w:p>
    <w:p w:rsidR="005269BD" w:rsidRPr="005F3D64" w:rsidRDefault="005269BD" w:rsidP="005C1132">
      <w:pPr>
        <w:jc w:val="left"/>
        <w:rPr>
          <w:rFonts w:eastAsia="SimSun"/>
          <w:sz w:val="24"/>
          <w:szCs w:val="24"/>
          <w:lang w:eastAsia="zh-CN"/>
        </w:rPr>
      </w:pPr>
      <w:r w:rsidRPr="005F3D64">
        <w:rPr>
          <w:rFonts w:eastAsia="SimSun"/>
          <w:sz w:val="24"/>
          <w:szCs w:val="24"/>
          <w:lang w:eastAsia="zh-CN"/>
        </w:rPr>
        <w:t>There are several difficulties with the description of these five “Objectives”. In particular, in Table 4.2, the description of expected results and key indicators shows, for every process, what relates to the BR and not the ITU</w:t>
      </w:r>
      <w:r w:rsidRPr="005F3D64">
        <w:rPr>
          <w:rFonts w:eastAsia="SimSun"/>
          <w:sz w:val="24"/>
          <w:szCs w:val="24"/>
          <w:lang w:eastAsia="zh-CN"/>
        </w:rPr>
        <w:noBreakHyphen/>
        <w:t xml:space="preserve">R. Furthermore, activities, outputs and expected results are not clearly distinguished. </w:t>
      </w:r>
    </w:p>
    <w:p w:rsidR="005269BD" w:rsidRPr="005F3D64" w:rsidRDefault="005269BD" w:rsidP="005C1132">
      <w:pPr>
        <w:jc w:val="left"/>
        <w:rPr>
          <w:rFonts w:eastAsia="SimSun"/>
          <w:sz w:val="24"/>
          <w:szCs w:val="24"/>
          <w:lang w:eastAsia="zh-CN"/>
        </w:rPr>
      </w:pPr>
      <w:r w:rsidRPr="005F3D64">
        <w:rPr>
          <w:rFonts w:eastAsia="SimSun"/>
          <w:sz w:val="24"/>
          <w:szCs w:val="24"/>
          <w:lang w:eastAsia="zh-CN"/>
        </w:rPr>
        <w:t>A possible way to resolve these difficulties and to be more consistent with the terminology used in todays’ management concepts would be to describe ITU</w:t>
      </w:r>
      <w:r w:rsidRPr="005F3D64">
        <w:rPr>
          <w:rFonts w:eastAsia="SimSun"/>
          <w:sz w:val="24"/>
          <w:szCs w:val="24"/>
          <w:lang w:eastAsia="zh-CN"/>
        </w:rPr>
        <w:noBreakHyphen/>
        <w:t xml:space="preserve">R processes as follows “These processes are intended to achieve these strategic objectives listed in Part 4.4 of </w:t>
      </w:r>
      <w:r w:rsidRPr="005F3D64">
        <w:rPr>
          <w:sz w:val="24"/>
          <w:szCs w:val="24"/>
        </w:rPr>
        <w:t xml:space="preserve">Annex 1 to Resolution 71 (Rev. Guadalajara, 2010)”. </w:t>
      </w:r>
      <w:r w:rsidRPr="005F3D64">
        <w:rPr>
          <w:rFonts w:eastAsia="SimSun"/>
          <w:sz w:val="24"/>
          <w:szCs w:val="24"/>
          <w:lang w:eastAsia="zh-CN"/>
        </w:rPr>
        <w:t>The relationship of these processes with each of the strategic objectives is shown in Table 4.1 below.</w:t>
      </w:r>
    </w:p>
    <w:p w:rsidR="005269BD" w:rsidRDefault="005269BD">
      <w:pPr>
        <w:tabs>
          <w:tab w:val="clear" w:pos="794"/>
          <w:tab w:val="clear" w:pos="1191"/>
          <w:tab w:val="clear" w:pos="1588"/>
          <w:tab w:val="clear" w:pos="1985"/>
        </w:tabs>
        <w:overflowPunct/>
        <w:autoSpaceDE/>
        <w:autoSpaceDN/>
        <w:adjustRightInd/>
        <w:spacing w:before="0"/>
        <w:textAlignment w:val="auto"/>
        <w:rPr>
          <w:rFonts w:eastAsia="SimSun"/>
          <w:szCs w:val="24"/>
          <w:lang w:eastAsia="zh-CN"/>
        </w:rPr>
      </w:pPr>
      <w:r>
        <w:rPr>
          <w:rFonts w:eastAsia="SimSun"/>
          <w:szCs w:val="24"/>
          <w:lang w:eastAsia="zh-CN"/>
        </w:rPr>
        <w:br w:type="page"/>
      </w:r>
    </w:p>
    <w:p w:rsidR="005269BD" w:rsidRDefault="005269BD" w:rsidP="006C245B">
      <w:pPr>
        <w:jc w:val="center"/>
        <w:rPr>
          <w:rFonts w:eastAsia="SimSun"/>
          <w:szCs w:val="24"/>
          <w:lang w:eastAsia="zh-CN"/>
        </w:rPr>
      </w:pPr>
    </w:p>
    <w:p w:rsidR="005269BD" w:rsidRDefault="005269BD" w:rsidP="001A3A31">
      <w:pPr>
        <w:spacing w:before="0"/>
        <w:jc w:val="center"/>
        <w:rPr>
          <w:rFonts w:eastAsia="SimSun"/>
          <w:szCs w:val="24"/>
          <w:lang w:eastAsia="zh-CN"/>
        </w:rPr>
      </w:pPr>
      <w:r w:rsidRPr="00EE1A63">
        <w:rPr>
          <w:rFonts w:eastAsia="SimSun"/>
          <w:szCs w:val="24"/>
          <w:lang w:eastAsia="zh-CN"/>
        </w:rPr>
        <w:t>TABLE 4.1</w:t>
      </w:r>
    </w:p>
    <w:p w:rsidR="005269BD" w:rsidRDefault="005269BD" w:rsidP="005D3979">
      <w:pPr>
        <w:rPr>
          <w:rFonts w:eastAsia="SimSun"/>
          <w:szCs w:val="24"/>
          <w:lang w:eastAsia="zh-CN"/>
        </w:rPr>
      </w:pPr>
    </w:p>
    <w:tbl>
      <w:tblPr>
        <w:tblStyle w:val="TableGrid"/>
        <w:tblW w:w="8659" w:type="dxa"/>
        <w:jc w:val="center"/>
        <w:tblLook w:val="04A0" w:firstRow="1" w:lastRow="0" w:firstColumn="1" w:lastColumn="0" w:noHBand="0" w:noVBand="1"/>
      </w:tblPr>
      <w:tblGrid>
        <w:gridCol w:w="2149"/>
        <w:gridCol w:w="2241"/>
        <w:gridCol w:w="2136"/>
        <w:gridCol w:w="2133"/>
      </w:tblGrid>
      <w:tr w:rsidR="005269BD" w:rsidRPr="00F474EA" w:rsidTr="002C4EFA">
        <w:trPr>
          <w:jc w:val="center"/>
        </w:trPr>
        <w:tc>
          <w:tcPr>
            <w:tcW w:w="2149" w:type="dxa"/>
          </w:tcPr>
          <w:p w:rsidR="005269BD" w:rsidRPr="00F474EA" w:rsidRDefault="005269BD">
            <w:pPr>
              <w:rPr>
                <w:rFonts w:cstheme="minorHAnsi"/>
                <w:b/>
              </w:rPr>
            </w:pPr>
          </w:p>
          <w:p w:rsidR="005269BD" w:rsidRPr="00F474EA" w:rsidRDefault="005269BD">
            <w:pPr>
              <w:rPr>
                <w:rFonts w:cstheme="minorHAnsi"/>
                <w:b/>
              </w:rPr>
            </w:pPr>
          </w:p>
        </w:tc>
        <w:tc>
          <w:tcPr>
            <w:tcW w:w="2241" w:type="dxa"/>
          </w:tcPr>
          <w:p w:rsidR="005269BD" w:rsidRPr="00F474EA" w:rsidRDefault="005269BD" w:rsidP="002C4EFA">
            <w:pPr>
              <w:jc w:val="left"/>
              <w:rPr>
                <w:rFonts w:cstheme="minorHAnsi"/>
                <w:b/>
              </w:rPr>
            </w:pPr>
            <w:r w:rsidRPr="00F474EA">
              <w:rPr>
                <w:rFonts w:cstheme="minorHAnsi"/>
                <w:b/>
              </w:rPr>
              <w:t>Strategic objective 1</w:t>
            </w:r>
          </w:p>
          <w:p w:rsidR="005269BD" w:rsidRPr="00F474EA" w:rsidRDefault="005269BD" w:rsidP="002C4EFA">
            <w:pPr>
              <w:jc w:val="left"/>
              <w:rPr>
                <w:rFonts w:cstheme="minorHAnsi"/>
                <w:b/>
              </w:rPr>
            </w:pPr>
            <w:r w:rsidRPr="00F474EA">
              <w:rPr>
                <w:rFonts w:cstheme="minorHAnsi"/>
                <w:b/>
              </w:rPr>
              <w:t xml:space="preserve">“To ensure interference-free operations of </w:t>
            </w:r>
            <w:proofErr w:type="spellStart"/>
            <w:r w:rsidRPr="00F474EA">
              <w:rPr>
                <w:rFonts w:cstheme="minorHAnsi"/>
                <w:b/>
              </w:rPr>
              <w:t>radiocommunications</w:t>
            </w:r>
            <w:proofErr w:type="spellEnd"/>
            <w:r w:rsidRPr="00F474EA">
              <w:rPr>
                <w:rFonts w:cstheme="minorHAnsi"/>
                <w:b/>
              </w:rPr>
              <w:t xml:space="preserve"> systems”</w:t>
            </w:r>
          </w:p>
        </w:tc>
        <w:tc>
          <w:tcPr>
            <w:tcW w:w="2136" w:type="dxa"/>
          </w:tcPr>
          <w:p w:rsidR="005269BD" w:rsidRPr="00F474EA" w:rsidRDefault="005269BD" w:rsidP="002C4EFA">
            <w:pPr>
              <w:jc w:val="left"/>
              <w:rPr>
                <w:rFonts w:cstheme="minorHAnsi"/>
                <w:b/>
              </w:rPr>
            </w:pPr>
            <w:r w:rsidRPr="00F474EA">
              <w:rPr>
                <w:rFonts w:cstheme="minorHAnsi"/>
                <w:b/>
              </w:rPr>
              <w:t>Strategic objective 2</w:t>
            </w:r>
          </w:p>
          <w:p w:rsidR="005269BD" w:rsidRPr="00F474EA" w:rsidRDefault="005269BD" w:rsidP="002C4EFA">
            <w:pPr>
              <w:jc w:val="left"/>
              <w:rPr>
                <w:rFonts w:cstheme="minorHAnsi"/>
                <w:b/>
              </w:rPr>
            </w:pPr>
            <w:r w:rsidRPr="00F474EA">
              <w:rPr>
                <w:rFonts w:cstheme="minorHAnsi"/>
                <w:b/>
              </w:rPr>
              <w:t>“To establish recommendations…”</w:t>
            </w:r>
          </w:p>
        </w:tc>
        <w:tc>
          <w:tcPr>
            <w:tcW w:w="2133" w:type="dxa"/>
          </w:tcPr>
          <w:p w:rsidR="005269BD" w:rsidRPr="00F474EA" w:rsidRDefault="005269BD" w:rsidP="002C4EFA">
            <w:pPr>
              <w:jc w:val="left"/>
              <w:rPr>
                <w:rFonts w:cstheme="minorHAnsi"/>
                <w:b/>
              </w:rPr>
            </w:pPr>
            <w:r w:rsidRPr="00F474EA">
              <w:rPr>
                <w:rFonts w:cstheme="minorHAnsi"/>
                <w:b/>
              </w:rPr>
              <w:t>Strategic objective 3</w:t>
            </w:r>
          </w:p>
          <w:p w:rsidR="005269BD" w:rsidRPr="00F474EA" w:rsidRDefault="005269BD" w:rsidP="002C4EFA">
            <w:pPr>
              <w:spacing w:after="60"/>
              <w:jc w:val="left"/>
              <w:rPr>
                <w:rFonts w:cstheme="minorHAnsi"/>
                <w:b/>
              </w:rPr>
            </w:pPr>
            <w:r w:rsidRPr="00F474EA">
              <w:rPr>
                <w:rFonts w:cstheme="minorHAnsi"/>
                <w:b/>
              </w:rPr>
              <w:t>“to ensure the rational, equitable, efficient and economical use of the frequency spectrum and satellite-orbit resources…”</w:t>
            </w:r>
          </w:p>
        </w:tc>
      </w:tr>
      <w:tr w:rsidR="005269BD" w:rsidRPr="00F474EA" w:rsidTr="002C4EFA">
        <w:trPr>
          <w:jc w:val="center"/>
        </w:trPr>
        <w:tc>
          <w:tcPr>
            <w:tcW w:w="2149" w:type="dxa"/>
          </w:tcPr>
          <w:p w:rsidR="005269BD" w:rsidRPr="00F474EA" w:rsidRDefault="005269BD" w:rsidP="00AF4E0F">
            <w:pPr>
              <w:jc w:val="left"/>
              <w:rPr>
                <w:rFonts w:eastAsia="SimSun" w:cstheme="minorHAnsi"/>
                <w:lang w:eastAsia="zh-CN"/>
              </w:rPr>
            </w:pPr>
            <w:r w:rsidRPr="00F474EA">
              <w:rPr>
                <w:rFonts w:cstheme="minorHAnsi"/>
              </w:rPr>
              <w:t>Process 1:</w:t>
            </w:r>
            <w:r w:rsidR="00AF4E0F">
              <w:rPr>
                <w:rFonts w:cstheme="minorHAnsi"/>
              </w:rPr>
              <w:br/>
            </w:r>
            <w:r w:rsidRPr="00AF4E0F">
              <w:rPr>
                <w:rFonts w:eastAsia="SimSun" w:cstheme="minorHAnsi"/>
                <w:b/>
                <w:bCs/>
                <w:lang w:eastAsia="zh-CN"/>
              </w:rPr>
              <w:t>To establish and update international regulations on the use of the radio-frequency spectrum and satellite orbits</w:t>
            </w:r>
          </w:p>
        </w:tc>
        <w:tc>
          <w:tcPr>
            <w:tcW w:w="2241" w:type="dxa"/>
          </w:tcPr>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r w:rsidRPr="00F474EA">
              <w:rPr>
                <w:rFonts w:cstheme="minorHAnsi"/>
              </w:rPr>
              <w:t>X</w:t>
            </w:r>
          </w:p>
        </w:tc>
        <w:tc>
          <w:tcPr>
            <w:tcW w:w="2136" w:type="dxa"/>
          </w:tcPr>
          <w:p w:rsidR="005269BD" w:rsidRPr="00F474EA" w:rsidRDefault="005269BD" w:rsidP="00164CB7">
            <w:pPr>
              <w:jc w:val="center"/>
              <w:rPr>
                <w:rFonts w:cstheme="minorHAnsi"/>
              </w:rPr>
            </w:pPr>
          </w:p>
        </w:tc>
        <w:tc>
          <w:tcPr>
            <w:tcW w:w="2133" w:type="dxa"/>
          </w:tcPr>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r w:rsidRPr="00F474EA">
              <w:rPr>
                <w:rFonts w:cstheme="minorHAnsi"/>
              </w:rPr>
              <w:t>X</w:t>
            </w:r>
          </w:p>
        </w:tc>
      </w:tr>
      <w:tr w:rsidR="005269BD" w:rsidRPr="00F474EA" w:rsidTr="002C4EFA">
        <w:trPr>
          <w:jc w:val="center"/>
        </w:trPr>
        <w:tc>
          <w:tcPr>
            <w:tcW w:w="2149" w:type="dxa"/>
          </w:tcPr>
          <w:p w:rsidR="005269BD" w:rsidRPr="00F474EA" w:rsidRDefault="005269BD" w:rsidP="00AF4E0F">
            <w:pPr>
              <w:jc w:val="left"/>
              <w:rPr>
                <w:rFonts w:eastAsia="SimSun" w:cstheme="minorHAnsi"/>
                <w:lang w:eastAsia="zh-CN"/>
              </w:rPr>
            </w:pPr>
            <w:r w:rsidRPr="00F474EA">
              <w:rPr>
                <w:rFonts w:cstheme="minorHAnsi"/>
              </w:rPr>
              <w:t>Process 2:</w:t>
            </w:r>
            <w:r w:rsidR="00AF4E0F">
              <w:rPr>
                <w:rFonts w:cstheme="minorHAnsi"/>
              </w:rPr>
              <w:br/>
            </w:r>
            <w:r w:rsidRPr="00AF4E0F">
              <w:rPr>
                <w:rFonts w:eastAsia="SimSun" w:cstheme="minorHAnsi"/>
                <w:b/>
                <w:bCs/>
                <w:lang w:eastAsia="zh-CN"/>
              </w:rPr>
              <w:t>To implement and apply international regulations on the use of the radio-frequency spectrum and satellite orbits</w:t>
            </w:r>
          </w:p>
        </w:tc>
        <w:tc>
          <w:tcPr>
            <w:tcW w:w="2241" w:type="dxa"/>
          </w:tcPr>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r w:rsidRPr="00F474EA">
              <w:rPr>
                <w:rFonts w:cstheme="minorHAnsi"/>
              </w:rPr>
              <w:t>X</w:t>
            </w:r>
          </w:p>
        </w:tc>
        <w:tc>
          <w:tcPr>
            <w:tcW w:w="2136" w:type="dxa"/>
          </w:tcPr>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p>
        </w:tc>
        <w:tc>
          <w:tcPr>
            <w:tcW w:w="2133" w:type="dxa"/>
          </w:tcPr>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r w:rsidRPr="00F474EA">
              <w:rPr>
                <w:rFonts w:cstheme="minorHAnsi"/>
              </w:rPr>
              <w:t>X</w:t>
            </w:r>
          </w:p>
        </w:tc>
      </w:tr>
      <w:tr w:rsidR="005269BD" w:rsidRPr="00F474EA" w:rsidTr="002C4EFA">
        <w:trPr>
          <w:jc w:val="center"/>
        </w:trPr>
        <w:tc>
          <w:tcPr>
            <w:tcW w:w="2149" w:type="dxa"/>
          </w:tcPr>
          <w:p w:rsidR="005269BD" w:rsidRPr="00AF4E0F" w:rsidRDefault="005269BD" w:rsidP="00AF4E0F">
            <w:pPr>
              <w:jc w:val="left"/>
              <w:rPr>
                <w:rFonts w:cstheme="minorHAnsi"/>
              </w:rPr>
            </w:pPr>
            <w:r w:rsidRPr="00F474EA">
              <w:rPr>
                <w:rFonts w:cstheme="minorHAnsi"/>
              </w:rPr>
              <w:t>Process 3:</w:t>
            </w:r>
            <w:r w:rsidR="00AF4E0F">
              <w:rPr>
                <w:rFonts w:cstheme="minorHAnsi"/>
              </w:rPr>
              <w:br/>
            </w:r>
            <w:r w:rsidRPr="00AF4E0F">
              <w:rPr>
                <w:rFonts w:eastAsia="SimSun" w:cstheme="minorHAnsi"/>
                <w:b/>
                <w:bCs/>
                <w:lang w:eastAsia="zh-CN"/>
              </w:rPr>
              <w:t>To establish and update worldwide Recommendations, Reports and Handbooks for the most efficient use of the radio-frequency spectrum and satellite orbits</w:t>
            </w:r>
            <w:r w:rsidRPr="00F474EA" w:rsidDel="006F7F4F">
              <w:rPr>
                <w:rFonts w:eastAsia="SimSun" w:cstheme="minorHAnsi"/>
                <w:lang w:eastAsia="zh-CN"/>
              </w:rPr>
              <w:t xml:space="preserve"> </w:t>
            </w:r>
          </w:p>
        </w:tc>
        <w:tc>
          <w:tcPr>
            <w:tcW w:w="2241" w:type="dxa"/>
          </w:tcPr>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r w:rsidRPr="00F474EA">
              <w:rPr>
                <w:rFonts w:cstheme="minorHAnsi"/>
              </w:rPr>
              <w:t>X</w:t>
            </w:r>
          </w:p>
        </w:tc>
        <w:tc>
          <w:tcPr>
            <w:tcW w:w="2136" w:type="dxa"/>
          </w:tcPr>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r w:rsidRPr="00F474EA">
              <w:rPr>
                <w:rFonts w:cstheme="minorHAnsi"/>
              </w:rPr>
              <w:t>X</w:t>
            </w:r>
          </w:p>
        </w:tc>
        <w:tc>
          <w:tcPr>
            <w:tcW w:w="2133" w:type="dxa"/>
          </w:tcPr>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r w:rsidRPr="00F474EA">
              <w:rPr>
                <w:rFonts w:cstheme="minorHAnsi"/>
              </w:rPr>
              <w:t>X</w:t>
            </w:r>
          </w:p>
        </w:tc>
      </w:tr>
      <w:tr w:rsidR="005269BD" w:rsidRPr="00F474EA" w:rsidTr="002C4EFA">
        <w:trPr>
          <w:jc w:val="center"/>
        </w:trPr>
        <w:tc>
          <w:tcPr>
            <w:tcW w:w="2149" w:type="dxa"/>
          </w:tcPr>
          <w:p w:rsidR="005269BD" w:rsidRPr="00F474EA" w:rsidRDefault="005269BD" w:rsidP="00AF4E0F">
            <w:pPr>
              <w:jc w:val="left"/>
              <w:rPr>
                <w:rFonts w:cstheme="minorHAnsi"/>
              </w:rPr>
            </w:pPr>
            <w:r w:rsidRPr="00F474EA">
              <w:rPr>
                <w:rFonts w:cstheme="minorHAnsi"/>
              </w:rPr>
              <w:t>Process 4:</w:t>
            </w:r>
            <w:r w:rsidR="00AF4E0F">
              <w:rPr>
                <w:rFonts w:cstheme="minorHAnsi"/>
              </w:rPr>
              <w:br/>
            </w:r>
            <w:r w:rsidRPr="00AF4E0F">
              <w:rPr>
                <w:rFonts w:eastAsia="SimSun" w:cstheme="minorHAnsi"/>
                <w:b/>
                <w:bCs/>
                <w:lang w:eastAsia="zh-CN"/>
              </w:rPr>
              <w:t>To inform and assist the ITU</w:t>
            </w:r>
            <w:r w:rsidRPr="00AF4E0F">
              <w:rPr>
                <w:rFonts w:eastAsia="SimSun" w:cstheme="minorHAnsi"/>
                <w:b/>
                <w:bCs/>
                <w:lang w:eastAsia="zh-CN"/>
              </w:rPr>
              <w:noBreakHyphen/>
              <w:t xml:space="preserve">R membership in </w:t>
            </w:r>
            <w:proofErr w:type="spellStart"/>
            <w:r w:rsidRPr="00AF4E0F">
              <w:rPr>
                <w:rFonts w:eastAsia="SimSun" w:cstheme="minorHAnsi"/>
                <w:b/>
                <w:bCs/>
                <w:lang w:eastAsia="zh-CN"/>
              </w:rPr>
              <w:t>radiocommunication</w:t>
            </w:r>
            <w:proofErr w:type="spellEnd"/>
            <w:r w:rsidRPr="00AF4E0F">
              <w:rPr>
                <w:rFonts w:eastAsia="SimSun" w:cstheme="minorHAnsi"/>
                <w:b/>
                <w:bCs/>
                <w:lang w:eastAsia="zh-CN"/>
              </w:rPr>
              <w:t xml:space="preserve"> matters</w:t>
            </w:r>
          </w:p>
        </w:tc>
        <w:tc>
          <w:tcPr>
            <w:tcW w:w="2241" w:type="dxa"/>
          </w:tcPr>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r w:rsidRPr="00F474EA">
              <w:rPr>
                <w:rFonts w:cstheme="minorHAnsi"/>
              </w:rPr>
              <w:t>X</w:t>
            </w:r>
          </w:p>
        </w:tc>
        <w:tc>
          <w:tcPr>
            <w:tcW w:w="2136" w:type="dxa"/>
          </w:tcPr>
          <w:p w:rsidR="005269BD" w:rsidRPr="00F474EA" w:rsidRDefault="005269BD" w:rsidP="00164CB7">
            <w:pPr>
              <w:jc w:val="center"/>
              <w:rPr>
                <w:rFonts w:cstheme="minorHAnsi"/>
              </w:rPr>
            </w:pPr>
          </w:p>
        </w:tc>
        <w:tc>
          <w:tcPr>
            <w:tcW w:w="2133" w:type="dxa"/>
          </w:tcPr>
          <w:p w:rsidR="005269BD" w:rsidRPr="00F474EA" w:rsidRDefault="005269BD" w:rsidP="00164CB7">
            <w:pPr>
              <w:jc w:val="center"/>
              <w:rPr>
                <w:rFonts w:cstheme="minorHAnsi"/>
              </w:rPr>
            </w:pPr>
          </w:p>
          <w:p w:rsidR="005269BD" w:rsidRPr="00F474EA" w:rsidRDefault="005269BD" w:rsidP="00164CB7">
            <w:pPr>
              <w:jc w:val="center"/>
              <w:rPr>
                <w:rFonts w:cstheme="minorHAnsi"/>
              </w:rPr>
            </w:pPr>
          </w:p>
          <w:p w:rsidR="005269BD" w:rsidRPr="00F474EA" w:rsidRDefault="005269BD" w:rsidP="00164CB7">
            <w:pPr>
              <w:jc w:val="center"/>
              <w:rPr>
                <w:rFonts w:cstheme="minorHAnsi"/>
              </w:rPr>
            </w:pPr>
            <w:r w:rsidRPr="00F474EA">
              <w:rPr>
                <w:rFonts w:cstheme="minorHAnsi"/>
              </w:rPr>
              <w:t>X</w:t>
            </w:r>
          </w:p>
        </w:tc>
      </w:tr>
    </w:tbl>
    <w:p w:rsidR="005269BD" w:rsidRDefault="005269BD"/>
    <w:p w:rsidR="005269BD" w:rsidRPr="002E3C13" w:rsidRDefault="005269BD" w:rsidP="001F746D">
      <w:pPr>
        <w:pStyle w:val="Headingb"/>
        <w:rPr>
          <w:rFonts w:eastAsia="SimSun"/>
          <w:sz w:val="24"/>
          <w:szCs w:val="24"/>
          <w:lang w:eastAsia="zh-CN"/>
        </w:rPr>
      </w:pPr>
      <w:r w:rsidRPr="002E3C13">
        <w:rPr>
          <w:rFonts w:eastAsia="SimSun"/>
          <w:sz w:val="24"/>
          <w:szCs w:val="24"/>
          <w:lang w:eastAsia="zh-CN"/>
        </w:rPr>
        <w:lastRenderedPageBreak/>
        <w:t>Process 1: To establish and update international regulations on the use of the radio-frequency spectrum and satellite orbits</w:t>
      </w:r>
    </w:p>
    <w:p w:rsidR="005269BD" w:rsidRPr="002E3C13" w:rsidRDefault="005269BD" w:rsidP="004E2CAF">
      <w:pPr>
        <w:pStyle w:val="enumlev1"/>
        <w:tabs>
          <w:tab w:val="clear" w:pos="794"/>
        </w:tabs>
        <w:ind w:left="851" w:hanging="851"/>
        <w:jc w:val="left"/>
        <w:rPr>
          <w:rFonts w:eastAsia="SimSun"/>
          <w:sz w:val="24"/>
          <w:szCs w:val="24"/>
        </w:rPr>
      </w:pPr>
      <w:r w:rsidRPr="002E3C13">
        <w:rPr>
          <w:rFonts w:eastAsia="SimSun"/>
          <w:sz w:val="24"/>
          <w:szCs w:val="24"/>
        </w:rPr>
        <w:t>•</w:t>
      </w:r>
      <w:r w:rsidRPr="002E3C13">
        <w:rPr>
          <w:rFonts w:eastAsia="SimSun"/>
          <w:sz w:val="24"/>
          <w:szCs w:val="24"/>
        </w:rPr>
        <w:tab/>
        <w:t>Inputs are: proposals from administrations, report from the Conference Preparatory Meeting (CPM), reports from the BR Director, ITU</w:t>
      </w:r>
      <w:r w:rsidRPr="002E3C13">
        <w:rPr>
          <w:rFonts w:eastAsia="SimSun"/>
          <w:sz w:val="24"/>
          <w:szCs w:val="24"/>
        </w:rPr>
        <w:noBreakHyphen/>
        <w:t>R Recommendations.</w:t>
      </w:r>
    </w:p>
    <w:p w:rsidR="005269BD" w:rsidRPr="002E3C13" w:rsidRDefault="005269BD" w:rsidP="004E2CAF">
      <w:pPr>
        <w:pStyle w:val="enumlev1"/>
        <w:tabs>
          <w:tab w:val="clear" w:pos="794"/>
        </w:tabs>
        <w:ind w:left="851" w:hanging="851"/>
        <w:jc w:val="left"/>
        <w:rPr>
          <w:rFonts w:eastAsia="SimSun"/>
          <w:sz w:val="24"/>
          <w:szCs w:val="24"/>
        </w:rPr>
      </w:pPr>
      <w:r w:rsidRPr="002E3C13">
        <w:rPr>
          <w:rFonts w:eastAsia="SimSun"/>
          <w:sz w:val="24"/>
          <w:szCs w:val="24"/>
        </w:rPr>
        <w:t>•</w:t>
      </w:r>
      <w:r w:rsidRPr="002E3C13">
        <w:rPr>
          <w:rFonts w:eastAsia="SimSun"/>
          <w:sz w:val="24"/>
          <w:szCs w:val="24"/>
        </w:rPr>
        <w:tab/>
        <w:t xml:space="preserve">Activities are: preparatory activities by administrations and regional groups, WRC and RRC discussions, RRB activities relating to Rules of Procedure. </w:t>
      </w:r>
    </w:p>
    <w:p w:rsidR="005269BD" w:rsidRPr="002E3C13" w:rsidRDefault="005269BD" w:rsidP="004E2CAF">
      <w:pPr>
        <w:tabs>
          <w:tab w:val="clear" w:pos="794"/>
          <w:tab w:val="clear" w:pos="1191"/>
          <w:tab w:val="clear" w:pos="1588"/>
          <w:tab w:val="clear" w:pos="1985"/>
        </w:tabs>
        <w:overflowPunct/>
        <w:autoSpaceDE/>
        <w:autoSpaceDN/>
        <w:adjustRightInd/>
        <w:spacing w:before="0"/>
        <w:ind w:left="851" w:hanging="851"/>
        <w:jc w:val="left"/>
        <w:textAlignment w:val="auto"/>
        <w:rPr>
          <w:rFonts w:eastAsia="SimSun"/>
          <w:sz w:val="24"/>
          <w:szCs w:val="24"/>
        </w:rPr>
      </w:pPr>
      <w:r w:rsidRPr="002E3C13">
        <w:rPr>
          <w:rFonts w:eastAsia="SimSun"/>
          <w:sz w:val="24"/>
          <w:szCs w:val="24"/>
        </w:rPr>
        <w:t>•</w:t>
      </w:r>
      <w:r w:rsidRPr="002E3C13">
        <w:rPr>
          <w:rFonts w:eastAsia="SimSun"/>
          <w:sz w:val="24"/>
          <w:szCs w:val="24"/>
        </w:rPr>
        <w:tab/>
        <w:t>The BR activities relating to this process pertain to the Support process (see below).</w:t>
      </w:r>
    </w:p>
    <w:p w:rsidR="005269BD" w:rsidRPr="002E3C13" w:rsidRDefault="005269BD" w:rsidP="004E2CAF">
      <w:pPr>
        <w:pStyle w:val="enumlev1"/>
        <w:tabs>
          <w:tab w:val="clear" w:pos="794"/>
        </w:tabs>
        <w:ind w:left="851" w:hanging="851"/>
        <w:jc w:val="left"/>
        <w:rPr>
          <w:rFonts w:eastAsia="SimSun"/>
          <w:sz w:val="24"/>
          <w:szCs w:val="24"/>
        </w:rPr>
      </w:pPr>
      <w:r w:rsidRPr="002E3C13">
        <w:rPr>
          <w:rFonts w:eastAsia="SimSun"/>
          <w:sz w:val="24"/>
          <w:szCs w:val="24"/>
        </w:rPr>
        <w:t>•</w:t>
      </w:r>
      <w:r w:rsidRPr="002E3C13">
        <w:rPr>
          <w:rFonts w:eastAsia="SimSun"/>
          <w:sz w:val="24"/>
          <w:szCs w:val="24"/>
        </w:rPr>
        <w:tab/>
        <w:t>Outputs of this process are: the Final Acts of WRC and RRC, updated Radio Regulations, Rules of Procedure approved by the RRB.</w:t>
      </w:r>
    </w:p>
    <w:p w:rsidR="005269BD" w:rsidRPr="002E3C13" w:rsidRDefault="005269BD" w:rsidP="008D06D7">
      <w:pPr>
        <w:pStyle w:val="Headingb"/>
        <w:rPr>
          <w:rFonts w:eastAsia="SimSun"/>
          <w:sz w:val="24"/>
          <w:szCs w:val="24"/>
          <w:lang w:eastAsia="zh-CN"/>
        </w:rPr>
      </w:pPr>
      <w:r w:rsidRPr="002E3C13">
        <w:rPr>
          <w:rFonts w:eastAsia="SimSun"/>
          <w:sz w:val="24"/>
          <w:szCs w:val="24"/>
          <w:lang w:eastAsia="zh-CN"/>
        </w:rPr>
        <w:t>Process 2: To implement and apply international regulations on the use of the radio-frequency spectrum and satellite orbits</w:t>
      </w:r>
    </w:p>
    <w:p w:rsidR="005269BD" w:rsidRPr="002E3C13" w:rsidRDefault="005269BD" w:rsidP="004E2CAF">
      <w:pPr>
        <w:pStyle w:val="enumlev1"/>
        <w:jc w:val="left"/>
        <w:rPr>
          <w:rFonts w:eastAsia="SimSun"/>
          <w:sz w:val="24"/>
          <w:szCs w:val="24"/>
        </w:rPr>
      </w:pPr>
      <w:r w:rsidRPr="002E3C13">
        <w:rPr>
          <w:rFonts w:eastAsia="SimSun"/>
          <w:sz w:val="24"/>
          <w:szCs w:val="24"/>
        </w:rPr>
        <w:t>•</w:t>
      </w:r>
      <w:r w:rsidRPr="002E3C13">
        <w:rPr>
          <w:rFonts w:eastAsia="SimSun"/>
          <w:sz w:val="24"/>
          <w:szCs w:val="24"/>
        </w:rPr>
        <w:tab/>
        <w:t>Inputs are the notices from administrations on intended use of spectrum and satellite orbits.</w:t>
      </w:r>
    </w:p>
    <w:p w:rsidR="005269BD" w:rsidRPr="002E3C13" w:rsidRDefault="005269BD" w:rsidP="004E2CAF">
      <w:pPr>
        <w:pStyle w:val="enumlev1"/>
        <w:jc w:val="left"/>
        <w:rPr>
          <w:rFonts w:eastAsia="SimSun"/>
          <w:sz w:val="24"/>
          <w:szCs w:val="24"/>
        </w:rPr>
      </w:pPr>
      <w:r w:rsidRPr="002E3C13">
        <w:rPr>
          <w:rFonts w:eastAsia="SimSun"/>
          <w:sz w:val="24"/>
          <w:szCs w:val="24"/>
        </w:rPr>
        <w:t>•</w:t>
      </w:r>
      <w:r w:rsidRPr="002E3C13">
        <w:rPr>
          <w:rFonts w:eastAsia="SimSun"/>
          <w:sz w:val="24"/>
          <w:szCs w:val="24"/>
        </w:rPr>
        <w:tab/>
        <w:t xml:space="preserve">Activities are: </w:t>
      </w:r>
    </w:p>
    <w:p w:rsidR="005269BD" w:rsidRPr="002E3C13" w:rsidRDefault="005269BD" w:rsidP="004E2CAF">
      <w:pPr>
        <w:pStyle w:val="enumlev2"/>
        <w:jc w:val="left"/>
        <w:rPr>
          <w:rFonts w:eastAsia="SimSun"/>
          <w:sz w:val="24"/>
          <w:szCs w:val="24"/>
        </w:rPr>
      </w:pPr>
      <w:r w:rsidRPr="002E3C13">
        <w:rPr>
          <w:rFonts w:eastAsia="SimSun"/>
          <w:sz w:val="24"/>
          <w:szCs w:val="24"/>
        </w:rPr>
        <w:t>–</w:t>
      </w:r>
      <w:r w:rsidRPr="002E3C13">
        <w:rPr>
          <w:rFonts w:eastAsia="SimSun"/>
          <w:sz w:val="24"/>
          <w:szCs w:val="24"/>
        </w:rPr>
        <w:tab/>
        <w:t>the actions taken by the administrations and operators in coordinating frequencies,</w:t>
      </w:r>
    </w:p>
    <w:p w:rsidR="005269BD" w:rsidRPr="002E3C13" w:rsidRDefault="005269BD" w:rsidP="004E2CAF">
      <w:pPr>
        <w:pStyle w:val="enumlev2"/>
        <w:jc w:val="left"/>
        <w:rPr>
          <w:rFonts w:eastAsia="SimSun"/>
          <w:sz w:val="24"/>
          <w:szCs w:val="24"/>
        </w:rPr>
      </w:pPr>
      <w:r w:rsidRPr="002E3C13">
        <w:rPr>
          <w:rFonts w:eastAsia="SimSun"/>
          <w:sz w:val="24"/>
          <w:szCs w:val="24"/>
        </w:rPr>
        <w:t>–</w:t>
      </w:r>
      <w:r w:rsidRPr="002E3C13">
        <w:rPr>
          <w:rFonts w:eastAsia="SimSun"/>
          <w:sz w:val="24"/>
          <w:szCs w:val="24"/>
        </w:rPr>
        <w:tab/>
        <w:t xml:space="preserve">the exchange of information with the BR, </w:t>
      </w:r>
    </w:p>
    <w:p w:rsidR="005269BD" w:rsidRPr="002E3C13" w:rsidRDefault="005269BD" w:rsidP="004E2CAF">
      <w:pPr>
        <w:pStyle w:val="enumlev2"/>
        <w:jc w:val="left"/>
        <w:rPr>
          <w:rFonts w:eastAsia="SimSun"/>
          <w:sz w:val="24"/>
          <w:szCs w:val="24"/>
        </w:rPr>
      </w:pPr>
      <w:r w:rsidRPr="002E3C13">
        <w:rPr>
          <w:rFonts w:eastAsia="SimSun"/>
          <w:sz w:val="24"/>
          <w:szCs w:val="24"/>
        </w:rPr>
        <w:t>–</w:t>
      </w:r>
      <w:r w:rsidRPr="002E3C13">
        <w:rPr>
          <w:rFonts w:eastAsia="SimSun"/>
          <w:sz w:val="24"/>
          <w:szCs w:val="24"/>
        </w:rPr>
        <w:tab/>
        <w:t xml:space="preserve">the BR activities required by the Radio Regulations, the Regional Agreements and the Rules of Procedure, </w:t>
      </w:r>
    </w:p>
    <w:p w:rsidR="005269BD" w:rsidRPr="002E3C13" w:rsidRDefault="005269BD" w:rsidP="004E2CAF">
      <w:pPr>
        <w:pStyle w:val="enumlev2"/>
        <w:jc w:val="left"/>
        <w:rPr>
          <w:rFonts w:eastAsia="SimSun"/>
          <w:sz w:val="24"/>
          <w:szCs w:val="24"/>
        </w:rPr>
      </w:pPr>
      <w:r w:rsidRPr="002E3C13">
        <w:rPr>
          <w:rFonts w:eastAsia="SimSun"/>
          <w:sz w:val="24"/>
          <w:szCs w:val="24"/>
        </w:rPr>
        <w:t>–</w:t>
      </w:r>
      <w:r w:rsidRPr="002E3C13">
        <w:rPr>
          <w:rFonts w:eastAsia="SimSun"/>
          <w:sz w:val="24"/>
          <w:szCs w:val="24"/>
        </w:rPr>
        <w:tab/>
        <w:t>the activities of the RRB not related to the adoption of the Rules of Procedure.</w:t>
      </w:r>
    </w:p>
    <w:p w:rsidR="005269BD" w:rsidRPr="002E3C13" w:rsidRDefault="005269BD" w:rsidP="004E2CAF">
      <w:pPr>
        <w:pStyle w:val="enumlev1"/>
        <w:jc w:val="left"/>
        <w:rPr>
          <w:rFonts w:eastAsia="SimSun"/>
          <w:sz w:val="24"/>
          <w:szCs w:val="24"/>
        </w:rPr>
      </w:pPr>
      <w:r w:rsidRPr="002E3C13">
        <w:rPr>
          <w:rFonts w:eastAsia="SimSun"/>
          <w:sz w:val="24"/>
          <w:szCs w:val="24"/>
        </w:rPr>
        <w:t>•</w:t>
      </w:r>
      <w:r w:rsidRPr="002E3C13">
        <w:rPr>
          <w:rFonts w:eastAsia="SimSun"/>
          <w:sz w:val="24"/>
          <w:szCs w:val="24"/>
        </w:rPr>
        <w:tab/>
        <w:t xml:space="preserve">Outputs are: </w:t>
      </w:r>
    </w:p>
    <w:p w:rsidR="005269BD" w:rsidRPr="002E3C13" w:rsidRDefault="005269BD" w:rsidP="004E2CAF">
      <w:pPr>
        <w:pStyle w:val="enumlev2"/>
        <w:jc w:val="left"/>
        <w:rPr>
          <w:rFonts w:eastAsia="SimSun"/>
          <w:sz w:val="24"/>
          <w:szCs w:val="24"/>
        </w:rPr>
      </w:pPr>
      <w:r w:rsidRPr="002E3C13">
        <w:rPr>
          <w:rFonts w:eastAsia="SimSun"/>
          <w:sz w:val="24"/>
          <w:szCs w:val="24"/>
        </w:rPr>
        <w:t>–</w:t>
      </w:r>
      <w:r w:rsidRPr="002E3C13">
        <w:rPr>
          <w:rFonts w:eastAsia="SimSun"/>
          <w:sz w:val="24"/>
          <w:szCs w:val="24"/>
        </w:rPr>
        <w:tab/>
        <w:t>updated Master International Frequency Register (MIFR) and assignment and/or allotment Plans and Lists by recording, suppression or modifications of assignments and allotments,</w:t>
      </w:r>
    </w:p>
    <w:p w:rsidR="005269BD" w:rsidRPr="002E3C13" w:rsidRDefault="005269BD" w:rsidP="004E2CAF">
      <w:pPr>
        <w:pStyle w:val="enumlev2"/>
        <w:jc w:val="left"/>
        <w:rPr>
          <w:rFonts w:eastAsia="SimSun"/>
          <w:sz w:val="24"/>
          <w:szCs w:val="24"/>
        </w:rPr>
      </w:pPr>
      <w:r w:rsidRPr="002E3C13">
        <w:rPr>
          <w:rFonts w:eastAsia="SimSun"/>
          <w:sz w:val="24"/>
          <w:szCs w:val="24"/>
        </w:rPr>
        <w:t>–</w:t>
      </w:r>
      <w:r w:rsidRPr="002E3C13">
        <w:rPr>
          <w:rFonts w:eastAsia="SimSun"/>
          <w:sz w:val="24"/>
          <w:szCs w:val="24"/>
        </w:rPr>
        <w:tab/>
        <w:t>associated publications (BR IFIC, Lists of Maritime publications).</w:t>
      </w:r>
    </w:p>
    <w:p w:rsidR="005269BD" w:rsidRPr="002E3C13" w:rsidRDefault="005269BD" w:rsidP="008D06D7">
      <w:pPr>
        <w:pStyle w:val="Headingb"/>
        <w:rPr>
          <w:rFonts w:eastAsia="SimSun"/>
          <w:sz w:val="24"/>
          <w:szCs w:val="24"/>
          <w:lang w:eastAsia="zh-CN"/>
        </w:rPr>
      </w:pPr>
      <w:r w:rsidRPr="002E3C13">
        <w:rPr>
          <w:rFonts w:eastAsia="SimSun"/>
          <w:sz w:val="24"/>
          <w:szCs w:val="24"/>
          <w:lang w:eastAsia="zh-CN"/>
        </w:rPr>
        <w:t>Process 3: To establish and update worldwide Recommendations, Reports and Handbooks for the most efficient use of the radio-frequency spectrum and satellite orbits</w:t>
      </w:r>
      <w:r w:rsidRPr="002E3C13" w:rsidDel="006F7F4F">
        <w:rPr>
          <w:rFonts w:eastAsia="SimSun"/>
          <w:sz w:val="24"/>
          <w:szCs w:val="24"/>
          <w:lang w:eastAsia="zh-CN"/>
        </w:rPr>
        <w:t xml:space="preserve"> </w:t>
      </w:r>
    </w:p>
    <w:p w:rsidR="005269BD" w:rsidRPr="002E3C13" w:rsidRDefault="005269BD" w:rsidP="004E2CAF">
      <w:pPr>
        <w:pStyle w:val="enumlev1"/>
        <w:jc w:val="left"/>
        <w:rPr>
          <w:rFonts w:eastAsia="SimSun"/>
          <w:sz w:val="24"/>
          <w:szCs w:val="24"/>
        </w:rPr>
      </w:pPr>
      <w:r w:rsidRPr="002E3C13">
        <w:rPr>
          <w:rFonts w:eastAsia="SimSun"/>
          <w:sz w:val="24"/>
          <w:szCs w:val="24"/>
        </w:rPr>
        <w:t>•</w:t>
      </w:r>
      <w:r w:rsidRPr="002E3C13">
        <w:rPr>
          <w:rFonts w:eastAsia="SimSun"/>
          <w:sz w:val="24"/>
          <w:szCs w:val="24"/>
        </w:rPr>
        <w:tab/>
        <w:t>Inputs are contributions by the ITU</w:t>
      </w:r>
      <w:r w:rsidRPr="002E3C13">
        <w:rPr>
          <w:rFonts w:eastAsia="SimSun"/>
          <w:sz w:val="24"/>
          <w:szCs w:val="24"/>
        </w:rPr>
        <w:noBreakHyphen/>
        <w:t>R membership.</w:t>
      </w:r>
    </w:p>
    <w:p w:rsidR="005269BD" w:rsidRPr="002E3C13" w:rsidRDefault="005269BD" w:rsidP="004E2CAF">
      <w:pPr>
        <w:pStyle w:val="enumlev1"/>
        <w:jc w:val="left"/>
        <w:rPr>
          <w:rFonts w:eastAsia="SimSun"/>
          <w:sz w:val="24"/>
          <w:szCs w:val="24"/>
        </w:rPr>
      </w:pPr>
      <w:r w:rsidRPr="002E3C13">
        <w:rPr>
          <w:rFonts w:eastAsia="SimSun"/>
          <w:sz w:val="24"/>
          <w:szCs w:val="24"/>
        </w:rPr>
        <w:t>•</w:t>
      </w:r>
      <w:r w:rsidRPr="002E3C13">
        <w:rPr>
          <w:rFonts w:eastAsia="SimSun"/>
          <w:sz w:val="24"/>
          <w:szCs w:val="24"/>
        </w:rPr>
        <w:tab/>
        <w:t>Activities are: the technical, operational and regulatory studies within the ITU</w:t>
      </w:r>
      <w:r w:rsidRPr="002E3C13">
        <w:rPr>
          <w:rFonts w:eastAsia="SimSun"/>
          <w:sz w:val="24"/>
          <w:szCs w:val="24"/>
        </w:rPr>
        <w:noBreakHyphen/>
        <w:t xml:space="preserve">R Study Groups, Special Committee of Regulatory and Procedural Matters and CPM. </w:t>
      </w:r>
    </w:p>
    <w:p w:rsidR="005269BD" w:rsidRPr="002E3C13" w:rsidRDefault="005269BD" w:rsidP="004E2CAF">
      <w:pPr>
        <w:pStyle w:val="enumlev1"/>
        <w:jc w:val="left"/>
        <w:rPr>
          <w:rFonts w:eastAsia="SimSun"/>
          <w:sz w:val="24"/>
          <w:szCs w:val="24"/>
        </w:rPr>
      </w:pPr>
      <w:r w:rsidRPr="002E3C13">
        <w:rPr>
          <w:rFonts w:eastAsia="SimSun"/>
          <w:sz w:val="24"/>
          <w:szCs w:val="24"/>
        </w:rPr>
        <w:t>•</w:t>
      </w:r>
      <w:r w:rsidRPr="002E3C13">
        <w:rPr>
          <w:rFonts w:eastAsia="SimSun"/>
          <w:sz w:val="24"/>
          <w:szCs w:val="24"/>
        </w:rPr>
        <w:tab/>
        <w:t>The BR activities relating to this process pertain to the Support process (see below).</w:t>
      </w:r>
    </w:p>
    <w:p w:rsidR="005269BD" w:rsidRPr="002E3C13" w:rsidRDefault="005269BD" w:rsidP="004E2CAF">
      <w:pPr>
        <w:pStyle w:val="enumlev1"/>
        <w:jc w:val="left"/>
        <w:rPr>
          <w:rFonts w:eastAsia="SimSun"/>
          <w:sz w:val="24"/>
          <w:szCs w:val="24"/>
        </w:rPr>
      </w:pPr>
      <w:r w:rsidRPr="002E3C13">
        <w:rPr>
          <w:rFonts w:eastAsia="SimSun"/>
          <w:sz w:val="24"/>
          <w:szCs w:val="24"/>
        </w:rPr>
        <w:t>•</w:t>
      </w:r>
      <w:r w:rsidRPr="002E3C13">
        <w:rPr>
          <w:rFonts w:eastAsia="SimSun"/>
          <w:sz w:val="24"/>
          <w:szCs w:val="24"/>
        </w:rPr>
        <w:tab/>
        <w:t>Outputs are: ITU</w:t>
      </w:r>
      <w:r w:rsidRPr="002E3C13">
        <w:rPr>
          <w:rFonts w:eastAsia="SimSun"/>
          <w:sz w:val="24"/>
          <w:szCs w:val="24"/>
        </w:rPr>
        <w:noBreakHyphen/>
        <w:t>R Recommendations, Reports (including the CPM report) and Handbooks.</w:t>
      </w:r>
    </w:p>
    <w:p w:rsidR="005269BD" w:rsidRPr="002E3C13" w:rsidRDefault="005269BD" w:rsidP="008D06D7">
      <w:pPr>
        <w:pStyle w:val="Headingb"/>
        <w:rPr>
          <w:rFonts w:eastAsia="SimSun"/>
          <w:sz w:val="24"/>
          <w:szCs w:val="24"/>
          <w:lang w:eastAsia="zh-CN"/>
        </w:rPr>
      </w:pPr>
      <w:r w:rsidRPr="002E3C13">
        <w:rPr>
          <w:rFonts w:eastAsia="SimSun"/>
          <w:sz w:val="24"/>
          <w:szCs w:val="24"/>
          <w:lang w:eastAsia="zh-CN"/>
        </w:rPr>
        <w:t>Process 4: To inform and assist the ITU</w:t>
      </w:r>
      <w:r w:rsidRPr="002E3C13">
        <w:rPr>
          <w:rFonts w:eastAsia="SimSun"/>
          <w:sz w:val="24"/>
          <w:szCs w:val="24"/>
          <w:lang w:eastAsia="zh-CN"/>
        </w:rPr>
        <w:noBreakHyphen/>
        <w:t xml:space="preserve">R membership in </w:t>
      </w:r>
      <w:proofErr w:type="spellStart"/>
      <w:r w:rsidRPr="002E3C13">
        <w:rPr>
          <w:rFonts w:eastAsia="SimSun"/>
          <w:sz w:val="24"/>
          <w:szCs w:val="24"/>
          <w:lang w:eastAsia="zh-CN"/>
        </w:rPr>
        <w:t>radiocommunication</w:t>
      </w:r>
      <w:proofErr w:type="spellEnd"/>
      <w:r w:rsidRPr="002E3C13">
        <w:rPr>
          <w:rFonts w:eastAsia="SimSun"/>
          <w:sz w:val="24"/>
          <w:szCs w:val="24"/>
          <w:lang w:eastAsia="zh-CN"/>
        </w:rPr>
        <w:t xml:space="preserve"> matters</w:t>
      </w:r>
    </w:p>
    <w:p w:rsidR="005269BD" w:rsidRPr="002E3C13" w:rsidRDefault="005269BD" w:rsidP="004E2CAF">
      <w:pPr>
        <w:jc w:val="left"/>
        <w:rPr>
          <w:rFonts w:eastAsia="SimSun"/>
          <w:sz w:val="24"/>
          <w:szCs w:val="24"/>
          <w:lang w:eastAsia="zh-CN"/>
        </w:rPr>
      </w:pPr>
      <w:r w:rsidRPr="002E3C13">
        <w:rPr>
          <w:rFonts w:eastAsia="SimSun"/>
          <w:sz w:val="24"/>
          <w:szCs w:val="24"/>
          <w:lang w:eastAsia="zh-CN"/>
        </w:rPr>
        <w:t>The activities relating to informing administrations may be difficult to separate from those relating to assisting. Therefore, these activities have been combined into one process.</w:t>
      </w:r>
    </w:p>
    <w:p w:rsidR="005269BD" w:rsidRPr="002E3C13" w:rsidRDefault="005269BD" w:rsidP="004E2CAF">
      <w:pPr>
        <w:pStyle w:val="enumlev1"/>
        <w:jc w:val="left"/>
        <w:rPr>
          <w:rFonts w:eastAsia="SimSun"/>
          <w:sz w:val="24"/>
          <w:szCs w:val="24"/>
        </w:rPr>
      </w:pPr>
      <w:r w:rsidRPr="002E3C13">
        <w:rPr>
          <w:rFonts w:eastAsia="SimSun"/>
          <w:sz w:val="24"/>
          <w:szCs w:val="24"/>
        </w:rPr>
        <w:t>•</w:t>
      </w:r>
      <w:r w:rsidRPr="002E3C13">
        <w:rPr>
          <w:rFonts w:eastAsia="SimSun"/>
          <w:sz w:val="24"/>
          <w:szCs w:val="24"/>
        </w:rPr>
        <w:tab/>
        <w:t>Inputs are: requests for assistance from ITU</w:t>
      </w:r>
      <w:r w:rsidRPr="002E3C13">
        <w:rPr>
          <w:rFonts w:eastAsia="SimSun"/>
          <w:sz w:val="24"/>
          <w:szCs w:val="24"/>
        </w:rPr>
        <w:noBreakHyphen/>
        <w:t xml:space="preserve">R membership, request for fellowship for participation in conferences and meetings. </w:t>
      </w:r>
    </w:p>
    <w:p w:rsidR="005269BD" w:rsidRPr="002E3C13" w:rsidRDefault="005269BD" w:rsidP="004E2CAF">
      <w:pPr>
        <w:pStyle w:val="enumlev1"/>
        <w:jc w:val="left"/>
        <w:rPr>
          <w:rFonts w:eastAsia="SimSun"/>
          <w:sz w:val="24"/>
          <w:szCs w:val="24"/>
        </w:rPr>
      </w:pPr>
      <w:r w:rsidRPr="002E3C13">
        <w:rPr>
          <w:rFonts w:eastAsia="SimSun"/>
          <w:sz w:val="24"/>
          <w:szCs w:val="24"/>
        </w:rPr>
        <w:t>•</w:t>
      </w:r>
      <w:r w:rsidRPr="002E3C13">
        <w:rPr>
          <w:rFonts w:eastAsia="SimSun"/>
          <w:sz w:val="24"/>
          <w:szCs w:val="24"/>
        </w:rPr>
        <w:tab/>
        <w:t>Activities are: dissemination of information related to frequency assignments, preparation of material for presentations, tutorials, and all other associated activities by ITU</w:t>
      </w:r>
      <w:r w:rsidRPr="002E3C13">
        <w:rPr>
          <w:rFonts w:eastAsia="SimSun"/>
          <w:sz w:val="24"/>
          <w:szCs w:val="24"/>
        </w:rPr>
        <w:noBreakHyphen/>
        <w:t xml:space="preserve">R membership and BR relating to the preparation and the holding of workshops, events, conferences and seminars. </w:t>
      </w:r>
    </w:p>
    <w:p w:rsidR="005269BD" w:rsidRPr="002E3C13" w:rsidRDefault="005269BD" w:rsidP="004E2CAF">
      <w:pPr>
        <w:pStyle w:val="enumlev1"/>
        <w:jc w:val="left"/>
        <w:rPr>
          <w:rFonts w:eastAsia="SimSun"/>
          <w:sz w:val="24"/>
          <w:szCs w:val="24"/>
        </w:rPr>
      </w:pPr>
      <w:r w:rsidRPr="002E3C13">
        <w:rPr>
          <w:rFonts w:eastAsia="SimSun"/>
          <w:sz w:val="24"/>
          <w:szCs w:val="24"/>
        </w:rPr>
        <w:lastRenderedPageBreak/>
        <w:t>•</w:t>
      </w:r>
      <w:r w:rsidRPr="002E3C13">
        <w:rPr>
          <w:rFonts w:eastAsia="SimSun"/>
          <w:sz w:val="24"/>
          <w:szCs w:val="24"/>
        </w:rPr>
        <w:tab/>
        <w:t xml:space="preserve">Outputs are: dissemination of information, including seminars, conferences, workshops and other events, rendering of assistance. </w:t>
      </w:r>
    </w:p>
    <w:p w:rsidR="002E3C13" w:rsidRPr="002E3C13" w:rsidRDefault="002E3C13" w:rsidP="002E3C13">
      <w:pPr>
        <w:tabs>
          <w:tab w:val="clear" w:pos="794"/>
          <w:tab w:val="clear" w:pos="1191"/>
          <w:tab w:val="clear" w:pos="1588"/>
          <w:tab w:val="clear" w:pos="1985"/>
        </w:tabs>
        <w:overflowPunct/>
        <w:autoSpaceDE/>
        <w:autoSpaceDN/>
        <w:adjustRightInd/>
        <w:spacing w:before="0"/>
        <w:textAlignment w:val="auto"/>
        <w:rPr>
          <w:rFonts w:eastAsia="SimSun"/>
          <w:b/>
          <w:bCs/>
          <w:lang w:eastAsia="zh-CN"/>
        </w:rPr>
      </w:pPr>
    </w:p>
    <w:p w:rsidR="005269BD" w:rsidRPr="002E3C13" w:rsidRDefault="005269BD" w:rsidP="002E3C13">
      <w:pPr>
        <w:tabs>
          <w:tab w:val="clear" w:pos="794"/>
          <w:tab w:val="clear" w:pos="1191"/>
          <w:tab w:val="clear" w:pos="1588"/>
          <w:tab w:val="clear" w:pos="1985"/>
        </w:tabs>
        <w:overflowPunct/>
        <w:autoSpaceDE/>
        <w:autoSpaceDN/>
        <w:adjustRightInd/>
        <w:spacing w:before="0"/>
        <w:textAlignment w:val="auto"/>
        <w:rPr>
          <w:rFonts w:eastAsia="SimSun"/>
          <w:b/>
          <w:bCs/>
          <w:sz w:val="24"/>
          <w:szCs w:val="24"/>
          <w:lang w:eastAsia="zh-CN"/>
        </w:rPr>
      </w:pPr>
      <w:r w:rsidRPr="002E3C13">
        <w:rPr>
          <w:rFonts w:eastAsia="SimSun"/>
          <w:b/>
          <w:bCs/>
          <w:sz w:val="24"/>
          <w:szCs w:val="24"/>
          <w:lang w:eastAsia="zh-CN"/>
        </w:rPr>
        <w:t xml:space="preserve">Pilot Process </w:t>
      </w:r>
    </w:p>
    <w:p w:rsidR="005269BD" w:rsidRPr="002E3C13" w:rsidRDefault="005269BD" w:rsidP="004E2CAF">
      <w:pPr>
        <w:jc w:val="left"/>
        <w:rPr>
          <w:rFonts w:eastAsia="SimSun"/>
          <w:sz w:val="24"/>
          <w:szCs w:val="24"/>
          <w:lang w:eastAsia="zh-CN"/>
        </w:rPr>
      </w:pPr>
      <w:r w:rsidRPr="002E3C13">
        <w:rPr>
          <w:rFonts w:eastAsia="SimSun"/>
          <w:sz w:val="24"/>
          <w:szCs w:val="24"/>
          <w:lang w:eastAsia="zh-CN"/>
        </w:rPr>
        <w:t xml:space="preserve">The activities of the </w:t>
      </w:r>
      <w:proofErr w:type="spellStart"/>
      <w:r w:rsidRPr="002E3C13">
        <w:rPr>
          <w:rFonts w:eastAsia="SimSun"/>
          <w:sz w:val="24"/>
          <w:szCs w:val="24"/>
          <w:lang w:eastAsia="zh-CN"/>
        </w:rPr>
        <w:t>Radiocommunication</w:t>
      </w:r>
      <w:proofErr w:type="spellEnd"/>
      <w:r w:rsidRPr="002E3C13">
        <w:rPr>
          <w:rFonts w:eastAsia="SimSun"/>
          <w:sz w:val="24"/>
          <w:szCs w:val="24"/>
          <w:lang w:eastAsia="zh-CN"/>
        </w:rPr>
        <w:t xml:space="preserve"> Assembly related to the adoption of ITU</w:t>
      </w:r>
      <w:r w:rsidRPr="002E3C13">
        <w:rPr>
          <w:rFonts w:eastAsia="SimSun"/>
          <w:sz w:val="24"/>
          <w:szCs w:val="24"/>
          <w:lang w:eastAsia="zh-CN"/>
        </w:rPr>
        <w:noBreakHyphen/>
        <w:t>R Resolutions, as well as those of the RAG are part of the process of piloting the ITU</w:t>
      </w:r>
      <w:r w:rsidRPr="002E3C13">
        <w:rPr>
          <w:rFonts w:eastAsia="SimSun"/>
          <w:sz w:val="24"/>
          <w:szCs w:val="24"/>
          <w:lang w:eastAsia="zh-CN"/>
        </w:rPr>
        <w:noBreakHyphen/>
        <w:t xml:space="preserve">R. </w:t>
      </w:r>
    </w:p>
    <w:p w:rsidR="005269BD" w:rsidRPr="002E3C13" w:rsidRDefault="005269BD" w:rsidP="004E2CAF">
      <w:pPr>
        <w:pStyle w:val="Headingb"/>
        <w:jc w:val="left"/>
        <w:rPr>
          <w:rFonts w:asciiTheme="minorHAnsi" w:eastAsia="SimSun" w:hAnsiTheme="minorHAnsi" w:cstheme="minorHAnsi"/>
          <w:sz w:val="24"/>
          <w:szCs w:val="24"/>
          <w:lang w:eastAsia="zh-CN"/>
        </w:rPr>
      </w:pPr>
      <w:r w:rsidRPr="002E3C13">
        <w:rPr>
          <w:rFonts w:asciiTheme="minorHAnsi" w:eastAsia="SimSun" w:hAnsiTheme="minorHAnsi" w:cstheme="minorHAnsi"/>
          <w:sz w:val="24"/>
          <w:szCs w:val="24"/>
          <w:lang w:eastAsia="zh-CN"/>
        </w:rPr>
        <w:t xml:space="preserve">Support Process </w:t>
      </w:r>
    </w:p>
    <w:p w:rsidR="005269BD" w:rsidRPr="002E3C13" w:rsidRDefault="005269BD" w:rsidP="004E2CAF">
      <w:pPr>
        <w:jc w:val="left"/>
        <w:rPr>
          <w:rFonts w:asciiTheme="minorHAnsi" w:eastAsia="SimSun" w:hAnsiTheme="minorHAnsi" w:cstheme="minorHAnsi"/>
          <w:b/>
          <w:sz w:val="24"/>
          <w:szCs w:val="24"/>
          <w:lang w:eastAsia="zh-CN"/>
        </w:rPr>
      </w:pPr>
      <w:r w:rsidRPr="002E3C13">
        <w:rPr>
          <w:rFonts w:asciiTheme="minorHAnsi" w:eastAsia="SimSun" w:hAnsiTheme="minorHAnsi" w:cstheme="minorHAnsi"/>
          <w:sz w:val="24"/>
          <w:szCs w:val="24"/>
          <w:lang w:eastAsia="zh-CN"/>
        </w:rPr>
        <w:t xml:space="preserve">Some of the BR activities are not related to the previous processes. They should be categorized in the support process. </w:t>
      </w:r>
    </w:p>
    <w:p w:rsidR="005269BD" w:rsidRPr="002E3C13" w:rsidRDefault="005269BD" w:rsidP="004E2CAF">
      <w:pPr>
        <w:jc w:val="left"/>
        <w:rPr>
          <w:rFonts w:asciiTheme="minorHAnsi" w:eastAsia="SimSun" w:hAnsiTheme="minorHAnsi" w:cstheme="minorHAnsi"/>
          <w:sz w:val="24"/>
          <w:szCs w:val="24"/>
          <w:lang w:eastAsia="zh-CN"/>
        </w:rPr>
      </w:pPr>
      <w:r w:rsidRPr="002E3C13">
        <w:rPr>
          <w:rFonts w:asciiTheme="minorHAnsi" w:eastAsia="SimSun" w:hAnsiTheme="minorHAnsi" w:cstheme="minorHAnsi"/>
          <w:sz w:val="24"/>
          <w:szCs w:val="24"/>
          <w:lang w:eastAsia="zh-CN"/>
        </w:rPr>
        <w:t>Figure 1 below summarizes the proposed description of ITU</w:t>
      </w:r>
      <w:r w:rsidRPr="002E3C13">
        <w:rPr>
          <w:rFonts w:asciiTheme="minorHAnsi" w:eastAsia="SimSun" w:hAnsiTheme="minorHAnsi" w:cstheme="minorHAnsi"/>
          <w:sz w:val="24"/>
          <w:szCs w:val="24"/>
          <w:lang w:eastAsia="zh-CN"/>
        </w:rPr>
        <w:noBreakHyphen/>
        <w:t xml:space="preserve">R processes and associated activities. Figures providing more details of each of the four possible processes are contained in pages 5 to 7 of </w:t>
      </w:r>
      <w:hyperlink r:id="rId20" w:history="1">
        <w:r w:rsidRPr="002E3C13">
          <w:rPr>
            <w:rStyle w:val="Hyperlink"/>
            <w:rFonts w:asciiTheme="minorHAnsi" w:eastAsia="SimSun" w:hAnsiTheme="minorHAnsi" w:cstheme="minorHAnsi"/>
            <w:sz w:val="24"/>
            <w:szCs w:val="24"/>
            <w:lang w:eastAsia="zh-CN"/>
          </w:rPr>
          <w:t>Document RAG13-1/13</w:t>
        </w:r>
      </w:hyperlink>
      <w:r w:rsidRPr="002E3C13">
        <w:rPr>
          <w:rFonts w:asciiTheme="minorHAnsi" w:eastAsia="SimSun" w:hAnsiTheme="minorHAnsi" w:cstheme="minorHAnsi"/>
          <w:sz w:val="24"/>
          <w:szCs w:val="24"/>
          <w:lang w:eastAsia="zh-CN"/>
        </w:rPr>
        <w:t xml:space="preserve">. </w:t>
      </w:r>
    </w:p>
    <w:p w:rsidR="005269BD" w:rsidRDefault="005269BD" w:rsidP="008D06D7">
      <w:pPr>
        <w:rPr>
          <w:rFonts w:eastAsia="SimSun"/>
          <w:lang w:eastAsia="zh-CN"/>
        </w:rPr>
      </w:pPr>
    </w:p>
    <w:p w:rsidR="007B1037" w:rsidRDefault="007B1037" w:rsidP="008D06D7">
      <w:pPr>
        <w:rPr>
          <w:rFonts w:eastAsia="SimSun"/>
          <w:lang w:eastAsia="zh-CN"/>
        </w:rPr>
      </w:pPr>
    </w:p>
    <w:p w:rsidR="007B1037" w:rsidRPr="00896591" w:rsidRDefault="007B1037" w:rsidP="008D06D7">
      <w:pPr>
        <w:rPr>
          <w:rFonts w:eastAsia="SimSun"/>
          <w:lang w:eastAsia="zh-CN"/>
        </w:rPr>
      </w:pPr>
    </w:p>
    <w:p w:rsidR="005269BD" w:rsidRPr="00896591" w:rsidRDefault="005269BD" w:rsidP="00305841">
      <w:pPr>
        <w:pStyle w:val="FigureNo"/>
      </w:pPr>
      <w:r>
        <w:t>F</w:t>
      </w:r>
      <w:r w:rsidRPr="00896591">
        <w:t>igure 1</w:t>
      </w:r>
    </w:p>
    <w:p w:rsidR="005269BD" w:rsidRDefault="00453187" w:rsidP="00305841">
      <w:pPr>
        <w:pStyle w:val="Figuretitle"/>
        <w:rPr>
          <w:rFonts w:asciiTheme="majorBidi" w:eastAsia="SimSun" w:hAnsiTheme="majorBidi" w:cstheme="majorBidi"/>
          <w:szCs w:val="24"/>
          <w:lang w:eastAsia="zh-CN"/>
        </w:rPr>
      </w:pPr>
      <w:r>
        <w:rPr>
          <w:rFonts w:ascii="Calibri" w:eastAsia="SimSun" w:hAnsi="Calibri" w:cs="Arial"/>
          <w:noProof/>
          <w:szCs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6" type="#_x0000_t75" style="position:absolute;left:0;text-align:left;margin-left:41.2pt;margin-top:20.7pt;width:404.05pt;height:253pt;z-index:251659264;visibility:visible">
            <v:imagedata r:id="rId21" o:title=""/>
          </v:shape>
          <o:OLEObject Type="Embed" ProgID="Word.Picture.8" ShapeID="Object 4" DrawAspect="Content" ObjectID="_1433336330" r:id="rId22"/>
        </w:pict>
      </w:r>
      <w:r w:rsidR="005269BD" w:rsidRPr="00896591">
        <w:rPr>
          <w:rFonts w:asciiTheme="majorBidi" w:eastAsia="SimSun" w:hAnsiTheme="majorBidi" w:cstheme="majorBidi"/>
          <w:szCs w:val="24"/>
          <w:lang w:eastAsia="zh-CN"/>
        </w:rPr>
        <w:t>Possible description of ITU</w:t>
      </w:r>
      <w:r w:rsidR="005269BD" w:rsidRPr="00896591">
        <w:rPr>
          <w:rFonts w:asciiTheme="majorBidi" w:eastAsia="SimSun" w:hAnsiTheme="majorBidi" w:cstheme="majorBidi"/>
          <w:szCs w:val="24"/>
          <w:lang w:eastAsia="zh-CN"/>
        </w:rPr>
        <w:noBreakHyphen/>
        <w:t>R processes and associated activities</w:t>
      </w:r>
    </w:p>
    <w:p w:rsidR="00A50895" w:rsidRDefault="00A50895" w:rsidP="00A50895">
      <w:pPr>
        <w:rPr>
          <w:rFonts w:eastAsia="SimSun"/>
          <w:lang w:val="en-GB" w:eastAsia="zh-CN"/>
        </w:rPr>
      </w:pPr>
    </w:p>
    <w:p w:rsidR="00A50895" w:rsidRDefault="00A50895" w:rsidP="00A50895">
      <w:pPr>
        <w:rPr>
          <w:rFonts w:eastAsia="SimSun"/>
          <w:lang w:val="en-GB" w:eastAsia="zh-CN"/>
        </w:rPr>
      </w:pPr>
    </w:p>
    <w:p w:rsidR="00A50895" w:rsidRPr="00A50895" w:rsidRDefault="00A50895" w:rsidP="00A50895">
      <w:pPr>
        <w:rPr>
          <w:rFonts w:eastAsia="SimSun"/>
          <w:lang w:val="en-GB" w:eastAsia="zh-CN"/>
        </w:rPr>
      </w:pPr>
    </w:p>
    <w:p w:rsidR="005269BD" w:rsidRDefault="005269BD" w:rsidP="003A5470">
      <w:pPr>
        <w:rPr>
          <w:rFonts w:eastAsia="SimSun"/>
          <w:lang w:eastAsia="zh-CN"/>
        </w:rPr>
      </w:pPr>
    </w:p>
    <w:p w:rsidR="005269BD" w:rsidRDefault="005269BD" w:rsidP="003A5470">
      <w:pPr>
        <w:rPr>
          <w:rFonts w:eastAsia="SimSun"/>
          <w:lang w:eastAsia="zh-CN"/>
        </w:rPr>
      </w:pPr>
    </w:p>
    <w:p w:rsidR="005269BD" w:rsidRDefault="005269BD" w:rsidP="003A5470">
      <w:pPr>
        <w:rPr>
          <w:rFonts w:eastAsia="SimSun"/>
          <w:lang w:eastAsia="zh-CN"/>
        </w:rPr>
      </w:pPr>
    </w:p>
    <w:p w:rsidR="005269BD" w:rsidRDefault="005269BD" w:rsidP="003A5470">
      <w:pPr>
        <w:rPr>
          <w:rFonts w:eastAsia="SimSun"/>
          <w:lang w:eastAsia="zh-CN"/>
        </w:rPr>
      </w:pPr>
    </w:p>
    <w:p w:rsidR="005269BD" w:rsidRDefault="005269BD" w:rsidP="003A5470">
      <w:pPr>
        <w:rPr>
          <w:rFonts w:eastAsia="SimSun"/>
          <w:lang w:eastAsia="zh-CN"/>
        </w:rPr>
      </w:pPr>
    </w:p>
    <w:p w:rsidR="005269BD" w:rsidRDefault="005269BD" w:rsidP="003A5470">
      <w:pPr>
        <w:rPr>
          <w:rFonts w:eastAsia="SimSun"/>
          <w:lang w:eastAsia="zh-CN"/>
        </w:rPr>
      </w:pPr>
    </w:p>
    <w:p w:rsidR="005269BD" w:rsidRDefault="005269BD" w:rsidP="003A5470">
      <w:pPr>
        <w:rPr>
          <w:rFonts w:eastAsia="SimSun"/>
          <w:lang w:eastAsia="zh-CN"/>
        </w:rPr>
      </w:pPr>
    </w:p>
    <w:p w:rsidR="005269BD" w:rsidRDefault="005269BD" w:rsidP="003A5470">
      <w:pPr>
        <w:rPr>
          <w:rFonts w:eastAsia="SimSun"/>
          <w:lang w:eastAsia="zh-CN"/>
        </w:rPr>
      </w:pPr>
    </w:p>
    <w:p w:rsidR="005269BD" w:rsidRDefault="005269BD" w:rsidP="003A5470">
      <w:pPr>
        <w:rPr>
          <w:rFonts w:eastAsia="SimSun"/>
          <w:lang w:eastAsia="zh-CN"/>
        </w:rPr>
      </w:pPr>
    </w:p>
    <w:p w:rsidR="005269BD" w:rsidRDefault="005269BD" w:rsidP="003A5470">
      <w:pPr>
        <w:rPr>
          <w:rFonts w:eastAsia="SimSun"/>
          <w:lang w:eastAsia="zh-CN"/>
        </w:rPr>
      </w:pPr>
    </w:p>
    <w:p w:rsidR="005269BD" w:rsidRDefault="005269BD" w:rsidP="003A5470">
      <w:pPr>
        <w:rPr>
          <w:rFonts w:eastAsia="SimSun"/>
          <w:lang w:eastAsia="zh-CN"/>
        </w:rPr>
      </w:pPr>
    </w:p>
    <w:p w:rsidR="005269BD" w:rsidRPr="003A5470" w:rsidRDefault="005269BD" w:rsidP="003A5470">
      <w:pPr>
        <w:rPr>
          <w:rFonts w:eastAsia="SimSun"/>
          <w:lang w:eastAsia="zh-CN"/>
        </w:rPr>
      </w:pPr>
    </w:p>
    <w:p w:rsidR="005269BD" w:rsidRPr="00896591" w:rsidRDefault="005269BD" w:rsidP="008D06D7"/>
    <w:p w:rsidR="005269BD" w:rsidRDefault="005269BD">
      <w:pPr>
        <w:tabs>
          <w:tab w:val="clear" w:pos="794"/>
          <w:tab w:val="clear" w:pos="1191"/>
          <w:tab w:val="clear" w:pos="1588"/>
          <w:tab w:val="clear" w:pos="1985"/>
        </w:tabs>
        <w:overflowPunct/>
        <w:autoSpaceDE/>
        <w:autoSpaceDN/>
        <w:adjustRightInd/>
        <w:spacing w:before="0"/>
        <w:textAlignment w:val="auto"/>
      </w:pPr>
      <w:r>
        <w:br w:type="page"/>
      </w:r>
    </w:p>
    <w:p w:rsidR="005269BD" w:rsidRDefault="005269BD" w:rsidP="008D06D7">
      <w:pPr>
        <w:jc w:val="center"/>
      </w:pPr>
    </w:p>
    <w:p w:rsidR="005269BD" w:rsidRPr="00A50895" w:rsidRDefault="005269BD" w:rsidP="008D06D7">
      <w:pPr>
        <w:jc w:val="center"/>
        <w:rPr>
          <w:b/>
          <w:bCs/>
          <w:sz w:val="24"/>
          <w:szCs w:val="24"/>
        </w:rPr>
      </w:pPr>
      <w:r w:rsidRPr="00A50895">
        <w:rPr>
          <w:b/>
          <w:bCs/>
          <w:sz w:val="24"/>
          <w:szCs w:val="24"/>
        </w:rPr>
        <w:t>ANNEX 2</w:t>
      </w:r>
    </w:p>
    <w:p w:rsidR="005269BD" w:rsidRDefault="005269BD" w:rsidP="008D06D7">
      <w:pPr>
        <w:jc w:val="center"/>
      </w:pPr>
    </w:p>
    <w:p w:rsidR="005269BD" w:rsidRPr="00A50895" w:rsidRDefault="005269BD" w:rsidP="004E2CAF">
      <w:pPr>
        <w:jc w:val="left"/>
        <w:rPr>
          <w:sz w:val="24"/>
          <w:szCs w:val="24"/>
        </w:rPr>
      </w:pPr>
      <w:r w:rsidRPr="00A50895">
        <w:rPr>
          <w:sz w:val="24"/>
          <w:szCs w:val="24"/>
        </w:rPr>
        <w:t>Document 5, from the United States concerning issues with BR Circular Letter CR/343, was presented to the RAG as an information document. This action was taken after a determination that the document may be outside the scope of the RAG and could be better served as a contribution to the RRB. The United States wishes to make it clear that it believes the BR, in issuing CR/343, did not follow the</w:t>
      </w:r>
      <w:r w:rsidRPr="00A50895">
        <w:rPr>
          <w:color w:val="000000" w:themeColor="text1"/>
          <w:sz w:val="24"/>
          <w:szCs w:val="24"/>
        </w:rPr>
        <w:t xml:space="preserve"> provisions in No. 13.12A </w:t>
      </w:r>
      <w:r w:rsidRPr="00A50895">
        <w:rPr>
          <w:sz w:val="24"/>
          <w:szCs w:val="24"/>
        </w:rPr>
        <w:t>for establishing a new procedure or practice.</w:t>
      </w:r>
    </w:p>
    <w:p w:rsidR="005269BD" w:rsidRDefault="005269BD" w:rsidP="006C245B">
      <w:pPr>
        <w:rPr>
          <w:sz w:val="20"/>
        </w:rPr>
      </w:pPr>
    </w:p>
    <w:p w:rsidR="005269BD" w:rsidRDefault="005269BD" w:rsidP="006C245B"/>
    <w:p w:rsidR="005269BD" w:rsidRPr="00896591" w:rsidRDefault="005269BD" w:rsidP="00E45A4F">
      <w:pPr>
        <w:jc w:val="center"/>
      </w:pPr>
      <w:r w:rsidRPr="00896591">
        <w:t>____________</w:t>
      </w:r>
    </w:p>
    <w:p w:rsidR="00196770" w:rsidRPr="00196770" w:rsidRDefault="00196770" w:rsidP="00196770">
      <w:pPr>
        <w:tabs>
          <w:tab w:val="clear" w:pos="794"/>
          <w:tab w:val="left" w:pos="284"/>
        </w:tabs>
        <w:spacing w:before="0" w:line="240" w:lineRule="auto"/>
        <w:rPr>
          <w:sz w:val="16"/>
          <w:szCs w:val="16"/>
        </w:rPr>
      </w:pPr>
    </w:p>
    <w:sectPr w:rsidR="00196770" w:rsidRPr="00196770" w:rsidSect="00031E64">
      <w:headerReference w:type="even" r:id="rId23"/>
      <w:headerReference w:type="default" r:id="rId24"/>
      <w:headerReference w:type="first" r:id="rId25"/>
      <w:footerReference w:type="first" r:id="rId2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60" w:rsidRDefault="00806160">
      <w:r>
        <w:separator/>
      </w:r>
    </w:p>
  </w:endnote>
  <w:endnote w:type="continuationSeparator" w:id="0">
    <w:p w:rsidR="00806160" w:rsidRDefault="008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BD" w:rsidRPr="00587547" w:rsidRDefault="005269BD" w:rsidP="00784284">
    <w:pPr>
      <w:pStyle w:val="Footer"/>
      <w:rPr>
        <w:lang w:val="de-DE"/>
      </w:rPr>
    </w:pPr>
    <w:r>
      <w:fldChar w:fldCharType="begin"/>
    </w:r>
    <w:r w:rsidRPr="00587547">
      <w:rPr>
        <w:lang w:val="de-DE"/>
      </w:rPr>
      <w:instrText xml:space="preserve"> FILENAME \p \* MERGEFORMAT </w:instrText>
    </w:r>
    <w:r>
      <w:fldChar w:fldCharType="separate"/>
    </w:r>
    <w:r w:rsidR="00DF42C9">
      <w:rPr>
        <w:noProof/>
        <w:lang w:val="de-DE"/>
      </w:rPr>
      <w:t>Y:\APP\BR\CIRCS_DMS\CA\200\211\211E.docx</w:t>
    </w:r>
    <w:r>
      <w:fldChar w:fldCharType="end"/>
    </w:r>
    <w:r w:rsidRPr="00587547">
      <w:rPr>
        <w:lang w:val="de-DE"/>
      </w:rPr>
      <w:t>(280534)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4E" w:rsidRPr="005E5EB3" w:rsidRDefault="00B6394E" w:rsidP="00B6394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5269BD" w:rsidRPr="00B6394E" w:rsidRDefault="005269BD" w:rsidP="00B639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BD" w:rsidRPr="00E847BA" w:rsidRDefault="005269BD" w:rsidP="00E847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BD" w:rsidRPr="00AB2C3B" w:rsidRDefault="005269BD" w:rsidP="00AB2C3B">
    <w:pPr>
      <w:pStyle w:val="Footer"/>
      <w:rPr>
        <w:lang w:val="de-DE"/>
      </w:rPr>
    </w:pPr>
    <w:r>
      <w:fldChar w:fldCharType="begin"/>
    </w:r>
    <w:r w:rsidRPr="00AB2C3B">
      <w:rPr>
        <w:lang w:val="de-DE"/>
      </w:rPr>
      <w:instrText xml:space="preserve"> FILENAME \p  \* MERGEFORMAT </w:instrText>
    </w:r>
    <w:r>
      <w:fldChar w:fldCharType="separate"/>
    </w:r>
    <w:r w:rsidR="00DF42C9">
      <w:rPr>
        <w:noProof/>
        <w:lang w:val="de-DE"/>
      </w:rPr>
      <w:t>Y:\APP\BR\CIRCS_DMS\CA\200\211\211E.docx</w:t>
    </w:r>
    <w:r>
      <w:fldChar w:fldCharType="end"/>
    </w:r>
    <w:r w:rsidRPr="00AB2C3B">
      <w:rPr>
        <w:lang w:val="de-DE"/>
      </w:rPr>
      <w:t xml:space="preserve"> (345010)</w:t>
    </w:r>
    <w:r w:rsidRPr="00AB2C3B">
      <w:rPr>
        <w:lang w:val="de-DE"/>
      </w:rPr>
      <w:tab/>
    </w:r>
    <w:r>
      <w:fldChar w:fldCharType="begin"/>
    </w:r>
    <w:r>
      <w:instrText xml:space="preserve"> SAVEDATE \@ DD.MM.YY </w:instrText>
    </w:r>
    <w:r>
      <w:fldChar w:fldCharType="separate"/>
    </w:r>
    <w:r w:rsidR="00DF42C9">
      <w:rPr>
        <w:noProof/>
      </w:rPr>
      <w:t>21.06.13</w:t>
    </w:r>
    <w:r>
      <w:fldChar w:fldCharType="end"/>
    </w:r>
    <w:r w:rsidRPr="00AB2C3B">
      <w:rPr>
        <w:lang w:val="de-DE"/>
      </w:rPr>
      <w:tab/>
    </w:r>
    <w:r>
      <w:fldChar w:fldCharType="begin"/>
    </w:r>
    <w:r>
      <w:instrText xml:space="preserve"> PRINTDATE \@ DD.MM.YY </w:instrText>
    </w:r>
    <w:r>
      <w:fldChar w:fldCharType="separate"/>
    </w:r>
    <w:r w:rsidR="00DF42C9">
      <w:rPr>
        <w:noProof/>
      </w:rPr>
      <w:t>21.06.13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DC6184" w:rsidRPr="00AB2C3B" w:rsidRDefault="00DC6184" w:rsidP="00DC6184">
    <w:pPr>
      <w:pStyle w:val="Footer"/>
      <w:rPr>
        <w:lang w:val="de-DE"/>
      </w:rPr>
    </w:pPr>
  </w:p>
  <w:p w:rsidR="00E915AF" w:rsidRPr="00DC6184" w:rsidRDefault="00E915AF" w:rsidP="00DC6184">
    <w:pPr>
      <w:pStyle w:val="FirstFooter"/>
      <w:spacing w:line="240" w:lineRule="auto"/>
      <w:ind w:left="-397" w:right="-397"/>
      <w:jc w:val="center"/>
      <w:rPr>
        <w:sz w:val="18"/>
        <w:szCs w:val="18"/>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60" w:rsidRDefault="00806160">
      <w:r>
        <w:t>____________________</w:t>
      </w:r>
    </w:p>
  </w:footnote>
  <w:footnote w:type="continuationSeparator" w:id="0">
    <w:p w:rsidR="00806160" w:rsidRDefault="0080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41633139"/>
      <w:docPartObj>
        <w:docPartGallery w:val="Page Numbers (Top of Page)"/>
        <w:docPartUnique/>
      </w:docPartObj>
    </w:sdtPr>
    <w:sdtEndPr/>
    <w:sdtContent>
      <w:p w:rsidR="00802298" w:rsidRDefault="00802298" w:rsidP="00802298">
        <w:pPr>
          <w:tabs>
            <w:tab w:val="left" w:pos="720"/>
          </w:tabs>
          <w:spacing w:before="0"/>
          <w:jc w:val="center"/>
          <w:rPr>
            <w:sz w:val="18"/>
            <w:szCs w:val="18"/>
            <w:lang w:val="ru-RU"/>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sidR="00DF42C9">
          <w:rPr>
            <w:noProof/>
            <w:sz w:val="18"/>
            <w:szCs w:val="18"/>
          </w:rPr>
          <w:t>6</w:t>
        </w:r>
        <w:r>
          <w:rPr>
            <w:noProof/>
            <w:sz w:val="18"/>
            <w:szCs w:val="18"/>
          </w:rPr>
          <w:fldChar w:fldCharType="end"/>
        </w:r>
        <w:r>
          <w:rPr>
            <w:noProof/>
            <w:sz w:val="18"/>
            <w:szCs w:val="18"/>
          </w:rPr>
          <w:t> -</w:t>
        </w:r>
        <w:r>
          <w:rPr>
            <w:noProof/>
            <w:sz w:val="18"/>
            <w:szCs w:val="18"/>
          </w:rPr>
          <w:br/>
        </w:r>
        <w:r>
          <w:rPr>
            <w:sz w:val="18"/>
            <w:szCs w:val="18"/>
            <w:lang w:val="ru-RU"/>
          </w:rPr>
          <w:t>CA/211-</w:t>
        </w:r>
        <w:r>
          <w:rPr>
            <w:sz w:val="18"/>
            <w:szCs w:val="18"/>
          </w:rPr>
          <w:t>E</w:t>
        </w:r>
      </w:p>
      <w:p w:rsidR="00802298" w:rsidRDefault="00453187" w:rsidP="00802298">
        <w:pPr>
          <w:pStyle w:val="Header"/>
          <w:jc w:val="center"/>
          <w:rPr>
            <w:sz w:val="18"/>
            <w:szCs w:val="18"/>
          </w:rPr>
        </w:pPr>
      </w:p>
    </w:sdtContent>
  </w:sdt>
  <w:p w:rsidR="007D216A" w:rsidRDefault="007D2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BD" w:rsidRDefault="005269BD">
    <w:pPr>
      <w:pStyle w:val="Header"/>
    </w:pPr>
    <w:r>
      <w:t xml:space="preserve">- </w:t>
    </w:r>
    <w:r>
      <w:fldChar w:fldCharType="begin"/>
    </w:r>
    <w:r>
      <w:instrText xml:space="preserve"> PAGE </w:instrText>
    </w:r>
    <w:r>
      <w:fldChar w:fldCharType="separate"/>
    </w:r>
    <w:r w:rsidR="00E847BA">
      <w:rPr>
        <w:noProof/>
      </w:rPr>
      <w:t>3</w:t>
    </w:r>
    <w:r>
      <w:rPr>
        <w:noProof/>
      </w:rPr>
      <w:fldChar w:fldCharType="end"/>
    </w:r>
    <w:r>
      <w:t xml:space="preserve"> -</w:t>
    </w:r>
  </w:p>
  <w:p w:rsidR="005269BD" w:rsidRDefault="005269BD" w:rsidP="00E26CB8">
    <w:pPr>
      <w:pStyle w:val="Header"/>
    </w:pPr>
    <w:r>
      <w:t>RRB09-3/6-E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16A" w:rsidRDefault="00453187" w:rsidP="007D216A">
    <w:pPr>
      <w:pStyle w:val="Header"/>
      <w:jc w:val="center"/>
      <w:rPr>
        <w:b/>
        <w:bCs/>
        <w:noProof/>
        <w:lang w:eastAsia="zh-CN"/>
      </w:rPr>
    </w:pPr>
    <w:r>
      <w:rPr>
        <w:b/>
        <w:bCs/>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60" type="#_x0000_t75" style="position:absolute;left:0;text-align:left;margin-left:214.7pt;margin-top:-17.4pt;width:52.3pt;height:59.1pt;z-index:251658240">
          <v:imagedata r:id="rId1" o:title=""/>
        </v:shape>
      </w:pict>
    </w:r>
  </w:p>
  <w:p w:rsidR="007D216A" w:rsidRDefault="00453187" w:rsidP="007D216A">
    <w:pPr>
      <w:pStyle w:val="Header"/>
      <w:jc w:val="center"/>
    </w:pPr>
    <w:r>
      <w:pict>
        <v:group id="_x0000_s45059" editas="canvas" style="width:52.5pt;height:59.25pt;mso-position-horizontal-relative:char;mso-position-vertical-relative:line" coordsize="1050,1185">
          <o:lock v:ext="edit" aspectratio="t"/>
          <v:shape id="_x0000_s45058" type="#_x0000_t75" style="position:absolute;width:1050;height:1185" o:preferrelative="f">
            <v:fill o:detectmouseclick="t"/>
            <v:path o:extrusionok="t" o:connecttype="none"/>
            <o:lock v:ext="edit" text="t"/>
          </v:shape>
          <w10:wrap type="none"/>
          <w10:anchorlock/>
        </v:group>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934979557"/>
      <w:docPartObj>
        <w:docPartGallery w:val="Page Numbers (Top of Page)"/>
        <w:docPartUnique/>
      </w:docPartObj>
    </w:sdtPr>
    <w:sdtEndPr/>
    <w:sdtContent>
      <w:p w:rsidR="00802298" w:rsidRDefault="00802298" w:rsidP="00802298">
        <w:pPr>
          <w:tabs>
            <w:tab w:val="left" w:pos="720"/>
          </w:tabs>
          <w:spacing w:before="0"/>
          <w:jc w:val="center"/>
          <w:rPr>
            <w:sz w:val="18"/>
            <w:szCs w:val="18"/>
            <w:lang w:val="ru-RU"/>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sidR="00DF42C9">
          <w:rPr>
            <w:noProof/>
            <w:sz w:val="18"/>
            <w:szCs w:val="18"/>
          </w:rPr>
          <w:t>7</w:t>
        </w:r>
        <w:r>
          <w:rPr>
            <w:noProof/>
            <w:sz w:val="18"/>
            <w:szCs w:val="18"/>
          </w:rPr>
          <w:fldChar w:fldCharType="end"/>
        </w:r>
        <w:r>
          <w:rPr>
            <w:noProof/>
            <w:sz w:val="18"/>
            <w:szCs w:val="18"/>
          </w:rPr>
          <w:t> -</w:t>
        </w:r>
        <w:r>
          <w:rPr>
            <w:noProof/>
            <w:sz w:val="18"/>
            <w:szCs w:val="18"/>
          </w:rPr>
          <w:br/>
        </w:r>
        <w:r>
          <w:rPr>
            <w:sz w:val="18"/>
            <w:szCs w:val="18"/>
            <w:lang w:val="ru-RU"/>
          </w:rPr>
          <w:t>CA/211-</w:t>
        </w:r>
        <w:r>
          <w:rPr>
            <w:sz w:val="18"/>
            <w:szCs w:val="18"/>
          </w:rPr>
          <w:t>E</w:t>
        </w:r>
      </w:p>
      <w:p w:rsidR="00802298" w:rsidRDefault="00453187" w:rsidP="00802298">
        <w:pPr>
          <w:pStyle w:val="Header"/>
          <w:jc w:val="center"/>
          <w:rPr>
            <w:sz w:val="18"/>
            <w:szCs w:val="18"/>
          </w:rPr>
        </w:pPr>
      </w:p>
    </w:sdtContent>
  </w:sdt>
  <w:p w:rsidR="005269BD" w:rsidRPr="00802298" w:rsidRDefault="005269BD" w:rsidP="0080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9BD" w:rsidRDefault="005269BD" w:rsidP="007E4A78">
    <w:pPr>
      <w:pStyle w:val="Header"/>
    </w:pPr>
    <w:r>
      <w:t xml:space="preserve">- </w:t>
    </w:r>
    <w:sdt>
      <w:sdtPr>
        <w:id w:val="-221915447"/>
        <w:docPartObj>
          <w:docPartGallery w:val="Page Numbers (Top of Page)"/>
          <w:docPartUnique/>
        </w:docPartObj>
      </w:sdtPr>
      <w:sdtEndPr/>
      <w:sdtContent>
        <w:r>
          <w:fldChar w:fldCharType="begin"/>
        </w:r>
        <w:r>
          <w:instrText xml:space="preserve"> PAGE   \* MERGEFORMAT </w:instrText>
        </w:r>
        <w:r>
          <w:fldChar w:fldCharType="separate"/>
        </w:r>
        <w:r>
          <w:rPr>
            <w:noProof/>
          </w:rPr>
          <w:t>7</w:t>
        </w:r>
        <w:r>
          <w:rPr>
            <w:noProof/>
          </w:rPr>
          <w:fldChar w:fldCharType="end"/>
        </w:r>
        <w:r>
          <w:t xml:space="preserve"> -</w:t>
        </w:r>
        <w:r>
          <w:br/>
          <w:t>RAG13-1/TEMP/2-E</w:t>
        </w:r>
      </w:sdtContent>
    </w:sdt>
  </w:p>
  <w:p w:rsidR="005269BD" w:rsidRPr="004600CD" w:rsidRDefault="005269B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73" w:rsidRDefault="00E915AF" w:rsidP="009B4D73">
    <w:pPr>
      <w:tabs>
        <w:tab w:val="left" w:pos="720"/>
      </w:tabs>
      <w:spacing w:before="0"/>
      <w:jc w:val="center"/>
    </w:pPr>
    <w:r>
      <w:tab/>
    </w:r>
    <w:r>
      <w:tab/>
    </w:r>
  </w:p>
  <w:sdt>
    <w:sdtPr>
      <w:rPr>
        <w:sz w:val="18"/>
        <w:szCs w:val="18"/>
      </w:rPr>
      <w:id w:val="1495136644"/>
      <w:docPartObj>
        <w:docPartGallery w:val="Page Numbers (Top of Page)"/>
        <w:docPartUnique/>
      </w:docPartObj>
    </w:sdtPr>
    <w:sdtEndPr/>
    <w:sdtContent>
      <w:p w:rsidR="009B4D73" w:rsidRDefault="009B4D73" w:rsidP="009B4D73">
        <w:pPr>
          <w:tabs>
            <w:tab w:val="left" w:pos="720"/>
          </w:tabs>
          <w:spacing w:before="0"/>
          <w:jc w:val="center"/>
          <w:rPr>
            <w:sz w:val="18"/>
            <w:szCs w:val="18"/>
            <w:lang w:val="ru-RU"/>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sidR="00DF42C9">
          <w:rPr>
            <w:noProof/>
            <w:sz w:val="18"/>
            <w:szCs w:val="18"/>
          </w:rPr>
          <w:t>14</w:t>
        </w:r>
        <w:r>
          <w:rPr>
            <w:noProof/>
            <w:sz w:val="18"/>
            <w:szCs w:val="18"/>
          </w:rPr>
          <w:fldChar w:fldCharType="end"/>
        </w:r>
        <w:r>
          <w:rPr>
            <w:noProof/>
            <w:sz w:val="18"/>
            <w:szCs w:val="18"/>
          </w:rPr>
          <w:t> -</w:t>
        </w:r>
        <w:r>
          <w:rPr>
            <w:noProof/>
            <w:sz w:val="18"/>
            <w:szCs w:val="18"/>
          </w:rPr>
          <w:br/>
        </w:r>
        <w:r>
          <w:rPr>
            <w:sz w:val="18"/>
            <w:szCs w:val="18"/>
            <w:lang w:val="ru-RU"/>
          </w:rPr>
          <w:t>CA/211-</w:t>
        </w:r>
        <w:r>
          <w:rPr>
            <w:sz w:val="18"/>
            <w:szCs w:val="18"/>
          </w:rPr>
          <w:t>E</w:t>
        </w:r>
      </w:p>
      <w:p w:rsidR="00E915AF" w:rsidRPr="009B4D73" w:rsidRDefault="00453187" w:rsidP="009B4D73">
        <w:pPr>
          <w:pStyle w:val="Header"/>
          <w:jc w:val="center"/>
          <w:rPr>
            <w:sz w:val="18"/>
            <w:szCs w:val="18"/>
          </w:rPr>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84" w:rsidRDefault="00E915AF" w:rsidP="00DC6184">
    <w:pPr>
      <w:tabs>
        <w:tab w:val="left" w:pos="720"/>
      </w:tabs>
      <w:spacing w:before="0"/>
      <w:jc w:val="center"/>
    </w:pPr>
    <w:r>
      <w:tab/>
    </w:r>
    <w:r>
      <w:tab/>
    </w:r>
  </w:p>
  <w:sdt>
    <w:sdtPr>
      <w:rPr>
        <w:sz w:val="18"/>
        <w:szCs w:val="18"/>
      </w:rPr>
      <w:id w:val="-719208142"/>
      <w:docPartObj>
        <w:docPartGallery w:val="Page Numbers (Top of Page)"/>
        <w:docPartUnique/>
      </w:docPartObj>
    </w:sdtPr>
    <w:sdtEndPr/>
    <w:sdtContent>
      <w:p w:rsidR="00DC6184" w:rsidRDefault="00DC6184" w:rsidP="00DC6184">
        <w:pPr>
          <w:tabs>
            <w:tab w:val="left" w:pos="720"/>
          </w:tabs>
          <w:spacing w:before="0"/>
          <w:jc w:val="center"/>
          <w:rPr>
            <w:sz w:val="18"/>
            <w:szCs w:val="18"/>
            <w:lang w:val="ru-RU"/>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sidR="00DF42C9">
          <w:rPr>
            <w:noProof/>
            <w:sz w:val="18"/>
            <w:szCs w:val="18"/>
          </w:rPr>
          <w:t>13</w:t>
        </w:r>
        <w:r>
          <w:rPr>
            <w:noProof/>
            <w:sz w:val="18"/>
            <w:szCs w:val="18"/>
          </w:rPr>
          <w:fldChar w:fldCharType="end"/>
        </w:r>
        <w:r>
          <w:rPr>
            <w:noProof/>
            <w:sz w:val="18"/>
            <w:szCs w:val="18"/>
          </w:rPr>
          <w:t> -</w:t>
        </w:r>
        <w:r>
          <w:rPr>
            <w:noProof/>
            <w:sz w:val="18"/>
            <w:szCs w:val="18"/>
          </w:rPr>
          <w:br/>
        </w:r>
        <w:r>
          <w:rPr>
            <w:sz w:val="18"/>
            <w:szCs w:val="18"/>
            <w:lang w:val="ru-RU"/>
          </w:rPr>
          <w:t>CA/211-</w:t>
        </w:r>
        <w:r>
          <w:rPr>
            <w:sz w:val="18"/>
            <w:szCs w:val="18"/>
          </w:rPr>
          <w:t>E</w:t>
        </w:r>
      </w:p>
      <w:p w:rsidR="00E915AF" w:rsidRPr="00DC6184" w:rsidRDefault="00453187" w:rsidP="00DC6184">
        <w:pPr>
          <w:pStyle w:val="Header"/>
          <w:rPr>
            <w:sz w:val="18"/>
            <w:szCs w:val="18"/>
          </w:rPr>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1779614"/>
      <w:docPartObj>
        <w:docPartGallery w:val="Page Numbers (Top of Page)"/>
        <w:docPartUnique/>
      </w:docPartObj>
    </w:sdtPr>
    <w:sdtEndPr/>
    <w:sdtContent>
      <w:p w:rsidR="00730BCA" w:rsidRDefault="00730BCA" w:rsidP="00730BCA">
        <w:pPr>
          <w:tabs>
            <w:tab w:val="left" w:pos="720"/>
          </w:tabs>
          <w:spacing w:before="0"/>
          <w:jc w:val="center"/>
          <w:rPr>
            <w:sz w:val="18"/>
            <w:szCs w:val="18"/>
            <w:lang w:val="ru-RU"/>
          </w:rPr>
        </w:pPr>
        <w:r>
          <w:rPr>
            <w:sz w:val="18"/>
            <w:szCs w:val="18"/>
          </w:rPr>
          <w:t>- </w:t>
        </w:r>
        <w:r>
          <w:rPr>
            <w:sz w:val="18"/>
            <w:szCs w:val="18"/>
          </w:rPr>
          <w:fldChar w:fldCharType="begin"/>
        </w:r>
        <w:r>
          <w:rPr>
            <w:sz w:val="18"/>
            <w:szCs w:val="18"/>
          </w:rPr>
          <w:instrText xml:space="preserve"> PAGE   \* MERGEFORMAT </w:instrText>
        </w:r>
        <w:r>
          <w:rPr>
            <w:sz w:val="18"/>
            <w:szCs w:val="18"/>
          </w:rPr>
          <w:fldChar w:fldCharType="separate"/>
        </w:r>
        <w:r w:rsidR="00DF42C9">
          <w:rPr>
            <w:noProof/>
            <w:sz w:val="18"/>
            <w:szCs w:val="18"/>
          </w:rPr>
          <w:t>8</w:t>
        </w:r>
        <w:r>
          <w:rPr>
            <w:noProof/>
            <w:sz w:val="18"/>
            <w:szCs w:val="18"/>
          </w:rPr>
          <w:fldChar w:fldCharType="end"/>
        </w:r>
        <w:r>
          <w:rPr>
            <w:noProof/>
            <w:sz w:val="18"/>
            <w:szCs w:val="18"/>
          </w:rPr>
          <w:t> -</w:t>
        </w:r>
        <w:r>
          <w:rPr>
            <w:noProof/>
            <w:sz w:val="18"/>
            <w:szCs w:val="18"/>
          </w:rPr>
          <w:br/>
        </w:r>
        <w:r>
          <w:rPr>
            <w:sz w:val="18"/>
            <w:szCs w:val="18"/>
            <w:lang w:val="ru-RU"/>
          </w:rPr>
          <w:t>CA/211-</w:t>
        </w:r>
        <w:r>
          <w:rPr>
            <w:sz w:val="18"/>
            <w:szCs w:val="18"/>
          </w:rPr>
          <w:t>E</w:t>
        </w:r>
      </w:p>
      <w:p w:rsidR="00730BCA" w:rsidRDefault="00453187" w:rsidP="00730BCA">
        <w:pPr>
          <w:pStyle w:val="Header"/>
          <w:jc w:val="center"/>
          <w:rPr>
            <w:sz w:val="18"/>
            <w:szCs w:val="18"/>
          </w:rPr>
        </w:pPr>
      </w:p>
    </w:sdtContent>
  </w:sdt>
  <w:p w:rsidR="00E915AF" w:rsidRPr="00730BCA" w:rsidRDefault="00E915AF" w:rsidP="00730BCA">
    <w:pPr>
      <w:pStyle w:val="Header"/>
      <w:jc w:val="center"/>
      <w:rPr>
        <w:sz w:val="18"/>
        <w:szCs w:val="1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61"/>
    <o:shapelayout v:ext="edit">
      <o:idmap v:ext="edit" data="44"/>
    </o:shapelayout>
  </w:hdrShapeDefaults>
  <w:footnotePr>
    <w:footnote w:id="-1"/>
    <w:footnote w:id="0"/>
  </w:footnotePr>
  <w:endnotePr>
    <w:endnote w:id="-1"/>
    <w:endnote w:id="0"/>
  </w:endnotePr>
  <w:compat>
    <w:compatSetting w:name="compatibilityMode" w:uri="http://schemas.microsoft.com/office/word" w:val="12"/>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35CB3"/>
    <w:rsid w:val="00045A8D"/>
    <w:rsid w:val="0005167A"/>
    <w:rsid w:val="00054E5D"/>
    <w:rsid w:val="00070258"/>
    <w:rsid w:val="00072EF0"/>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07F3F"/>
    <w:rsid w:val="0011265F"/>
    <w:rsid w:val="00117282"/>
    <w:rsid w:val="00117389"/>
    <w:rsid w:val="00121C2D"/>
    <w:rsid w:val="00134404"/>
    <w:rsid w:val="00144DFB"/>
    <w:rsid w:val="00187CA3"/>
    <w:rsid w:val="00196710"/>
    <w:rsid w:val="00196770"/>
    <w:rsid w:val="00197324"/>
    <w:rsid w:val="001A3A31"/>
    <w:rsid w:val="001B351B"/>
    <w:rsid w:val="001B42C9"/>
    <w:rsid w:val="001C06DB"/>
    <w:rsid w:val="001C6971"/>
    <w:rsid w:val="001D2785"/>
    <w:rsid w:val="001D7070"/>
    <w:rsid w:val="001F2170"/>
    <w:rsid w:val="001F3948"/>
    <w:rsid w:val="001F5A49"/>
    <w:rsid w:val="00201097"/>
    <w:rsid w:val="00201B6E"/>
    <w:rsid w:val="00211F1E"/>
    <w:rsid w:val="002302B3"/>
    <w:rsid w:val="00230C66"/>
    <w:rsid w:val="00235A29"/>
    <w:rsid w:val="0024039F"/>
    <w:rsid w:val="00241526"/>
    <w:rsid w:val="002443A2"/>
    <w:rsid w:val="00263757"/>
    <w:rsid w:val="00266E74"/>
    <w:rsid w:val="00281F43"/>
    <w:rsid w:val="00283C3B"/>
    <w:rsid w:val="00285994"/>
    <w:rsid w:val="002861E6"/>
    <w:rsid w:val="00287D18"/>
    <w:rsid w:val="002A2618"/>
    <w:rsid w:val="002A3DE0"/>
    <w:rsid w:val="002A5DD7"/>
    <w:rsid w:val="002B0CAC"/>
    <w:rsid w:val="002C4EFA"/>
    <w:rsid w:val="002D5A15"/>
    <w:rsid w:val="002D5BDD"/>
    <w:rsid w:val="002E1629"/>
    <w:rsid w:val="002E3C13"/>
    <w:rsid w:val="002E3D27"/>
    <w:rsid w:val="002F0890"/>
    <w:rsid w:val="002F2531"/>
    <w:rsid w:val="002F4967"/>
    <w:rsid w:val="00316935"/>
    <w:rsid w:val="00325AC1"/>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3C24"/>
    <w:rsid w:val="003C4471"/>
    <w:rsid w:val="003C7D41"/>
    <w:rsid w:val="003D4A69"/>
    <w:rsid w:val="003E504F"/>
    <w:rsid w:val="003E78D6"/>
    <w:rsid w:val="00400573"/>
    <w:rsid w:val="004007A3"/>
    <w:rsid w:val="0040117C"/>
    <w:rsid w:val="00406D71"/>
    <w:rsid w:val="004326DB"/>
    <w:rsid w:val="0043682E"/>
    <w:rsid w:val="004461E2"/>
    <w:rsid w:val="00447ECB"/>
    <w:rsid w:val="00453187"/>
    <w:rsid w:val="004623F7"/>
    <w:rsid w:val="00480F51"/>
    <w:rsid w:val="00481124"/>
    <w:rsid w:val="004815EB"/>
    <w:rsid w:val="00487569"/>
    <w:rsid w:val="00496864"/>
    <w:rsid w:val="00496920"/>
    <w:rsid w:val="004A4496"/>
    <w:rsid w:val="004B11AB"/>
    <w:rsid w:val="004B7C9A"/>
    <w:rsid w:val="004C6779"/>
    <w:rsid w:val="004C7BBA"/>
    <w:rsid w:val="004D733B"/>
    <w:rsid w:val="004E0DC4"/>
    <w:rsid w:val="004E0FB5"/>
    <w:rsid w:val="004E2CAF"/>
    <w:rsid w:val="004E43BB"/>
    <w:rsid w:val="004E460D"/>
    <w:rsid w:val="004F178E"/>
    <w:rsid w:val="004F4543"/>
    <w:rsid w:val="004F57BB"/>
    <w:rsid w:val="00505309"/>
    <w:rsid w:val="0050789B"/>
    <w:rsid w:val="005224A1"/>
    <w:rsid w:val="005269BD"/>
    <w:rsid w:val="00534372"/>
    <w:rsid w:val="00543DF8"/>
    <w:rsid w:val="005453E1"/>
    <w:rsid w:val="00546101"/>
    <w:rsid w:val="00546512"/>
    <w:rsid w:val="00553DD7"/>
    <w:rsid w:val="005638CF"/>
    <w:rsid w:val="0056741E"/>
    <w:rsid w:val="0057325A"/>
    <w:rsid w:val="0057469A"/>
    <w:rsid w:val="00580814"/>
    <w:rsid w:val="00583A0B"/>
    <w:rsid w:val="005A03A3"/>
    <w:rsid w:val="005A2B92"/>
    <w:rsid w:val="005A3F66"/>
    <w:rsid w:val="005A79E9"/>
    <w:rsid w:val="005B214C"/>
    <w:rsid w:val="005B4CDA"/>
    <w:rsid w:val="005C1132"/>
    <w:rsid w:val="005D3669"/>
    <w:rsid w:val="005D387C"/>
    <w:rsid w:val="005E5EB3"/>
    <w:rsid w:val="005F3CB6"/>
    <w:rsid w:val="005F3D64"/>
    <w:rsid w:val="005F657C"/>
    <w:rsid w:val="00602C65"/>
    <w:rsid w:val="00602D53"/>
    <w:rsid w:val="006047E5"/>
    <w:rsid w:val="00627304"/>
    <w:rsid w:val="0064371D"/>
    <w:rsid w:val="00650543"/>
    <w:rsid w:val="00650B2A"/>
    <w:rsid w:val="00651777"/>
    <w:rsid w:val="006550F8"/>
    <w:rsid w:val="006829F3"/>
    <w:rsid w:val="006A518B"/>
    <w:rsid w:val="006B0590"/>
    <w:rsid w:val="006B49DA"/>
    <w:rsid w:val="006C53F8"/>
    <w:rsid w:val="006C7CDE"/>
    <w:rsid w:val="006F1B2B"/>
    <w:rsid w:val="006F1E8E"/>
    <w:rsid w:val="006F3FD9"/>
    <w:rsid w:val="007234B1"/>
    <w:rsid w:val="00723D08"/>
    <w:rsid w:val="00725FDA"/>
    <w:rsid w:val="00727816"/>
    <w:rsid w:val="00730B9A"/>
    <w:rsid w:val="00730BCA"/>
    <w:rsid w:val="00750CFA"/>
    <w:rsid w:val="007553DA"/>
    <w:rsid w:val="00775DB8"/>
    <w:rsid w:val="00782354"/>
    <w:rsid w:val="007921A7"/>
    <w:rsid w:val="00792C49"/>
    <w:rsid w:val="007B1037"/>
    <w:rsid w:val="007B3DB1"/>
    <w:rsid w:val="007D183E"/>
    <w:rsid w:val="007D216A"/>
    <w:rsid w:val="007D43D0"/>
    <w:rsid w:val="007E1833"/>
    <w:rsid w:val="007E3F13"/>
    <w:rsid w:val="007E7AD0"/>
    <w:rsid w:val="007F751A"/>
    <w:rsid w:val="00800012"/>
    <w:rsid w:val="00802298"/>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4D73"/>
    <w:rsid w:val="009B5CFA"/>
    <w:rsid w:val="009C161F"/>
    <w:rsid w:val="009C56B4"/>
    <w:rsid w:val="009D51A2"/>
    <w:rsid w:val="009E04A8"/>
    <w:rsid w:val="009E4AEC"/>
    <w:rsid w:val="009E5BD8"/>
    <w:rsid w:val="009E681E"/>
    <w:rsid w:val="00A02BAA"/>
    <w:rsid w:val="00A119E6"/>
    <w:rsid w:val="00A20FBC"/>
    <w:rsid w:val="00A31370"/>
    <w:rsid w:val="00A34D6F"/>
    <w:rsid w:val="00A37C27"/>
    <w:rsid w:val="00A41F91"/>
    <w:rsid w:val="00A50895"/>
    <w:rsid w:val="00A63355"/>
    <w:rsid w:val="00A7596D"/>
    <w:rsid w:val="00A963DF"/>
    <w:rsid w:val="00AC0C22"/>
    <w:rsid w:val="00AC3896"/>
    <w:rsid w:val="00AD2CF2"/>
    <w:rsid w:val="00AE0909"/>
    <w:rsid w:val="00AE2D88"/>
    <w:rsid w:val="00AE6F6F"/>
    <w:rsid w:val="00AE7D53"/>
    <w:rsid w:val="00AF3325"/>
    <w:rsid w:val="00AF34D9"/>
    <w:rsid w:val="00AF4E0F"/>
    <w:rsid w:val="00AF70DA"/>
    <w:rsid w:val="00B019D3"/>
    <w:rsid w:val="00B34CF9"/>
    <w:rsid w:val="00B37559"/>
    <w:rsid w:val="00B4054B"/>
    <w:rsid w:val="00B579B0"/>
    <w:rsid w:val="00B57D11"/>
    <w:rsid w:val="00B6394E"/>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0879"/>
    <w:rsid w:val="00DA4037"/>
    <w:rsid w:val="00DC6184"/>
    <w:rsid w:val="00DE66A5"/>
    <w:rsid w:val="00DF2B50"/>
    <w:rsid w:val="00DF42C9"/>
    <w:rsid w:val="00E04C86"/>
    <w:rsid w:val="00E17344"/>
    <w:rsid w:val="00E20F30"/>
    <w:rsid w:val="00E2189C"/>
    <w:rsid w:val="00E25BB1"/>
    <w:rsid w:val="00E27BBA"/>
    <w:rsid w:val="00E30E3F"/>
    <w:rsid w:val="00E35E8F"/>
    <w:rsid w:val="00E428AB"/>
    <w:rsid w:val="00E438E8"/>
    <w:rsid w:val="00E43D51"/>
    <w:rsid w:val="00E453A3"/>
    <w:rsid w:val="00E520E2"/>
    <w:rsid w:val="00E530C4"/>
    <w:rsid w:val="00E55996"/>
    <w:rsid w:val="00E64254"/>
    <w:rsid w:val="00E67928"/>
    <w:rsid w:val="00E70FB5"/>
    <w:rsid w:val="00E847BA"/>
    <w:rsid w:val="00E915AF"/>
    <w:rsid w:val="00E96415"/>
    <w:rsid w:val="00EA15B3"/>
    <w:rsid w:val="00EB2358"/>
    <w:rsid w:val="00EB3EB8"/>
    <w:rsid w:val="00EC00EF"/>
    <w:rsid w:val="00EC02FE"/>
    <w:rsid w:val="00EC4A96"/>
    <w:rsid w:val="00EE03A0"/>
    <w:rsid w:val="00EF0DD4"/>
    <w:rsid w:val="00F16DC2"/>
    <w:rsid w:val="00F424BF"/>
    <w:rsid w:val="00F44FC3"/>
    <w:rsid w:val="00F46107"/>
    <w:rsid w:val="00F468C5"/>
    <w:rsid w:val="00F474EA"/>
    <w:rsid w:val="00F52F39"/>
    <w:rsid w:val="00F5637F"/>
    <w:rsid w:val="00F6184F"/>
    <w:rsid w:val="00F8310E"/>
    <w:rsid w:val="00F914DD"/>
    <w:rsid w:val="00FA2358"/>
    <w:rsid w:val="00FB2592"/>
    <w:rsid w:val="00FB2810"/>
    <w:rsid w:val="00FB57B6"/>
    <w:rsid w:val="00FB7A2C"/>
    <w:rsid w:val="00FC2947"/>
    <w:rsid w:val="00FE0818"/>
    <w:rsid w:val="00FE2FD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character" w:styleId="FollowedHyperlink">
    <w:name w:val="FollowedHyperlink"/>
    <w:basedOn w:val="DefaultParagraphFont"/>
    <w:rsid w:val="00546512"/>
    <w:rPr>
      <w:color w:val="800080" w:themeColor="followedHyperlink"/>
      <w:u w:val="single"/>
    </w:rPr>
  </w:style>
  <w:style w:type="paragraph" w:customStyle="1" w:styleId="AnnexNotitle0">
    <w:name w:val="Annex_No &amp; title"/>
    <w:basedOn w:val="Normal"/>
    <w:next w:val="Normal"/>
    <w:rsid w:val="005269BD"/>
    <w:pPr>
      <w:keepNext/>
      <w:keepLines/>
      <w:spacing w:before="480" w:line="240" w:lineRule="auto"/>
      <w:jc w:val="center"/>
    </w:pPr>
    <w:rPr>
      <w:rFonts w:ascii="Times New Roman" w:hAnsi="Times New Roman" w:cs="Times New Roman"/>
      <w:b/>
      <w:sz w:val="28"/>
      <w:szCs w:val="20"/>
      <w:lang w:val="en-GB"/>
    </w:rPr>
  </w:style>
  <w:style w:type="character" w:customStyle="1" w:styleId="FooterChar">
    <w:name w:val="Footer Char"/>
    <w:basedOn w:val="DefaultParagraphFont"/>
    <w:link w:val="Footer"/>
    <w:rsid w:val="005269BD"/>
    <w:rPr>
      <w:sz w:val="22"/>
      <w:szCs w:val="22"/>
      <w:lang w:val="en-US" w:eastAsia="en-US"/>
    </w:rPr>
  </w:style>
  <w:style w:type="character" w:customStyle="1" w:styleId="HeaderChar">
    <w:name w:val="Header Char"/>
    <w:basedOn w:val="DefaultParagraphFont"/>
    <w:link w:val="Header"/>
    <w:uiPriority w:val="99"/>
    <w:rsid w:val="005269BD"/>
    <w:rPr>
      <w:sz w:val="22"/>
      <w:szCs w:val="22"/>
      <w:lang w:val="en-US" w:eastAsia="en-US"/>
    </w:rPr>
  </w:style>
  <w:style w:type="character" w:customStyle="1" w:styleId="TabletextChar">
    <w:name w:val="Table_text Char"/>
    <w:basedOn w:val="DefaultParagraphFont"/>
    <w:link w:val="Tabletext"/>
    <w:uiPriority w:val="99"/>
    <w:locked/>
    <w:rsid w:val="005269BD"/>
    <w:rPr>
      <w:szCs w:val="22"/>
      <w:lang w:val="en-US" w:eastAsia="en-US"/>
    </w:rPr>
  </w:style>
  <w:style w:type="paragraph" w:customStyle="1" w:styleId="FigureNo">
    <w:name w:val="Figure_No"/>
    <w:basedOn w:val="Normal"/>
    <w:next w:val="Normal"/>
    <w:link w:val="FigureNoChar"/>
    <w:uiPriority w:val="99"/>
    <w:rsid w:val="005269BD"/>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uiPriority w:val="99"/>
    <w:locked/>
    <w:rsid w:val="005269BD"/>
    <w:rPr>
      <w:rFonts w:ascii="Times New Roman" w:hAnsi="Times New Roman" w:cs="Times New Roman"/>
      <w:caps/>
      <w:lang w:val="en-GB" w:eastAsia="en-US"/>
    </w:rPr>
  </w:style>
  <w:style w:type="paragraph" w:customStyle="1" w:styleId="Figuretitle">
    <w:name w:val="Figure_title"/>
    <w:basedOn w:val="Normal"/>
    <w:next w:val="Normal"/>
    <w:link w:val="FiguretitleChar"/>
    <w:uiPriority w:val="99"/>
    <w:rsid w:val="005269BD"/>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uiPriority w:val="99"/>
    <w:locked/>
    <w:rsid w:val="005269BD"/>
    <w:rPr>
      <w:rFonts w:ascii="Times New Roman Bold" w:hAnsi="Times New Roman Bold" w:cs="Times New Roman"/>
      <w:b/>
      <w:lang w:val="en-GB" w:eastAsia="en-US"/>
    </w:rPr>
  </w:style>
  <w:style w:type="table" w:styleId="TableGrid">
    <w:name w:val="Table Grid"/>
    <w:basedOn w:val="TableNormal"/>
    <w:uiPriority w:val="59"/>
    <w:rsid w:val="005269BD"/>
    <w:rPr>
      <w:rFonts w:asciiTheme="minorHAnsi" w:eastAsiaTheme="minorEastAsia" w:hAnsiTheme="minorHAnsi" w:cstheme="minorBidi"/>
      <w:sz w:val="24"/>
      <w:szCs w:val="24"/>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84120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itu.int/md/R13-RAG13-C-0013/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itu.int/ITU-R/go/RAG" TargetMode="Externa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A9221-6B10-45A7-9F94-A7D81353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Template>
  <TotalTime>195</TotalTime>
  <Pages>14</Pages>
  <Words>4262</Words>
  <Characters>23508</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27715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millet</cp:lastModifiedBy>
  <cp:revision>62</cp:revision>
  <cp:lastPrinted>2013-06-21T13:49:00Z</cp:lastPrinted>
  <dcterms:created xsi:type="dcterms:W3CDTF">2013-03-07T11:37:00Z</dcterms:created>
  <dcterms:modified xsi:type="dcterms:W3CDTF">2013-06-21T14:12:00Z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