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76"/>
        <w:gridCol w:w="3793"/>
        <w:gridCol w:w="284"/>
        <w:gridCol w:w="4536"/>
      </w:tblGrid>
      <w:tr w:rsidR="00EA15B3" w:rsidRPr="00F92A57" w:rsidTr="00EA15B3">
        <w:tc>
          <w:tcPr>
            <w:tcW w:w="9889" w:type="dxa"/>
            <w:gridSpan w:val="4"/>
            <w:shd w:val="clear" w:color="auto" w:fill="auto"/>
          </w:tcPr>
          <w:p w:rsidR="00EA15B3" w:rsidRPr="00F92A57" w:rsidRDefault="00BE30D0" w:rsidP="00BE30D0">
            <w:pPr>
              <w:jc w:val="left"/>
              <w:rPr>
                <w:rFonts w:cs="Times New Roman Bold"/>
                <w:b/>
                <w:bCs/>
                <w:color w:val="808080"/>
                <w:sz w:val="28"/>
                <w:szCs w:val="28"/>
              </w:rPr>
            </w:pPr>
            <w:bookmarkStart w:id="0" w:name="Logo"/>
            <w:bookmarkStart w:id="1" w:name="Origine"/>
            <w:bookmarkEnd w:id="0"/>
            <w:bookmarkEnd w:id="1"/>
            <w:r w:rsidRPr="00F92A57">
              <w:rPr>
                <w:rFonts w:cs="Times New Roman Bold"/>
                <w:b/>
                <w:bCs/>
                <w:color w:val="808080"/>
                <w:sz w:val="28"/>
                <w:szCs w:val="28"/>
              </w:rPr>
              <w:t xml:space="preserve">Bureau de développement </w:t>
            </w:r>
            <w:r w:rsidR="00B34D33">
              <w:rPr>
                <w:rFonts w:cs="Times New Roman Bold"/>
                <w:b/>
                <w:bCs/>
                <w:color w:val="808080"/>
                <w:sz w:val="28"/>
                <w:szCs w:val="28"/>
              </w:rPr>
              <w:br/>
            </w:r>
            <w:r w:rsidRPr="00F92A57">
              <w:rPr>
                <w:rFonts w:cs="Times New Roman Bold"/>
                <w:b/>
                <w:bCs/>
                <w:color w:val="808080"/>
                <w:sz w:val="28"/>
                <w:szCs w:val="28"/>
              </w:rPr>
              <w:t>des télécommunications (BDT)</w:t>
            </w:r>
          </w:p>
        </w:tc>
      </w:tr>
      <w:tr w:rsidR="00EA15B3" w:rsidRPr="00F92A57" w:rsidTr="00EA15B3">
        <w:tc>
          <w:tcPr>
            <w:tcW w:w="9889" w:type="dxa"/>
            <w:gridSpan w:val="4"/>
            <w:shd w:val="clear" w:color="auto" w:fill="auto"/>
          </w:tcPr>
          <w:p w:rsidR="00EA15B3" w:rsidRPr="00F92A57" w:rsidRDefault="00EA15B3" w:rsidP="00EA15B3">
            <w:pPr>
              <w:jc w:val="left"/>
            </w:pPr>
          </w:p>
        </w:tc>
      </w:tr>
      <w:tr w:rsidR="00651777" w:rsidRPr="00F92A57" w:rsidTr="00651777">
        <w:tc>
          <w:tcPr>
            <w:tcW w:w="5353" w:type="dxa"/>
            <w:gridSpan w:val="3"/>
            <w:shd w:val="clear" w:color="auto" w:fill="auto"/>
          </w:tcPr>
          <w:p w:rsidR="00651777" w:rsidRPr="00F92A57" w:rsidRDefault="00651777" w:rsidP="00651777">
            <w:pPr>
              <w:jc w:val="left"/>
            </w:pPr>
          </w:p>
        </w:tc>
        <w:tc>
          <w:tcPr>
            <w:tcW w:w="4536" w:type="dxa"/>
            <w:shd w:val="clear" w:color="auto" w:fill="auto"/>
          </w:tcPr>
          <w:p w:rsidR="00651777" w:rsidRPr="00F92A57" w:rsidRDefault="00651777" w:rsidP="00BE30D0">
            <w:r w:rsidRPr="00F92A57">
              <w:t>Gen</w:t>
            </w:r>
            <w:r w:rsidR="0083382E" w:rsidRPr="00F92A57">
              <w:t>ève</w:t>
            </w:r>
            <w:r w:rsidR="00ED73BA" w:rsidRPr="00F92A57">
              <w:t>, le</w:t>
            </w:r>
            <w:r w:rsidRPr="00F92A57">
              <w:t xml:space="preserve"> </w:t>
            </w:r>
            <w:sdt>
              <w:sdtPr>
                <w:rPr>
                  <w:rFonts w:cs="Arial"/>
                </w:rPr>
                <w:alias w:val="Date"/>
                <w:tag w:val="Date"/>
                <w:id w:val="20922293"/>
                <w:lock w:val="sdtLocked"/>
                <w:placeholder>
                  <w:docPart w:val="DE75B7AF50A548C4B1010F240D6C82D0"/>
                </w:placeholder>
                <w:date w:fullDate="2013-05-24T00:00:00Z">
                  <w:dateFormat w:val="d MMMM yyyy"/>
                  <w:lid w:val="fr-FR"/>
                  <w:storeMappedDataAs w:val="date"/>
                  <w:calendar w:val="gregorian"/>
                </w:date>
              </w:sdtPr>
              <w:sdtEndPr/>
              <w:sdtContent>
                <w:r w:rsidR="00BE30D0" w:rsidRPr="00F92A57">
                  <w:rPr>
                    <w:rFonts w:cs="Arial"/>
                  </w:rPr>
                  <w:t>24 mai 2013</w:t>
                </w:r>
              </w:sdtContent>
            </w:sdt>
          </w:p>
        </w:tc>
      </w:tr>
      <w:tr w:rsidR="00651777" w:rsidRPr="00F92A57" w:rsidTr="00651777">
        <w:tc>
          <w:tcPr>
            <w:tcW w:w="5353" w:type="dxa"/>
            <w:gridSpan w:val="3"/>
            <w:shd w:val="clear" w:color="auto" w:fill="auto"/>
          </w:tcPr>
          <w:p w:rsidR="00651777" w:rsidRPr="00F92A57" w:rsidRDefault="00BE30D0" w:rsidP="00651777">
            <w:pPr>
              <w:jc w:val="left"/>
            </w:pPr>
            <w:r w:rsidRPr="00F92A57">
              <w:t>Réf.: Circulaire BDT/IP/CSTG/020</w:t>
            </w:r>
          </w:p>
        </w:tc>
        <w:tc>
          <w:tcPr>
            <w:tcW w:w="4536" w:type="dxa"/>
            <w:shd w:val="clear" w:color="auto" w:fill="auto"/>
          </w:tcPr>
          <w:p w:rsidR="00651777" w:rsidRPr="00F92A57" w:rsidRDefault="00651777" w:rsidP="00651777">
            <w:pPr>
              <w:jc w:val="left"/>
              <w:rPr>
                <w:rFonts w:cs="Arial"/>
              </w:rPr>
            </w:pPr>
          </w:p>
        </w:tc>
      </w:tr>
      <w:tr w:rsidR="00854131" w:rsidRPr="00F92A57" w:rsidTr="00651777">
        <w:tc>
          <w:tcPr>
            <w:tcW w:w="1276" w:type="dxa"/>
            <w:shd w:val="clear" w:color="auto" w:fill="auto"/>
          </w:tcPr>
          <w:p w:rsidR="00854131" w:rsidRPr="00F92A57" w:rsidRDefault="00854131" w:rsidP="00651777">
            <w:pPr>
              <w:spacing w:before="0"/>
              <w:jc w:val="left"/>
            </w:pPr>
          </w:p>
        </w:tc>
        <w:tc>
          <w:tcPr>
            <w:tcW w:w="3793" w:type="dxa"/>
            <w:shd w:val="clear" w:color="auto" w:fill="auto"/>
          </w:tcPr>
          <w:p w:rsidR="00854131" w:rsidRPr="00F92A57" w:rsidRDefault="00854131" w:rsidP="00651777">
            <w:pPr>
              <w:spacing w:before="0"/>
              <w:jc w:val="left"/>
            </w:pPr>
            <w:bookmarkStart w:id="2" w:name="Contact"/>
            <w:bookmarkEnd w:id="2"/>
          </w:p>
        </w:tc>
        <w:tc>
          <w:tcPr>
            <w:tcW w:w="284" w:type="dxa"/>
            <w:shd w:val="clear" w:color="auto" w:fill="auto"/>
          </w:tcPr>
          <w:p w:rsidR="00854131" w:rsidRPr="00F92A57" w:rsidRDefault="00854131" w:rsidP="00651777">
            <w:pPr>
              <w:spacing w:before="0"/>
            </w:pPr>
          </w:p>
        </w:tc>
        <w:tc>
          <w:tcPr>
            <w:tcW w:w="4536" w:type="dxa"/>
            <w:vMerge w:val="restart"/>
            <w:shd w:val="clear" w:color="auto" w:fill="auto"/>
          </w:tcPr>
          <w:p w:rsidR="00BE30D0" w:rsidRPr="00F92A57" w:rsidRDefault="00BE30D0" w:rsidP="00BE30D0">
            <w:pPr>
              <w:pStyle w:val="BDTContact"/>
              <w:tabs>
                <w:tab w:val="clear" w:pos="794"/>
                <w:tab w:val="clear" w:pos="1191"/>
                <w:tab w:val="left" w:pos="292"/>
                <w:tab w:val="left" w:pos="795"/>
              </w:tabs>
              <w:spacing w:before="120"/>
              <w:ind w:left="292" w:hanging="292"/>
              <w:rPr>
                <w:lang w:val="fr-FR"/>
              </w:rPr>
            </w:pPr>
            <w:r w:rsidRPr="00F92A57">
              <w:rPr>
                <w:lang w:val="fr-FR"/>
              </w:rPr>
              <w:t>–</w:t>
            </w:r>
            <w:r w:rsidRPr="00F92A57">
              <w:rPr>
                <w:lang w:val="fr-FR"/>
              </w:rPr>
              <w:tab/>
              <w:t xml:space="preserve">Aux Administrations des </w:t>
            </w:r>
            <w:proofErr w:type="spellStart"/>
            <w:r w:rsidRPr="00F92A57">
              <w:rPr>
                <w:lang w:val="fr-FR"/>
              </w:rPr>
              <w:t>Etats</w:t>
            </w:r>
            <w:proofErr w:type="spellEnd"/>
            <w:r w:rsidRPr="00F92A57">
              <w:rPr>
                <w:lang w:val="fr-FR"/>
              </w:rPr>
              <w:t xml:space="preserve"> Membres</w:t>
            </w:r>
            <w:r w:rsidR="00106ADA">
              <w:rPr>
                <w:lang w:val="fr-FR"/>
              </w:rPr>
              <w:t xml:space="preserve"> de l'UIT</w:t>
            </w:r>
          </w:p>
          <w:p w:rsidR="00BE30D0" w:rsidRPr="00F92A57" w:rsidRDefault="00BE30D0" w:rsidP="00BE30D0">
            <w:pPr>
              <w:pStyle w:val="BDTContact"/>
              <w:tabs>
                <w:tab w:val="clear" w:pos="794"/>
                <w:tab w:val="clear" w:pos="1191"/>
                <w:tab w:val="left" w:pos="292"/>
                <w:tab w:val="left" w:pos="795"/>
              </w:tabs>
              <w:ind w:left="289" w:hanging="289"/>
              <w:rPr>
                <w:lang w:val="fr-FR"/>
              </w:rPr>
            </w:pPr>
            <w:r w:rsidRPr="00F92A57">
              <w:rPr>
                <w:lang w:val="fr-FR"/>
              </w:rPr>
              <w:t>–</w:t>
            </w:r>
            <w:r w:rsidRPr="00F92A57">
              <w:rPr>
                <w:lang w:val="fr-FR"/>
              </w:rPr>
              <w:tab/>
              <w:t xml:space="preserve">Aux Membres </w:t>
            </w:r>
            <w:r w:rsidR="00B34D33">
              <w:rPr>
                <w:lang w:val="fr-FR"/>
              </w:rPr>
              <w:t>du Secteur UIT-D</w:t>
            </w:r>
          </w:p>
          <w:p w:rsidR="00BE30D0" w:rsidRPr="00F92A57" w:rsidRDefault="00BE30D0" w:rsidP="00BE30D0">
            <w:pPr>
              <w:pStyle w:val="BDTContact"/>
              <w:tabs>
                <w:tab w:val="clear" w:pos="794"/>
                <w:tab w:val="clear" w:pos="1191"/>
                <w:tab w:val="left" w:pos="292"/>
                <w:tab w:val="left" w:pos="795"/>
              </w:tabs>
              <w:ind w:left="289" w:hanging="289"/>
              <w:rPr>
                <w:lang w:val="fr-FR"/>
              </w:rPr>
            </w:pPr>
            <w:r w:rsidRPr="00F92A57">
              <w:rPr>
                <w:lang w:val="fr-FR"/>
              </w:rPr>
              <w:t>–</w:t>
            </w:r>
            <w:r w:rsidRPr="00F92A57">
              <w:rPr>
                <w:lang w:val="fr-FR"/>
              </w:rPr>
              <w:tab/>
              <w:t xml:space="preserve">Aux Associés participant aux travaux </w:t>
            </w:r>
            <w:r w:rsidR="00B34D33">
              <w:rPr>
                <w:lang w:val="fr-FR"/>
              </w:rPr>
              <w:t>des Commissions d'études de l'UIT-D</w:t>
            </w:r>
          </w:p>
          <w:p w:rsidR="00BE30D0" w:rsidRPr="00F92A57" w:rsidRDefault="00BE30D0" w:rsidP="00BE30D0">
            <w:pPr>
              <w:tabs>
                <w:tab w:val="left" w:pos="306"/>
              </w:tabs>
              <w:spacing w:before="40" w:line="240" w:lineRule="auto"/>
              <w:ind w:left="306" w:hanging="306"/>
              <w:jc w:val="left"/>
            </w:pPr>
            <w:r w:rsidRPr="00F92A57">
              <w:t>–</w:t>
            </w:r>
            <w:r w:rsidRPr="00F92A57">
              <w:tab/>
              <w:t>Aux établissements universitaires participant aux travaux de l</w:t>
            </w:r>
            <w:r w:rsidR="00EB2494" w:rsidRPr="00F92A57">
              <w:t>'</w:t>
            </w:r>
            <w:r w:rsidRPr="00F92A57">
              <w:t>UIT-D</w:t>
            </w:r>
          </w:p>
          <w:p w:rsidR="00854131" w:rsidRPr="00F92A57" w:rsidRDefault="00BE30D0" w:rsidP="00BE30D0">
            <w:pPr>
              <w:tabs>
                <w:tab w:val="left" w:pos="306"/>
              </w:tabs>
              <w:spacing w:before="40" w:line="240" w:lineRule="auto"/>
              <w:ind w:left="306" w:hanging="306"/>
              <w:jc w:val="left"/>
            </w:pPr>
            <w:r w:rsidRPr="00F92A57">
              <w:t>–</w:t>
            </w:r>
            <w:r w:rsidRPr="00F92A57">
              <w:tab/>
              <w:t>Aux Présidents et Vice</w:t>
            </w:r>
            <w:r w:rsidRPr="00F92A57">
              <w:noBreakHyphen/>
              <w:t>Présidents des Commissions d'études 1 et 2 de l'UIT-D ainsi qu'aux Rapporteurs et Vice-Rapporteurs pour ces Commissions</w:t>
            </w:r>
          </w:p>
        </w:tc>
      </w:tr>
      <w:tr w:rsidR="00854131" w:rsidRPr="00F92A57" w:rsidTr="00651777">
        <w:tc>
          <w:tcPr>
            <w:tcW w:w="1276" w:type="dxa"/>
            <w:shd w:val="clear" w:color="auto" w:fill="auto"/>
          </w:tcPr>
          <w:p w:rsidR="00854131" w:rsidRPr="00F92A57" w:rsidRDefault="00854131" w:rsidP="00276B8B">
            <w:pPr>
              <w:spacing w:before="0"/>
              <w:jc w:val="left"/>
            </w:pPr>
          </w:p>
        </w:tc>
        <w:tc>
          <w:tcPr>
            <w:tcW w:w="3793" w:type="dxa"/>
            <w:shd w:val="clear" w:color="auto" w:fill="auto"/>
          </w:tcPr>
          <w:p w:rsidR="00854131" w:rsidRPr="00F92A57" w:rsidRDefault="00854131" w:rsidP="00651777">
            <w:pPr>
              <w:spacing w:before="0"/>
              <w:jc w:val="left"/>
            </w:pPr>
          </w:p>
        </w:tc>
        <w:tc>
          <w:tcPr>
            <w:tcW w:w="284" w:type="dxa"/>
            <w:shd w:val="clear" w:color="auto" w:fill="auto"/>
          </w:tcPr>
          <w:p w:rsidR="00854131" w:rsidRPr="00F92A57" w:rsidRDefault="00854131" w:rsidP="00651777">
            <w:pPr>
              <w:spacing w:before="0"/>
            </w:pPr>
          </w:p>
        </w:tc>
        <w:tc>
          <w:tcPr>
            <w:tcW w:w="4536" w:type="dxa"/>
            <w:vMerge/>
            <w:shd w:val="clear" w:color="auto" w:fill="auto"/>
          </w:tcPr>
          <w:p w:rsidR="00854131" w:rsidRPr="00F92A57" w:rsidRDefault="00854131" w:rsidP="00651777">
            <w:pPr>
              <w:spacing w:before="0"/>
            </w:pPr>
          </w:p>
        </w:tc>
      </w:tr>
      <w:tr w:rsidR="00854131" w:rsidRPr="00F92A57" w:rsidTr="00197324">
        <w:tc>
          <w:tcPr>
            <w:tcW w:w="1276" w:type="dxa"/>
            <w:shd w:val="clear" w:color="auto" w:fill="auto"/>
          </w:tcPr>
          <w:p w:rsidR="00854131" w:rsidRPr="00F92A57" w:rsidRDefault="00854131" w:rsidP="00276B8B">
            <w:pPr>
              <w:spacing w:before="0"/>
              <w:jc w:val="left"/>
            </w:pPr>
          </w:p>
        </w:tc>
        <w:tc>
          <w:tcPr>
            <w:tcW w:w="3793" w:type="dxa"/>
            <w:shd w:val="clear" w:color="auto" w:fill="auto"/>
          </w:tcPr>
          <w:p w:rsidR="00854131" w:rsidRPr="00F92A57" w:rsidRDefault="00854131" w:rsidP="00651777">
            <w:pPr>
              <w:spacing w:before="0"/>
              <w:jc w:val="left"/>
            </w:pPr>
          </w:p>
        </w:tc>
        <w:tc>
          <w:tcPr>
            <w:tcW w:w="284" w:type="dxa"/>
            <w:shd w:val="clear" w:color="auto" w:fill="auto"/>
          </w:tcPr>
          <w:p w:rsidR="00854131" w:rsidRPr="00F92A57" w:rsidRDefault="00854131" w:rsidP="00651777">
            <w:pPr>
              <w:spacing w:before="0"/>
            </w:pPr>
          </w:p>
        </w:tc>
        <w:tc>
          <w:tcPr>
            <w:tcW w:w="4536" w:type="dxa"/>
            <w:vMerge/>
            <w:shd w:val="clear" w:color="auto" w:fill="auto"/>
          </w:tcPr>
          <w:p w:rsidR="00854131" w:rsidRPr="00F92A57" w:rsidRDefault="00854131" w:rsidP="00651777">
            <w:pPr>
              <w:spacing w:before="0"/>
            </w:pPr>
          </w:p>
        </w:tc>
      </w:tr>
      <w:tr w:rsidR="00854131" w:rsidRPr="00F92A57" w:rsidTr="00651777">
        <w:tc>
          <w:tcPr>
            <w:tcW w:w="1276" w:type="dxa"/>
            <w:shd w:val="clear" w:color="auto" w:fill="auto"/>
          </w:tcPr>
          <w:p w:rsidR="00854131" w:rsidRPr="00F92A57" w:rsidRDefault="00854131" w:rsidP="00276B8B">
            <w:pPr>
              <w:spacing w:before="0"/>
              <w:jc w:val="left"/>
            </w:pPr>
          </w:p>
        </w:tc>
        <w:tc>
          <w:tcPr>
            <w:tcW w:w="3793" w:type="dxa"/>
            <w:shd w:val="clear" w:color="auto" w:fill="auto"/>
          </w:tcPr>
          <w:p w:rsidR="00854131" w:rsidRPr="00F92A57" w:rsidRDefault="00854131" w:rsidP="00651777">
            <w:pPr>
              <w:spacing w:before="0"/>
              <w:jc w:val="left"/>
            </w:pPr>
          </w:p>
        </w:tc>
        <w:tc>
          <w:tcPr>
            <w:tcW w:w="284" w:type="dxa"/>
            <w:shd w:val="clear" w:color="auto" w:fill="auto"/>
          </w:tcPr>
          <w:p w:rsidR="00854131" w:rsidRPr="00F92A57" w:rsidRDefault="00854131" w:rsidP="00651777">
            <w:pPr>
              <w:spacing w:before="0"/>
            </w:pPr>
          </w:p>
        </w:tc>
        <w:tc>
          <w:tcPr>
            <w:tcW w:w="4536" w:type="dxa"/>
            <w:vMerge/>
            <w:shd w:val="clear" w:color="auto" w:fill="auto"/>
          </w:tcPr>
          <w:p w:rsidR="00854131" w:rsidRPr="00F92A57" w:rsidRDefault="00854131" w:rsidP="00651777">
            <w:pPr>
              <w:spacing w:before="0"/>
            </w:pPr>
          </w:p>
        </w:tc>
      </w:tr>
      <w:tr w:rsidR="00EA15B3" w:rsidRPr="00F92A57" w:rsidTr="00EA15B3">
        <w:tc>
          <w:tcPr>
            <w:tcW w:w="9889" w:type="dxa"/>
            <w:gridSpan w:val="4"/>
            <w:shd w:val="clear" w:color="auto" w:fill="auto"/>
          </w:tcPr>
          <w:p w:rsidR="00EA15B3" w:rsidRPr="00F92A57" w:rsidRDefault="00EA15B3" w:rsidP="00EA15B3"/>
        </w:tc>
      </w:tr>
      <w:tr w:rsidR="00EA15B3" w:rsidRPr="00F92A57" w:rsidTr="00651777">
        <w:tc>
          <w:tcPr>
            <w:tcW w:w="1276" w:type="dxa"/>
            <w:shd w:val="clear" w:color="auto" w:fill="auto"/>
          </w:tcPr>
          <w:p w:rsidR="00EA15B3" w:rsidRPr="00F92A57" w:rsidRDefault="00276B8B" w:rsidP="00AF79FC">
            <w:pPr>
              <w:spacing w:after="160"/>
              <w:jc w:val="left"/>
            </w:pPr>
            <w:r w:rsidRPr="00F92A57">
              <w:t>Sujet</w:t>
            </w:r>
            <w:r w:rsidR="00EA15B3" w:rsidRPr="00F92A57">
              <w:t>:</w:t>
            </w:r>
          </w:p>
        </w:tc>
        <w:tc>
          <w:tcPr>
            <w:tcW w:w="8613" w:type="dxa"/>
            <w:gridSpan w:val="3"/>
            <w:shd w:val="clear" w:color="auto" w:fill="auto"/>
          </w:tcPr>
          <w:p w:rsidR="00EA15B3" w:rsidRPr="00F92A57" w:rsidRDefault="00BE30D0" w:rsidP="00AF79FC">
            <w:pPr>
              <w:spacing w:after="160"/>
            </w:pPr>
            <w:bookmarkStart w:id="3" w:name="Subject"/>
            <w:bookmarkEnd w:id="3"/>
            <w:r w:rsidRPr="00F92A57">
              <w:rPr>
                <w:b/>
                <w:bCs/>
              </w:rPr>
              <w:t>Nouvelle bibliothèque d</w:t>
            </w:r>
            <w:r w:rsidR="00EB2494" w:rsidRPr="00F92A57">
              <w:rPr>
                <w:b/>
                <w:bCs/>
              </w:rPr>
              <w:t>'</w:t>
            </w:r>
            <w:r w:rsidRPr="00F92A57">
              <w:rPr>
                <w:b/>
                <w:bCs/>
              </w:rPr>
              <w:t>études de cas des Commissions d</w:t>
            </w:r>
            <w:r w:rsidR="00EB2494" w:rsidRPr="00F92A57">
              <w:rPr>
                <w:b/>
                <w:bCs/>
              </w:rPr>
              <w:t>'</w:t>
            </w:r>
            <w:r w:rsidRPr="00F92A57">
              <w:rPr>
                <w:b/>
                <w:bCs/>
              </w:rPr>
              <w:t>études de l</w:t>
            </w:r>
            <w:r w:rsidR="00EB2494" w:rsidRPr="00F92A57">
              <w:rPr>
                <w:b/>
                <w:bCs/>
              </w:rPr>
              <w:t>'</w:t>
            </w:r>
            <w:r w:rsidRPr="00F92A57">
              <w:rPr>
                <w:b/>
                <w:bCs/>
              </w:rPr>
              <w:t>UIT-D</w:t>
            </w:r>
          </w:p>
        </w:tc>
      </w:tr>
      <w:tr w:rsidR="00064C5B" w:rsidRPr="00F92A57" w:rsidTr="00914B5A">
        <w:tc>
          <w:tcPr>
            <w:tcW w:w="9889" w:type="dxa"/>
            <w:gridSpan w:val="4"/>
            <w:shd w:val="clear" w:color="auto" w:fill="auto"/>
          </w:tcPr>
          <w:p w:rsidR="00F86BDE" w:rsidRPr="00F92A57" w:rsidRDefault="00F86BDE" w:rsidP="00F86BDE">
            <w:pPr>
              <w:pStyle w:val="c"/>
              <w:spacing w:before="240" w:after="0"/>
              <w:rPr>
                <w:lang w:val="fr-FR"/>
              </w:rPr>
            </w:pPr>
            <w:r w:rsidRPr="00F92A57">
              <w:rPr>
                <w:lang w:val="fr-FR"/>
              </w:rPr>
              <w:t>Madame, Monsieur,</w:t>
            </w:r>
          </w:p>
          <w:p w:rsidR="00F86BDE" w:rsidRPr="00F92A57" w:rsidRDefault="00F86BDE" w:rsidP="00F86BDE">
            <w:pPr>
              <w:pStyle w:val="c"/>
              <w:spacing w:after="0"/>
              <w:rPr>
                <w:lang w:val="fr-FR"/>
              </w:rPr>
            </w:pPr>
            <w:r w:rsidRPr="00F92A57">
              <w:rPr>
                <w:lang w:val="fr-FR"/>
              </w:rPr>
              <w:t>Depuis que les Commissions d'études ont été créées, leurs membres soumettent des études de cas pour réunir des connaissances et des données d'expérience afin de les échanger avec d'autres membres. Ces études de cas étaient au départ publiées sous forme de contributions aux réunions. Par la suite, on s'est efforcé de mettre en place des bibliothèques rassemblant des études de cas, par exemple celle qui a été établie pendant la période d'études 2006-2010 pour rassembler les études de cas portant exclusivement sur les communications rurales.</w:t>
            </w:r>
          </w:p>
          <w:p w:rsidR="00F86BDE" w:rsidRPr="00F92A57" w:rsidRDefault="00F86BDE" w:rsidP="00F86BDE">
            <w:pPr>
              <w:pStyle w:val="c"/>
              <w:spacing w:after="0"/>
              <w:rPr>
                <w:lang w:val="fr-FR"/>
              </w:rPr>
            </w:pPr>
            <w:r w:rsidRPr="00F92A57">
              <w:rPr>
                <w:lang w:val="fr-FR"/>
              </w:rPr>
              <w:t xml:space="preserve">J'ai le plaisir aujourd'hui d'annoncer la création d'une </w:t>
            </w:r>
            <w:r w:rsidRPr="00F92A57">
              <w:rPr>
                <w:b/>
                <w:bCs/>
                <w:lang w:val="fr-FR"/>
              </w:rPr>
              <w:t>nouvelle bibliothèque d'études de cas des Commissions d'études de l'UIT-D</w:t>
            </w:r>
            <w:r w:rsidRPr="00F92A57">
              <w:rPr>
                <w:bCs/>
                <w:lang w:val="fr-FR"/>
              </w:rPr>
              <w:t xml:space="preserve">, </w:t>
            </w:r>
            <w:r w:rsidRPr="00F92A57">
              <w:rPr>
                <w:lang w:val="fr-FR"/>
              </w:rPr>
              <w:t>qui permettra aux membres de soumettre, de stocker et de consulter des études de cas sur des thèmes étudiés dans le cadre des Questions confiées aux Commissions d'études de l'UIT-D. La mission essentielle des Commissions d'études de l'UIT-D reposant avant tout sur les échanges mutuels de données d'expérience</w:t>
            </w:r>
            <w:r>
              <w:rPr>
                <w:lang w:val="fr-FR"/>
              </w:rPr>
              <w:t>,</w:t>
            </w:r>
            <w:r w:rsidRPr="00F92A57">
              <w:rPr>
                <w:lang w:val="fr-FR"/>
              </w:rPr>
              <w:t xml:space="preserve"> ce nouvel outil permettra à tous les membres d'accéder aux très nombreuses informations que donnent les études de cas. Des fonctions améliorées de recherche et de filtrage ont été mises en place afin de rendre ces études de cas plus facilement accessibles.</w:t>
            </w:r>
          </w:p>
          <w:p w:rsidR="00F86BDE" w:rsidRPr="00F92A57" w:rsidRDefault="00F86BDE" w:rsidP="00F86BDE">
            <w:pPr>
              <w:pStyle w:val="c"/>
              <w:spacing w:after="0"/>
              <w:rPr>
                <w:rFonts w:asciiTheme="minorHAnsi" w:hAnsiTheme="minorHAnsi"/>
                <w:lang w:val="fr-FR"/>
              </w:rPr>
            </w:pPr>
            <w:r w:rsidRPr="00F92A57">
              <w:rPr>
                <w:lang w:val="fr-FR"/>
              </w:rPr>
              <w:t xml:space="preserve">La </w:t>
            </w:r>
            <w:r w:rsidRPr="00B34D33">
              <w:rPr>
                <w:b/>
                <w:bCs/>
                <w:lang w:val="fr-FR"/>
              </w:rPr>
              <w:t>bibliothèque des études de cas des Commissions d'études de l'UIT-D</w:t>
            </w:r>
            <w:r w:rsidRPr="00F92A57">
              <w:rPr>
                <w:lang w:val="fr-FR"/>
              </w:rPr>
              <w:t xml:space="preserve"> est disponible à l'adresse suivante:</w:t>
            </w:r>
            <w:r w:rsidRPr="00F92A57">
              <w:rPr>
                <w:lang w:val="fr-FR"/>
              </w:rPr>
              <w:br/>
            </w:r>
            <w:hyperlink r:id="rId8" w:history="1">
              <w:r w:rsidRPr="00F92A57">
                <w:rPr>
                  <w:rStyle w:val="Hyperlink"/>
                  <w:rFonts w:asciiTheme="minorHAnsi" w:hAnsiTheme="minorHAnsi" w:cs="Simplified Arabic"/>
                  <w:lang w:val="fr-FR"/>
                </w:rPr>
                <w:t>http://www.itu.int/en/ITU-D/Study-Groups/2010-2014/pages/case-study-library.aspx</w:t>
              </w:r>
            </w:hyperlink>
            <w:r w:rsidRPr="00F92A57">
              <w:rPr>
                <w:rFonts w:asciiTheme="minorHAnsi" w:hAnsiTheme="minorHAnsi"/>
                <w:lang w:val="fr-FR"/>
              </w:rPr>
              <w:t xml:space="preserve"> (vous devez posséder un compte TIES pour pouvoir soumettre ou consulter une étude de cas).</w:t>
            </w:r>
          </w:p>
          <w:p w:rsidR="00F86BDE" w:rsidRPr="00F92A57" w:rsidRDefault="00F86BDE" w:rsidP="00F86BDE">
            <w:pPr>
              <w:pStyle w:val="c"/>
              <w:spacing w:after="0"/>
              <w:rPr>
                <w:lang w:val="fr-FR"/>
              </w:rPr>
            </w:pPr>
            <w:r w:rsidRPr="00F92A57">
              <w:rPr>
                <w:lang w:val="fr-FR"/>
              </w:rPr>
              <w:t>Le format approuvé pour les études de cas par la Commission d'études 2 à sa réunion de septembre 2012 a été utilisé pour mettre en place la bibliothèque.</w:t>
            </w:r>
          </w:p>
          <w:p w:rsidR="00F86BDE" w:rsidRPr="00F92A57" w:rsidRDefault="00F86BDE" w:rsidP="00F86BDE">
            <w:pPr>
              <w:pStyle w:val="c"/>
              <w:keepNext/>
              <w:keepLines/>
              <w:spacing w:after="0"/>
              <w:rPr>
                <w:lang w:val="fr-FR"/>
              </w:rPr>
            </w:pPr>
            <w:r>
              <w:rPr>
                <w:lang w:val="fr-FR"/>
              </w:rPr>
              <w:t>À</w:t>
            </w:r>
            <w:r w:rsidRPr="00F92A57">
              <w:rPr>
                <w:lang w:val="fr-FR"/>
              </w:rPr>
              <w:t xml:space="preserve"> terme, j'espère intégrer dans la nouvelle bibliothèque les études de cas stockées dans l'ancienne bibliothèque afin que les données fournies par nos membres ne soient pas laissées de côté. En outre, il est prévu d'apporter des aménagements à la bibliothèque, afin de l'adapter à toute Question nouvelle que la Conférence mondiale de développement des télécommunications de 2014 pourrait décider de mettre à l'étude.</w:t>
            </w:r>
          </w:p>
          <w:p w:rsidR="00F86BDE" w:rsidRPr="00F92A57" w:rsidRDefault="00F86BDE" w:rsidP="00F86BDE">
            <w:pPr>
              <w:pStyle w:val="c"/>
              <w:spacing w:after="0"/>
              <w:rPr>
                <w:lang w:val="fr-FR"/>
              </w:rPr>
            </w:pPr>
            <w:r w:rsidRPr="00F92A57">
              <w:rPr>
                <w:lang w:val="fr-FR"/>
              </w:rPr>
              <w:lastRenderedPageBreak/>
              <w:t>Au cas où vous auriez besoin d'informations supplémentaires sur ce nouvel outil d'une grande utilité ou sur la procédure à suivre pour soumettre vos études de cas, n'hésitez pas à prendre contact avec le personnel du Secrétariat des Commissions d'études à l'adresse</w:t>
            </w:r>
            <w:r>
              <w:rPr>
                <w:lang w:val="fr-FR"/>
              </w:rPr>
              <w:t>:</w:t>
            </w:r>
            <w:r w:rsidRPr="00F92A57">
              <w:rPr>
                <w:lang w:val="fr-FR"/>
              </w:rPr>
              <w:t xml:space="preserve"> </w:t>
            </w:r>
            <w:hyperlink r:id="rId9" w:history="1">
              <w:r w:rsidRPr="00F92A57">
                <w:rPr>
                  <w:rStyle w:val="Hyperlink"/>
                  <w:rFonts w:asciiTheme="minorHAnsi" w:hAnsiTheme="minorHAnsi" w:cs="Simplified Arabic"/>
                  <w:lang w:val="fr-FR"/>
                </w:rPr>
                <w:t>devsg@itu.int</w:t>
              </w:r>
            </w:hyperlink>
            <w:r w:rsidRPr="00F92A57">
              <w:rPr>
                <w:rFonts w:asciiTheme="minorHAnsi" w:hAnsiTheme="minorHAnsi"/>
                <w:lang w:val="fr-FR"/>
              </w:rPr>
              <w:t>.</w:t>
            </w:r>
            <w:r w:rsidRPr="00F92A57">
              <w:rPr>
                <w:lang w:val="fr-FR"/>
              </w:rPr>
              <w:t xml:space="preserve"> </w:t>
            </w:r>
          </w:p>
          <w:p w:rsidR="00F86BDE" w:rsidRDefault="00F86BDE" w:rsidP="00F86BDE">
            <w:pPr>
              <w:pStyle w:val="c"/>
              <w:spacing w:after="0"/>
              <w:rPr>
                <w:lang w:val="fr-FR"/>
              </w:rPr>
            </w:pPr>
            <w:r w:rsidRPr="00F92A57">
              <w:rPr>
                <w:lang w:val="fr-FR"/>
              </w:rPr>
              <w:t>Veuillez agréer, Madame, Monsieur, l'assurance de ma considération distinguée.</w:t>
            </w:r>
          </w:p>
          <w:p w:rsidR="00F86BDE" w:rsidRPr="00F92A57" w:rsidRDefault="00F86BDE" w:rsidP="00F86BDE">
            <w:pPr>
              <w:pStyle w:val="c"/>
              <w:spacing w:before="240"/>
              <w:rPr>
                <w:lang w:val="fr-FR"/>
              </w:rPr>
            </w:pPr>
            <w:r w:rsidRPr="00F92A57">
              <w:rPr>
                <w:lang w:val="fr-FR"/>
              </w:rPr>
              <w:t>[Original signé]</w:t>
            </w:r>
          </w:p>
          <w:p w:rsidR="00064C5B" w:rsidRDefault="00F86BDE" w:rsidP="00F86BDE">
            <w:pPr>
              <w:spacing w:before="120" w:after="120"/>
              <w:jc w:val="left"/>
            </w:pPr>
            <w:r w:rsidRPr="00F92A57">
              <w:t>Brahima Sanou</w:t>
            </w:r>
            <w:r w:rsidRPr="00F92A57">
              <w:br/>
              <w:t>Directeur</w:t>
            </w:r>
          </w:p>
          <w:p w:rsidR="00F86BDE" w:rsidRPr="00900863" w:rsidRDefault="00F86BDE" w:rsidP="00900863">
            <w:pPr>
              <w:tabs>
                <w:tab w:val="clear" w:pos="794"/>
                <w:tab w:val="clear" w:pos="1191"/>
                <w:tab w:val="clear" w:pos="1588"/>
                <w:tab w:val="clear" w:pos="1985"/>
                <w:tab w:val="left" w:pos="567"/>
              </w:tabs>
              <w:spacing w:before="0" w:after="120" w:line="240" w:lineRule="auto"/>
              <w:ind w:left="567" w:hanging="567"/>
              <w:jc w:val="left"/>
              <w:rPr>
                <w:sz w:val="18"/>
                <w:szCs w:val="18"/>
              </w:rPr>
            </w:pPr>
            <w:bookmarkStart w:id="4" w:name="_GoBack"/>
            <w:bookmarkEnd w:id="4"/>
          </w:p>
        </w:tc>
      </w:tr>
    </w:tbl>
    <w:p w:rsidR="00D9482E" w:rsidRPr="00B34D33" w:rsidRDefault="00D9482E" w:rsidP="001242C1">
      <w:pPr>
        <w:tabs>
          <w:tab w:val="clear" w:pos="794"/>
          <w:tab w:val="left" w:pos="567"/>
        </w:tabs>
        <w:spacing w:before="120" w:after="120" w:line="240" w:lineRule="auto"/>
        <w:jc w:val="left"/>
        <w:rPr>
          <w:sz w:val="18"/>
          <w:szCs w:val="18"/>
        </w:rPr>
      </w:pPr>
    </w:p>
    <w:sectPr w:rsidR="00D9482E" w:rsidRPr="00B34D33" w:rsidSect="00235A29">
      <w:headerReference w:type="even" r:id="rId10"/>
      <w:headerReference w:type="default" r:id="rId11"/>
      <w:headerReference w:type="first" r:id="rId12"/>
      <w:footerReference w:type="first" r:id="rId1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D0" w:rsidRDefault="00BE30D0">
      <w:r>
        <w:separator/>
      </w:r>
    </w:p>
  </w:endnote>
  <w:endnote w:type="continuationSeparator" w:id="0">
    <w:p w:rsidR="00BE30D0" w:rsidRDefault="00BE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9E2358" w:rsidRDefault="008D08FF" w:rsidP="00F914DD">
    <w:pPr>
      <w:pStyle w:val="FirstFooter"/>
      <w:spacing w:line="240" w:lineRule="auto"/>
      <w:ind w:left="-397" w:right="-397"/>
      <w:jc w:val="center"/>
      <w:rPr>
        <w:sz w:val="18"/>
        <w:szCs w:val="18"/>
        <w:lang w:val="fr-CH"/>
      </w:rPr>
    </w:pPr>
    <w:r w:rsidRPr="009E2358">
      <w:rPr>
        <w:sz w:val="18"/>
        <w:szCs w:val="18"/>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E2358">
      <w:rPr>
        <w:sz w:val="18"/>
        <w:szCs w:val="18"/>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9E2358">
      <w:rPr>
        <w:sz w:val="18"/>
        <w:szCs w:val="18"/>
      </w:rPr>
      <w:t xml:space="preserve">• Courriel: </w:t>
    </w:r>
    <w:hyperlink r:id="rId1" w:history="1">
      <w:r w:rsidRPr="009E2358">
        <w:rPr>
          <w:rStyle w:val="Hyperlink"/>
          <w:sz w:val="18"/>
          <w:szCs w:val="18"/>
        </w:rPr>
        <w:t>itumail@itu.int</w:t>
      </w:r>
    </w:hyperlink>
    <w:r w:rsidRPr="009E2358">
      <w:rPr>
        <w:sz w:val="18"/>
        <w:szCs w:val="18"/>
      </w:rPr>
      <w:t xml:space="preserve"> • </w:t>
    </w:r>
    <w:hyperlink r:id="rId2" w:history="1">
      <w:r w:rsidRPr="009E2358">
        <w:rPr>
          <w:rStyle w:val="Hyperlink"/>
          <w:sz w:val="18"/>
          <w:szCs w:val="18"/>
        </w:rPr>
        <w:t>www.itu.int</w:t>
      </w:r>
    </w:hyperlink>
    <w:r w:rsidRPr="009E2358">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D0" w:rsidRDefault="00BE30D0">
      <w:r>
        <w:t>____________________</w:t>
      </w:r>
    </w:p>
  </w:footnote>
  <w:footnote w:type="continuationSeparator" w:id="0">
    <w:p w:rsidR="00BE30D0" w:rsidRDefault="00BE3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235A29" w:rsidRDefault="008D08F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BA27CB">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AF3325" w:rsidRDefault="008D08F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1</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EA15B3" w:rsidRDefault="008D08FF" w:rsidP="00EA15B3">
    <w:pPr>
      <w:pStyle w:val="Header"/>
      <w:spacing w:line="360" w:lineRule="auto"/>
    </w:pPr>
    <w:r>
      <w:tab/>
    </w:r>
    <w:r>
      <w:tab/>
    </w:r>
    <w:r>
      <w:rPr>
        <w:b/>
        <w:bCs/>
        <w:noProof/>
        <w:lang w:val="en-US" w:eastAsia="zh-CN"/>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E30D0"/>
    <w:rsid w:val="00010E30"/>
    <w:rsid w:val="00026CF8"/>
    <w:rsid w:val="000479AD"/>
    <w:rsid w:val="00064C5B"/>
    <w:rsid w:val="00070258"/>
    <w:rsid w:val="0007323C"/>
    <w:rsid w:val="0008311E"/>
    <w:rsid w:val="00086D03"/>
    <w:rsid w:val="000A7051"/>
    <w:rsid w:val="000B7CE2"/>
    <w:rsid w:val="000C03C7"/>
    <w:rsid w:val="000E3DEE"/>
    <w:rsid w:val="000E4B79"/>
    <w:rsid w:val="0010107B"/>
    <w:rsid w:val="00103C76"/>
    <w:rsid w:val="00106ADA"/>
    <w:rsid w:val="0011265F"/>
    <w:rsid w:val="001242C1"/>
    <w:rsid w:val="00196710"/>
    <w:rsid w:val="00197324"/>
    <w:rsid w:val="00197DCF"/>
    <w:rsid w:val="001A37CA"/>
    <w:rsid w:val="001B5841"/>
    <w:rsid w:val="001D7070"/>
    <w:rsid w:val="001F5A49"/>
    <w:rsid w:val="00201097"/>
    <w:rsid w:val="00201B6E"/>
    <w:rsid w:val="00235A29"/>
    <w:rsid w:val="0026128B"/>
    <w:rsid w:val="002651AD"/>
    <w:rsid w:val="00276B8B"/>
    <w:rsid w:val="002861E6"/>
    <w:rsid w:val="002F0890"/>
    <w:rsid w:val="003169E3"/>
    <w:rsid w:val="003370B8"/>
    <w:rsid w:val="003666FF"/>
    <w:rsid w:val="003B2BDA"/>
    <w:rsid w:val="003B55EC"/>
    <w:rsid w:val="003C4471"/>
    <w:rsid w:val="003E504F"/>
    <w:rsid w:val="00400F78"/>
    <w:rsid w:val="00403AEA"/>
    <w:rsid w:val="004326DB"/>
    <w:rsid w:val="0043682E"/>
    <w:rsid w:val="00467A97"/>
    <w:rsid w:val="004815EB"/>
    <w:rsid w:val="00496920"/>
    <w:rsid w:val="004B7001"/>
    <w:rsid w:val="004B7C9A"/>
    <w:rsid w:val="004D1579"/>
    <w:rsid w:val="004E0DC4"/>
    <w:rsid w:val="004E0FB5"/>
    <w:rsid w:val="004E43BB"/>
    <w:rsid w:val="004F178E"/>
    <w:rsid w:val="00505309"/>
    <w:rsid w:val="0050789B"/>
    <w:rsid w:val="00543DF8"/>
    <w:rsid w:val="00546101"/>
    <w:rsid w:val="00553DD7"/>
    <w:rsid w:val="0057469A"/>
    <w:rsid w:val="00580814"/>
    <w:rsid w:val="005A03A3"/>
    <w:rsid w:val="005B214C"/>
    <w:rsid w:val="00602D53"/>
    <w:rsid w:val="00651777"/>
    <w:rsid w:val="00691AA6"/>
    <w:rsid w:val="006B0590"/>
    <w:rsid w:val="006B49DA"/>
    <w:rsid w:val="007234B1"/>
    <w:rsid w:val="00730B9A"/>
    <w:rsid w:val="00757EEE"/>
    <w:rsid w:val="007921A7"/>
    <w:rsid w:val="007B3DB1"/>
    <w:rsid w:val="007D183E"/>
    <w:rsid w:val="007E3F13"/>
    <w:rsid w:val="007E6AB2"/>
    <w:rsid w:val="00800012"/>
    <w:rsid w:val="0081513E"/>
    <w:rsid w:val="0083382E"/>
    <w:rsid w:val="00854131"/>
    <w:rsid w:val="0085652D"/>
    <w:rsid w:val="00860788"/>
    <w:rsid w:val="0087694B"/>
    <w:rsid w:val="0088293A"/>
    <w:rsid w:val="008D08FF"/>
    <w:rsid w:val="008F4F21"/>
    <w:rsid w:val="00900863"/>
    <w:rsid w:val="00904D4A"/>
    <w:rsid w:val="009151BA"/>
    <w:rsid w:val="009277BC"/>
    <w:rsid w:val="00927D57"/>
    <w:rsid w:val="00963D9D"/>
    <w:rsid w:val="00981B54"/>
    <w:rsid w:val="009842C3"/>
    <w:rsid w:val="009A6BB6"/>
    <w:rsid w:val="009C161F"/>
    <w:rsid w:val="009E2358"/>
    <w:rsid w:val="009E4AEC"/>
    <w:rsid w:val="009E5BD8"/>
    <w:rsid w:val="009E5F24"/>
    <w:rsid w:val="009E681E"/>
    <w:rsid w:val="00A34D6F"/>
    <w:rsid w:val="00A41F91"/>
    <w:rsid w:val="00A7494A"/>
    <w:rsid w:val="00A963DF"/>
    <w:rsid w:val="00AC3896"/>
    <w:rsid w:val="00AC3F9B"/>
    <w:rsid w:val="00AF06E1"/>
    <w:rsid w:val="00AF3325"/>
    <w:rsid w:val="00AF79FC"/>
    <w:rsid w:val="00B34CF9"/>
    <w:rsid w:val="00B34D33"/>
    <w:rsid w:val="00B83793"/>
    <w:rsid w:val="00B85FB1"/>
    <w:rsid w:val="00B90C45"/>
    <w:rsid w:val="00B933BE"/>
    <w:rsid w:val="00BA03DB"/>
    <w:rsid w:val="00BA27CB"/>
    <w:rsid w:val="00BA6C35"/>
    <w:rsid w:val="00BD7E5E"/>
    <w:rsid w:val="00BE055F"/>
    <w:rsid w:val="00BE30D0"/>
    <w:rsid w:val="00BE6574"/>
    <w:rsid w:val="00C43807"/>
    <w:rsid w:val="00C57E2C"/>
    <w:rsid w:val="00C608B7"/>
    <w:rsid w:val="00C66F24"/>
    <w:rsid w:val="00C9291E"/>
    <w:rsid w:val="00CA3F44"/>
    <w:rsid w:val="00CA4E58"/>
    <w:rsid w:val="00CB3771"/>
    <w:rsid w:val="00CB5153"/>
    <w:rsid w:val="00CE2753"/>
    <w:rsid w:val="00CE685A"/>
    <w:rsid w:val="00D10BA0"/>
    <w:rsid w:val="00D20741"/>
    <w:rsid w:val="00D24EB5"/>
    <w:rsid w:val="00D41571"/>
    <w:rsid w:val="00D416A0"/>
    <w:rsid w:val="00D47672"/>
    <w:rsid w:val="00D5123C"/>
    <w:rsid w:val="00D55560"/>
    <w:rsid w:val="00D61C5A"/>
    <w:rsid w:val="00D9482E"/>
    <w:rsid w:val="00DE66A5"/>
    <w:rsid w:val="00DF2B50"/>
    <w:rsid w:val="00E04C86"/>
    <w:rsid w:val="00E14BA3"/>
    <w:rsid w:val="00E20F30"/>
    <w:rsid w:val="00E27BBA"/>
    <w:rsid w:val="00E35E8F"/>
    <w:rsid w:val="00E438E8"/>
    <w:rsid w:val="00E520E2"/>
    <w:rsid w:val="00E64254"/>
    <w:rsid w:val="00E853D8"/>
    <w:rsid w:val="00EA15B3"/>
    <w:rsid w:val="00EB2358"/>
    <w:rsid w:val="00EB2494"/>
    <w:rsid w:val="00EB3EB8"/>
    <w:rsid w:val="00EC69FC"/>
    <w:rsid w:val="00ED73BA"/>
    <w:rsid w:val="00F468C5"/>
    <w:rsid w:val="00F52F39"/>
    <w:rsid w:val="00F55EF6"/>
    <w:rsid w:val="00F86BDE"/>
    <w:rsid w:val="00F914DD"/>
    <w:rsid w:val="00F92A57"/>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
    <w:name w:val="BDT_Contact"/>
    <w:link w:val="BDTContactCharChar"/>
    <w:uiPriority w:val="99"/>
    <w:rsid w:val="00BE30D0"/>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 w:val="22"/>
      <w:szCs w:val="30"/>
      <w:lang w:val="en-GB" w:eastAsia="en-US"/>
    </w:rPr>
  </w:style>
  <w:style w:type="character" w:customStyle="1" w:styleId="BDTContactCharChar">
    <w:name w:val="BDT_Contact Char Char"/>
    <w:basedOn w:val="DefaultParagraphFont"/>
    <w:link w:val="BDTContact"/>
    <w:uiPriority w:val="99"/>
    <w:locked/>
    <w:rsid w:val="00BE30D0"/>
    <w:rPr>
      <w:rFonts w:eastAsia="SimSun" w:cs="Traditional Arabic"/>
      <w:sz w:val="22"/>
      <w:szCs w:val="30"/>
      <w:lang w:val="en-GB" w:eastAsia="en-US"/>
    </w:rPr>
  </w:style>
  <w:style w:type="paragraph" w:customStyle="1" w:styleId="BDTSubjectdetails">
    <w:name w:val="BDT_Subject_details"/>
    <w:uiPriority w:val="99"/>
    <w:rsid w:val="00BE30D0"/>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 w:val="22"/>
      <w:szCs w:val="30"/>
      <w:lang w:val="en-GB" w:eastAsia="en-US"/>
    </w:rPr>
  </w:style>
  <w:style w:type="paragraph" w:customStyle="1" w:styleId="c">
    <w:name w:val="c"/>
    <w:basedOn w:val="Normal"/>
    <w:rsid w:val="00BE30D0"/>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
    <w:name w:val="BDT_Contact"/>
    <w:link w:val="BDTContactCharChar"/>
    <w:uiPriority w:val="99"/>
    <w:rsid w:val="00BE30D0"/>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 w:val="22"/>
      <w:szCs w:val="30"/>
      <w:lang w:val="en-GB" w:eastAsia="en-US"/>
    </w:rPr>
  </w:style>
  <w:style w:type="character" w:customStyle="1" w:styleId="BDTContactCharChar">
    <w:name w:val="BDT_Contact Char Char"/>
    <w:basedOn w:val="DefaultParagraphFont"/>
    <w:link w:val="BDTContact"/>
    <w:uiPriority w:val="99"/>
    <w:locked/>
    <w:rsid w:val="00BE30D0"/>
    <w:rPr>
      <w:rFonts w:eastAsia="SimSun" w:cs="Traditional Arabic"/>
      <w:sz w:val="22"/>
      <w:szCs w:val="30"/>
      <w:lang w:val="en-GB" w:eastAsia="en-US"/>
    </w:rPr>
  </w:style>
  <w:style w:type="paragraph" w:customStyle="1" w:styleId="BDTSubjectdetails">
    <w:name w:val="BDT_Subject_details"/>
    <w:uiPriority w:val="99"/>
    <w:rsid w:val="00BE30D0"/>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 w:val="22"/>
      <w:szCs w:val="30"/>
      <w:lang w:val="en-GB" w:eastAsia="en-US"/>
    </w:rPr>
  </w:style>
  <w:style w:type="paragraph" w:customStyle="1" w:styleId="c">
    <w:name w:val="c"/>
    <w:basedOn w:val="Normal"/>
    <w:rsid w:val="00BE30D0"/>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D/Study-Groups/2010-2014/pages/case-study-library.asp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vsg@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ITU\Letter-Fax-F.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75B7AF50A548C4B1010F240D6C82D0"/>
        <w:category>
          <w:name w:val="General"/>
          <w:gallery w:val="placeholder"/>
        </w:category>
        <w:types>
          <w:type w:val="bbPlcHdr"/>
        </w:types>
        <w:behaviors>
          <w:behavior w:val="content"/>
        </w:behaviors>
        <w:guid w:val="{EFC9BCD6-C31E-4574-AF0A-12C1D6736D87}"/>
      </w:docPartPr>
      <w:docPartBody>
        <w:p w:rsidR="00C85AA7" w:rsidRDefault="00C85AA7">
          <w:pPr>
            <w:pStyle w:val="DE75B7AF50A548C4B1010F240D6C82D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A7"/>
    <w:rsid w:val="00C85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75B7AF50A548C4B1010F240D6C82D0">
    <w:name w:val="DE75B7AF50A548C4B1010F240D6C82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E75B7AF50A548C4B1010F240D6C82D0">
    <w:name w:val="DE75B7AF50A548C4B1010F240D6C8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Letter-Fax-F.dotm</Template>
  <TotalTime>32</TotalTime>
  <Pages>2</Pages>
  <Words>451</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International Telecommunication Union (ITU)</Company>
  <LinksUpToDate>false</LinksUpToDate>
  <CharactersWithSpaces>3241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Alidra, Patricia</dc:creator>
  <cp:lastModifiedBy>Stoudmann C.</cp:lastModifiedBy>
  <cp:revision>17</cp:revision>
  <cp:lastPrinted>2013-05-24T09:18:00Z</cp:lastPrinted>
  <dcterms:created xsi:type="dcterms:W3CDTF">2013-05-24T08:33:00Z</dcterms:created>
  <dcterms:modified xsi:type="dcterms:W3CDTF">2013-05-24T12:13:00Z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