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803ACB" w:rsidTr="00C27BDB">
        <w:trPr>
          <w:cantSplit/>
          <w:trHeight w:val="15"/>
        </w:trPr>
        <w:tc>
          <w:tcPr>
            <w:tcW w:w="1418" w:type="dxa"/>
            <w:gridSpan w:val="2"/>
            <w:vAlign w:val="center"/>
          </w:tcPr>
          <w:p w:rsidR="00803ACB" w:rsidRPr="009A54D9" w:rsidRDefault="00803ACB" w:rsidP="00803ACB">
            <w:pPr>
              <w:pStyle w:val="Tabletext"/>
              <w:jc w:val="center"/>
            </w:pPr>
            <w:bookmarkStart w:id="0" w:name="ditulogo"/>
            <w:bookmarkEnd w:id="0"/>
            <w:r>
              <w:rPr>
                <w:noProof/>
                <w:lang w:val="en-US" w:eastAsia="zh-CN"/>
              </w:rPr>
              <w:drawing>
                <wp:inline distT="0" distB="0" distL="0" distR="0" wp14:anchorId="42F3CA42" wp14:editId="1DA314CE">
                  <wp:extent cx="735373" cy="819150"/>
                  <wp:effectExtent l="0" t="0" r="0" b="0"/>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C27BDB" w:rsidRDefault="00C27BDB" w:rsidP="00C27BDB">
            <w:pPr>
              <w:spacing w:before="0"/>
              <w:rPr>
                <w:rFonts w:cs="Times New Roman Bold"/>
                <w:b/>
                <w:bCs/>
                <w:smallCaps/>
                <w:sz w:val="26"/>
                <w:szCs w:val="26"/>
              </w:rPr>
            </w:pPr>
            <w:r w:rsidRPr="00C27BDB">
              <w:rPr>
                <w:rFonts w:cs="Times New Roman Bold"/>
                <w:b/>
                <w:bCs/>
                <w:smallCaps/>
                <w:sz w:val="36"/>
                <w:szCs w:val="36"/>
              </w:rPr>
              <w:t>International telecommunication union</w:t>
            </w:r>
          </w:p>
          <w:p w:rsidR="00803ACB" w:rsidRPr="00C27BDB" w:rsidRDefault="00C27BDB" w:rsidP="00C27BDB">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803ACB" w:rsidRPr="00F50108" w:rsidRDefault="00803ACB" w:rsidP="00803ACB">
            <w:pPr>
              <w:spacing w:before="0"/>
              <w:jc w:val="right"/>
              <w:rPr>
                <w:rFonts w:ascii="Verdana" w:hAnsi="Verdana"/>
                <w:color w:val="FFFFFF"/>
                <w:sz w:val="26"/>
                <w:szCs w:val="26"/>
              </w:rPr>
            </w:pPr>
          </w:p>
        </w:tc>
      </w:tr>
      <w:tr w:rsidR="000305E1" w:rsidTr="00D63425">
        <w:trPr>
          <w:cantSplit/>
          <w:trHeight w:val="80"/>
        </w:trPr>
        <w:tc>
          <w:tcPr>
            <w:tcW w:w="5387" w:type="dxa"/>
            <w:gridSpan w:val="3"/>
            <w:vAlign w:val="center"/>
          </w:tcPr>
          <w:p w:rsidR="000305E1" w:rsidRDefault="000305E1" w:rsidP="002F6530">
            <w:pPr>
              <w:pStyle w:val="Tabletext"/>
              <w:jc w:val="right"/>
            </w:pPr>
          </w:p>
        </w:tc>
        <w:tc>
          <w:tcPr>
            <w:tcW w:w="4394" w:type="dxa"/>
            <w:gridSpan w:val="2"/>
            <w:vAlign w:val="center"/>
          </w:tcPr>
          <w:p w:rsidR="000305E1" w:rsidRDefault="00162032" w:rsidP="00492585">
            <w:pPr>
              <w:pStyle w:val="Tabletext"/>
              <w:spacing w:before="480" w:after="120"/>
            </w:pPr>
            <w:r>
              <w:t xml:space="preserve">Geneva, </w:t>
            </w:r>
            <w:r w:rsidR="00C46D79">
              <w:t>2</w:t>
            </w:r>
            <w:r w:rsidR="00492585">
              <w:t>8</w:t>
            </w:r>
            <w:bookmarkStart w:id="1" w:name="_GoBack"/>
            <w:bookmarkEnd w:id="1"/>
            <w:r w:rsidR="00C46D79">
              <w:t xml:space="preserve"> January 2016</w:t>
            </w:r>
          </w:p>
        </w:tc>
      </w:tr>
      <w:tr w:rsidR="00C27BDB" w:rsidTr="00C27BDB">
        <w:trPr>
          <w:cantSplit/>
          <w:trHeight w:val="835"/>
        </w:trPr>
        <w:tc>
          <w:tcPr>
            <w:tcW w:w="1134" w:type="dxa"/>
          </w:tcPr>
          <w:p w:rsidR="00C27BDB" w:rsidRPr="00F36AC4" w:rsidRDefault="00C27BDB" w:rsidP="002F6530">
            <w:pPr>
              <w:pStyle w:val="Tabletext"/>
              <w:rPr>
                <w:rFonts w:ascii="Futura Lt BT" w:hAnsi="Futura Lt BT"/>
              </w:rPr>
            </w:pPr>
            <w:bookmarkStart w:id="2" w:name="Adress_E" w:colFirst="2" w:colLast="2"/>
            <w:r w:rsidRPr="00F36AC4">
              <w:t>Ref:</w:t>
            </w:r>
          </w:p>
        </w:tc>
        <w:tc>
          <w:tcPr>
            <w:tcW w:w="4253" w:type="dxa"/>
            <w:gridSpan w:val="2"/>
          </w:tcPr>
          <w:p w:rsidR="00C27BDB" w:rsidRPr="000305E1" w:rsidRDefault="00C27BDB" w:rsidP="00CB6538">
            <w:pPr>
              <w:pStyle w:val="Tabletext"/>
              <w:rPr>
                <w:b/>
                <w:bCs/>
              </w:rPr>
            </w:pPr>
            <w:r w:rsidRPr="000305E1">
              <w:rPr>
                <w:b/>
                <w:bCs/>
              </w:rPr>
              <w:t xml:space="preserve">TSB Circular </w:t>
            </w:r>
            <w:r w:rsidR="00CB6538">
              <w:rPr>
                <w:b/>
                <w:bCs/>
              </w:rPr>
              <w:t>195</w:t>
            </w:r>
          </w:p>
          <w:p w:rsidR="00C27BDB" w:rsidRPr="00F36AC4" w:rsidRDefault="00C27BDB" w:rsidP="00C46D79">
            <w:pPr>
              <w:pStyle w:val="Tabletext"/>
            </w:pPr>
            <w:r w:rsidRPr="000305E1">
              <w:t xml:space="preserve">COM </w:t>
            </w:r>
            <w:r w:rsidR="00C46D79">
              <w:t>12</w:t>
            </w:r>
            <w:r w:rsidRPr="000305E1">
              <w:t>/</w:t>
            </w:r>
            <w:r w:rsidR="00C46D79">
              <w:t>MA</w:t>
            </w:r>
          </w:p>
        </w:tc>
        <w:tc>
          <w:tcPr>
            <w:tcW w:w="4394" w:type="dxa"/>
            <w:gridSpan w:val="2"/>
            <w:vMerge w:val="restart"/>
          </w:tcPr>
          <w:p w:rsidR="00C27BDB" w:rsidRDefault="00C27BDB" w:rsidP="002C0244">
            <w:pPr>
              <w:pStyle w:val="Tabletext"/>
              <w:ind w:left="283" w:hanging="283"/>
            </w:pPr>
            <w:r>
              <w:t>-</w:t>
            </w:r>
            <w:r>
              <w:tab/>
              <w:t>To Administrations of Member States of the Union</w:t>
            </w:r>
          </w:p>
        </w:tc>
      </w:tr>
      <w:bookmarkEnd w:id="2"/>
      <w:tr w:rsidR="00951309" w:rsidTr="00D63425">
        <w:trPr>
          <w:cantSplit/>
          <w:trHeight w:val="221"/>
        </w:trPr>
        <w:tc>
          <w:tcPr>
            <w:tcW w:w="1134" w:type="dxa"/>
          </w:tcPr>
          <w:p w:rsidR="00951309" w:rsidRPr="00F36AC4" w:rsidRDefault="00951309" w:rsidP="002F6530">
            <w:pPr>
              <w:pStyle w:val="Tabletext"/>
            </w:pPr>
            <w:r w:rsidRPr="00F36AC4">
              <w:t>Tel:</w:t>
            </w:r>
          </w:p>
        </w:tc>
        <w:tc>
          <w:tcPr>
            <w:tcW w:w="4253" w:type="dxa"/>
            <w:gridSpan w:val="2"/>
          </w:tcPr>
          <w:p w:rsidR="00951309" w:rsidRPr="00F36AC4" w:rsidRDefault="00951309" w:rsidP="00C46D79">
            <w:pPr>
              <w:pStyle w:val="Tabletext"/>
              <w:rPr>
                <w:b/>
              </w:rPr>
            </w:pPr>
            <w:r w:rsidRPr="00F36AC4">
              <w:t>+41 22 730</w:t>
            </w:r>
            <w:r w:rsidR="00AF10F1">
              <w:t xml:space="preserve"> </w:t>
            </w:r>
            <w:r w:rsidR="00C46D79">
              <w:t>6828</w:t>
            </w:r>
          </w:p>
        </w:tc>
        <w:tc>
          <w:tcPr>
            <w:tcW w:w="4394" w:type="dxa"/>
            <w:gridSpan w:val="2"/>
            <w:vMerge/>
          </w:tcPr>
          <w:p w:rsidR="00951309" w:rsidRDefault="00951309" w:rsidP="002F6530">
            <w:pPr>
              <w:pStyle w:val="Tabletext"/>
              <w:ind w:left="142" w:hanging="142"/>
            </w:pPr>
          </w:p>
        </w:tc>
      </w:tr>
      <w:tr w:rsidR="00951309" w:rsidTr="00D63425">
        <w:trPr>
          <w:cantSplit/>
          <w:trHeight w:val="282"/>
        </w:trPr>
        <w:tc>
          <w:tcPr>
            <w:tcW w:w="1134" w:type="dxa"/>
          </w:tcPr>
          <w:p w:rsidR="00951309" w:rsidRPr="00F36AC4" w:rsidRDefault="00951309" w:rsidP="002F6530">
            <w:pPr>
              <w:pStyle w:val="Tabletext"/>
            </w:pPr>
            <w:r w:rsidRPr="00F36AC4">
              <w:t>Fax:</w:t>
            </w:r>
          </w:p>
        </w:tc>
        <w:tc>
          <w:tcPr>
            <w:tcW w:w="4253" w:type="dxa"/>
            <w:gridSpan w:val="2"/>
          </w:tcPr>
          <w:p w:rsidR="00951309" w:rsidRPr="00F36AC4" w:rsidRDefault="00951309" w:rsidP="002F6530">
            <w:pPr>
              <w:pStyle w:val="Tabletext"/>
              <w:rPr>
                <w:b/>
              </w:rPr>
            </w:pPr>
            <w:r w:rsidRPr="00F36AC4">
              <w:t>+41 22 730 5853</w:t>
            </w:r>
          </w:p>
        </w:tc>
        <w:tc>
          <w:tcPr>
            <w:tcW w:w="4394" w:type="dxa"/>
            <w:gridSpan w:val="2"/>
            <w:vMerge/>
          </w:tcPr>
          <w:p w:rsidR="00951309" w:rsidRDefault="00951309" w:rsidP="002F6530">
            <w:pPr>
              <w:pStyle w:val="Tabletext"/>
              <w:ind w:left="142" w:hanging="142"/>
            </w:pPr>
          </w:p>
        </w:tc>
      </w:tr>
      <w:tr w:rsidR="00951309" w:rsidTr="00D63425">
        <w:trPr>
          <w:cantSplit/>
          <w:trHeight w:val="1652"/>
        </w:trPr>
        <w:tc>
          <w:tcPr>
            <w:tcW w:w="1134" w:type="dxa"/>
          </w:tcPr>
          <w:p w:rsidR="00951309" w:rsidRPr="00F36AC4" w:rsidRDefault="00951309" w:rsidP="002F6530">
            <w:pPr>
              <w:pStyle w:val="Tabletext"/>
            </w:pPr>
            <w:r w:rsidRPr="00F36AC4">
              <w:t>E-mail:</w:t>
            </w:r>
          </w:p>
        </w:tc>
        <w:tc>
          <w:tcPr>
            <w:tcW w:w="4253" w:type="dxa"/>
            <w:gridSpan w:val="2"/>
          </w:tcPr>
          <w:p w:rsidR="00951309" w:rsidRPr="00F36AC4" w:rsidRDefault="00492585" w:rsidP="00C46D79">
            <w:pPr>
              <w:pStyle w:val="Tabletext"/>
            </w:pPr>
            <w:hyperlink r:id="rId9" w:history="1">
              <w:r w:rsidR="00C46D79" w:rsidRPr="00453022">
                <w:rPr>
                  <w:rStyle w:val="Hyperlink"/>
                  <w:szCs w:val="22"/>
                </w:rPr>
                <w:t>tsbsg12@itu.int</w:t>
              </w:r>
            </w:hyperlink>
            <w:r w:rsidR="00951309" w:rsidRPr="00F36AC4">
              <w:t xml:space="preserve"> </w:t>
            </w:r>
          </w:p>
        </w:tc>
        <w:tc>
          <w:tcPr>
            <w:tcW w:w="4394" w:type="dxa"/>
            <w:gridSpan w:val="2"/>
          </w:tcPr>
          <w:p w:rsidR="002C0244" w:rsidRDefault="00951309" w:rsidP="002C0244">
            <w:pPr>
              <w:pStyle w:val="Tabletext"/>
              <w:rPr>
                <w:b/>
              </w:rPr>
            </w:pPr>
            <w:r>
              <w:rPr>
                <w:b/>
              </w:rPr>
              <w:t>Copy:</w:t>
            </w:r>
          </w:p>
          <w:p w:rsidR="002C0244" w:rsidRDefault="002C0244" w:rsidP="00B61A00">
            <w:pPr>
              <w:pStyle w:val="Tabletext"/>
              <w:tabs>
                <w:tab w:val="clear" w:pos="284"/>
                <w:tab w:val="left" w:pos="283"/>
              </w:tabs>
              <w:ind w:left="283" w:hanging="283"/>
            </w:pPr>
            <w:r>
              <w:t>-</w:t>
            </w:r>
            <w:r>
              <w:tab/>
              <w:t>To ITU-T Sector Members;</w:t>
            </w:r>
          </w:p>
          <w:p w:rsidR="002C0244" w:rsidRDefault="002C0244" w:rsidP="00B61A00">
            <w:pPr>
              <w:pStyle w:val="Tabletext"/>
              <w:tabs>
                <w:tab w:val="clear" w:pos="284"/>
                <w:tab w:val="left" w:pos="283"/>
              </w:tabs>
              <w:ind w:left="283" w:hanging="283"/>
            </w:pPr>
            <w:r>
              <w:t>-</w:t>
            </w:r>
            <w:r>
              <w:tab/>
              <w:t>To ITU-T Associates;</w:t>
            </w:r>
          </w:p>
          <w:p w:rsidR="002C0244" w:rsidRDefault="002C0244" w:rsidP="00F93EE0">
            <w:pPr>
              <w:pStyle w:val="Tabletext"/>
              <w:tabs>
                <w:tab w:val="clear" w:pos="284"/>
                <w:tab w:val="left" w:pos="283"/>
              </w:tabs>
              <w:ind w:left="283" w:hanging="283"/>
            </w:pPr>
            <w:r>
              <w:t>-</w:t>
            </w:r>
            <w:r>
              <w:tab/>
              <w:t>To ITU Academia;</w:t>
            </w:r>
          </w:p>
          <w:p w:rsidR="002C0244" w:rsidRDefault="002C0244" w:rsidP="00C46D79">
            <w:pPr>
              <w:pStyle w:val="Tabletext"/>
              <w:tabs>
                <w:tab w:val="clear" w:pos="284"/>
                <w:tab w:val="left" w:pos="283"/>
              </w:tabs>
              <w:ind w:left="283" w:hanging="283"/>
            </w:pPr>
            <w:r>
              <w:t>-</w:t>
            </w:r>
            <w:r>
              <w:tab/>
              <w:t xml:space="preserve">To the Chairman and Vice-Chairmen of Study Group </w:t>
            </w:r>
            <w:r w:rsidR="00C46D79">
              <w:t>12</w:t>
            </w:r>
            <w:r>
              <w:t>;</w:t>
            </w:r>
          </w:p>
          <w:p w:rsidR="002C0244" w:rsidRDefault="002C0244" w:rsidP="00B61A00">
            <w:pPr>
              <w:pStyle w:val="Tabletext"/>
              <w:tabs>
                <w:tab w:val="clear" w:pos="284"/>
                <w:tab w:val="left" w:pos="283"/>
              </w:tabs>
              <w:ind w:left="283" w:hanging="283"/>
            </w:pPr>
            <w:r>
              <w:t>-</w:t>
            </w:r>
            <w:r>
              <w:tab/>
              <w:t>To the Director of the Telecommunication Development Bureau;</w:t>
            </w:r>
          </w:p>
          <w:p w:rsidR="00951309" w:rsidRDefault="002C0244" w:rsidP="00B61A00">
            <w:pPr>
              <w:pStyle w:val="Tabletext"/>
              <w:tabs>
                <w:tab w:val="clear" w:pos="284"/>
                <w:tab w:val="left" w:pos="283"/>
              </w:tabs>
              <w:ind w:left="283" w:hanging="283"/>
            </w:pPr>
            <w:r>
              <w:t>-</w:t>
            </w:r>
            <w:r>
              <w:tab/>
              <w:t>To the Director of the Radiocommunication Bureau</w:t>
            </w:r>
          </w:p>
        </w:tc>
      </w:tr>
      <w:tr w:rsidR="00951309" w:rsidRPr="009B6449" w:rsidTr="00D63425">
        <w:trPr>
          <w:cantSplit/>
          <w:trHeight w:val="80"/>
        </w:trPr>
        <w:tc>
          <w:tcPr>
            <w:tcW w:w="1134" w:type="dxa"/>
          </w:tcPr>
          <w:p w:rsidR="00951309" w:rsidRPr="009B6449" w:rsidRDefault="00951309" w:rsidP="002F6530">
            <w:pPr>
              <w:pStyle w:val="Tabletext"/>
            </w:pPr>
            <w:r w:rsidRPr="009B6449">
              <w:t>Subject:</w:t>
            </w:r>
          </w:p>
        </w:tc>
        <w:tc>
          <w:tcPr>
            <w:tcW w:w="8647" w:type="dxa"/>
            <w:gridSpan w:val="4"/>
          </w:tcPr>
          <w:p w:rsidR="00951309" w:rsidRPr="009B6449" w:rsidRDefault="00C46D79" w:rsidP="00B202AB">
            <w:pPr>
              <w:pStyle w:val="Tabletext"/>
            </w:pPr>
            <w:r>
              <w:rPr>
                <w:b/>
              </w:rPr>
              <w:t xml:space="preserve">Study Group 12 call for participation </w:t>
            </w:r>
            <w:r w:rsidR="00F93EE0">
              <w:rPr>
                <w:b/>
              </w:rPr>
              <w:t>i</w:t>
            </w:r>
            <w:r w:rsidRPr="00D17CCD">
              <w:rPr>
                <w:b/>
              </w:rPr>
              <w:t xml:space="preserve">n </w:t>
            </w:r>
            <w:r w:rsidR="00F93EE0">
              <w:rPr>
                <w:b/>
              </w:rPr>
              <w:t>first phase of</w:t>
            </w:r>
            <w:r w:rsidR="00EF5292" w:rsidRPr="00D17CCD">
              <w:rPr>
                <w:b/>
              </w:rPr>
              <w:t xml:space="preserve"> G.OM_HEVC</w:t>
            </w:r>
            <w:r w:rsidR="00F93EE0">
              <w:rPr>
                <w:b/>
              </w:rPr>
              <w:t xml:space="preserve"> </w:t>
            </w:r>
            <w:r w:rsidR="00EF5292" w:rsidRPr="00D17CCD">
              <w:rPr>
                <w:b/>
              </w:rPr>
              <w:t>- Opinion Model for Network Planning of Audio and Video Streaming Applications Using HEVC</w:t>
            </w:r>
            <w:r w:rsidR="00EF5292">
              <w:rPr>
                <w:b/>
              </w:rPr>
              <w:t xml:space="preserve"> </w:t>
            </w:r>
          </w:p>
        </w:tc>
      </w:tr>
      <w:tr w:rsidR="00D3223D" w:rsidRPr="009B6449" w:rsidTr="00D63425">
        <w:trPr>
          <w:cantSplit/>
          <w:trHeight w:val="80"/>
        </w:trPr>
        <w:tc>
          <w:tcPr>
            <w:tcW w:w="1134" w:type="dxa"/>
          </w:tcPr>
          <w:p w:rsidR="00D3223D" w:rsidRPr="009B6449" w:rsidRDefault="00D3223D" w:rsidP="002F6530">
            <w:pPr>
              <w:pStyle w:val="Tabletext"/>
            </w:pPr>
            <w:r w:rsidRPr="00716E52">
              <w:t>Action:</w:t>
            </w:r>
          </w:p>
        </w:tc>
        <w:tc>
          <w:tcPr>
            <w:tcW w:w="8647" w:type="dxa"/>
            <w:gridSpan w:val="4"/>
          </w:tcPr>
          <w:p w:rsidR="00D3223D" w:rsidRDefault="00D3223D">
            <w:pPr>
              <w:pStyle w:val="Tabletext"/>
              <w:rPr>
                <w:b/>
              </w:rPr>
            </w:pPr>
            <w:r w:rsidRPr="008A08F3">
              <w:rPr>
                <w:bCs/>
              </w:rPr>
              <w:t xml:space="preserve">Please </w:t>
            </w:r>
            <w:r w:rsidRPr="008A08F3">
              <w:t xml:space="preserve">announce your provisional intention to participate in </w:t>
            </w:r>
            <w:r w:rsidRPr="009E7E94">
              <w:t xml:space="preserve">G.OM_HEVC Phase 1 </w:t>
            </w:r>
            <w:r w:rsidRPr="00D80711">
              <w:t xml:space="preserve">by </w:t>
            </w:r>
            <w:r w:rsidRPr="00F93EE0">
              <w:t>12 February 2016</w:t>
            </w:r>
            <w:r w:rsidRPr="00D80711">
              <w:t xml:space="preserve"> to the e-mail reflector of Q13/12</w:t>
            </w:r>
          </w:p>
        </w:tc>
      </w:tr>
    </w:tbl>
    <w:p w:rsidR="00D3223D" w:rsidRDefault="00D3223D" w:rsidP="007328DB">
      <w:pPr>
        <w:rPr>
          <w:lang w:val="en-US"/>
        </w:rPr>
      </w:pPr>
      <w:bookmarkStart w:id="3" w:name="StartTyping_E"/>
      <w:bookmarkEnd w:id="3"/>
    </w:p>
    <w:p w:rsidR="007328DB" w:rsidRDefault="007328DB" w:rsidP="007328DB">
      <w:pPr>
        <w:rPr>
          <w:rFonts w:ascii="Times New Roman" w:hAnsi="Times New Roman"/>
        </w:rPr>
      </w:pPr>
      <w:r>
        <w:t>Dear Sir/Madam,</w:t>
      </w:r>
    </w:p>
    <w:p w:rsidR="00D3223D" w:rsidRDefault="00D3223D">
      <w:pPr>
        <w:rPr>
          <w:bCs/>
        </w:rPr>
      </w:pPr>
    </w:p>
    <w:p w:rsidR="007328DB" w:rsidRDefault="007328DB">
      <w:r>
        <w:rPr>
          <w:bCs/>
        </w:rPr>
        <w:t>1</w:t>
      </w:r>
      <w:r>
        <w:tab/>
        <w:t>ITU-T Study Group 12, Question 1</w:t>
      </w:r>
      <w:r w:rsidR="008A08F3">
        <w:t>3</w:t>
      </w:r>
      <w:r>
        <w:t xml:space="preserve">/12 aims at accelerating the work on the </w:t>
      </w:r>
      <w:r>
        <w:rPr>
          <w:lang w:val="en-US"/>
        </w:rPr>
        <w:t xml:space="preserve">first phase of </w:t>
      </w:r>
      <w:r w:rsidR="008A08F3" w:rsidRPr="009E7E94">
        <w:t xml:space="preserve">G.OM_HEVC </w:t>
      </w:r>
      <w:r w:rsidR="008A08F3">
        <w:t>-</w:t>
      </w:r>
      <w:r w:rsidR="008A08F3" w:rsidRPr="009E7E94">
        <w:t xml:space="preserve"> Opinion Model for Network Planning of Audio and Video Streaming Applications Using HEVC</w:t>
      </w:r>
      <w:r>
        <w:rPr>
          <w:lang w:val="en-US"/>
        </w:rPr>
        <w:t>.</w:t>
      </w:r>
    </w:p>
    <w:p w:rsidR="007328DB" w:rsidRDefault="007328DB">
      <w:r>
        <w:t>2</w:t>
      </w:r>
      <w:r>
        <w:tab/>
        <w:t>The c</w:t>
      </w:r>
      <w:r>
        <w:rPr>
          <w:lang w:val="en-US"/>
        </w:rPr>
        <w:t xml:space="preserve">all for participation </w:t>
      </w:r>
      <w:r w:rsidR="00D3223D">
        <w:rPr>
          <w:lang w:val="en-US"/>
        </w:rPr>
        <w:t xml:space="preserve">in </w:t>
      </w:r>
      <w:r w:rsidR="008A08F3" w:rsidRPr="009E7E94">
        <w:t xml:space="preserve">G.OM_HEVC </w:t>
      </w:r>
      <w:r w:rsidR="00F93EE0">
        <w:t xml:space="preserve">Phase 1 </w:t>
      </w:r>
      <w:r>
        <w:rPr>
          <w:lang w:val="en-US"/>
        </w:rPr>
        <w:t xml:space="preserve">is </w:t>
      </w:r>
      <w:r>
        <w:t>given in Annex 1 to this Circular.</w:t>
      </w:r>
    </w:p>
    <w:p w:rsidR="007328DB" w:rsidRDefault="007328DB" w:rsidP="00B202AB">
      <w:r>
        <w:t>3</w:t>
      </w:r>
      <w:r>
        <w:tab/>
        <w:t xml:space="preserve">I should be grateful if you could announce your provisional intention to participate in </w:t>
      </w:r>
      <w:r w:rsidR="008A08F3" w:rsidRPr="009E7E94">
        <w:t>G.OM_HEVC</w:t>
      </w:r>
      <w:r w:rsidR="00F93EE0">
        <w:t xml:space="preserve"> Phase 1</w:t>
      </w:r>
      <w:r>
        <w:t xml:space="preserve">, not later than </w:t>
      </w:r>
      <w:r w:rsidR="00F93EE0" w:rsidRPr="00B202AB">
        <w:rPr>
          <w:b/>
          <w:bCs/>
        </w:rPr>
        <w:t>12 February 2016</w:t>
      </w:r>
      <w:r>
        <w:t>, by email to the Q1</w:t>
      </w:r>
      <w:r w:rsidR="008A08F3">
        <w:t>3</w:t>
      </w:r>
      <w:r>
        <w:t>/12 reflector (</w:t>
      </w:r>
      <w:hyperlink r:id="rId10" w:history="1">
        <w:r w:rsidR="008A08F3" w:rsidRPr="00453022">
          <w:rPr>
            <w:rStyle w:val="Hyperlink"/>
          </w:rPr>
          <w:t>t13sg12q13@lists.itu.int</w:t>
        </w:r>
      </w:hyperlink>
      <w:r>
        <w:t>).</w:t>
      </w:r>
    </w:p>
    <w:p w:rsidR="007328DB" w:rsidRDefault="007328DB">
      <w:pPr>
        <w:rPr>
          <w:szCs w:val="24"/>
        </w:rPr>
      </w:pPr>
      <w:r>
        <w:t>4</w:t>
      </w:r>
      <w:r>
        <w:tab/>
        <w:t xml:space="preserve">Any requests for further details or clarification with respect to this call for participation should be sent to the </w:t>
      </w:r>
      <w:r w:rsidR="00D3223D">
        <w:rPr>
          <w:szCs w:val="24"/>
        </w:rPr>
        <w:t>Editor</w:t>
      </w:r>
      <w:r w:rsidRPr="008A08F3">
        <w:rPr>
          <w:szCs w:val="24"/>
        </w:rPr>
        <w:t xml:space="preserve"> of </w:t>
      </w:r>
      <w:r w:rsidR="00D3223D" w:rsidRPr="00D3223D">
        <w:rPr>
          <w:szCs w:val="24"/>
        </w:rPr>
        <w:t>G.OM_HEVC</w:t>
      </w:r>
      <w:r w:rsidRPr="008A08F3">
        <w:rPr>
          <w:szCs w:val="24"/>
        </w:rPr>
        <w:t>, M</w:t>
      </w:r>
      <w:r w:rsidR="008A08F3" w:rsidRPr="008A08F3">
        <w:rPr>
          <w:szCs w:val="24"/>
        </w:rPr>
        <w:t>s</w:t>
      </w:r>
      <w:r w:rsidRPr="008A08F3">
        <w:rPr>
          <w:szCs w:val="24"/>
        </w:rPr>
        <w:t xml:space="preserve"> </w:t>
      </w:r>
      <w:r w:rsidR="008A08F3" w:rsidRPr="008A08F3">
        <w:rPr>
          <w:szCs w:val="24"/>
        </w:rPr>
        <w:t xml:space="preserve">Rachel Huang </w:t>
      </w:r>
      <w:r w:rsidRPr="008A08F3">
        <w:rPr>
          <w:szCs w:val="24"/>
        </w:rPr>
        <w:t>(</w:t>
      </w:r>
      <w:hyperlink r:id="rId11" w:history="1">
        <w:r w:rsidR="008A08F3" w:rsidRPr="008A08F3">
          <w:rPr>
            <w:rStyle w:val="Hyperlink"/>
            <w:szCs w:val="24"/>
          </w:rPr>
          <w:t>rachel.huang@huawei.com</w:t>
        </w:r>
      </w:hyperlink>
      <w:r w:rsidRPr="008A08F3">
        <w:rPr>
          <w:szCs w:val="24"/>
        </w:rPr>
        <w:t>)</w:t>
      </w:r>
      <w:r w:rsidR="00D3223D">
        <w:rPr>
          <w:szCs w:val="24"/>
        </w:rPr>
        <w:t>,</w:t>
      </w:r>
      <w:r w:rsidRPr="008A08F3">
        <w:rPr>
          <w:szCs w:val="24"/>
        </w:rPr>
        <w:t xml:space="preserve"> as well as to the Study Group 12 Secretariat (</w:t>
      </w:r>
      <w:hyperlink r:id="rId12" w:history="1">
        <w:r w:rsidRPr="008A08F3">
          <w:rPr>
            <w:rStyle w:val="Hyperlink"/>
            <w:szCs w:val="24"/>
          </w:rPr>
          <w:t>tsbsg12@itu.int</w:t>
        </w:r>
      </w:hyperlink>
      <w:r w:rsidRPr="008A08F3">
        <w:rPr>
          <w:szCs w:val="24"/>
        </w:rPr>
        <w:t>).</w:t>
      </w:r>
    </w:p>
    <w:p w:rsidR="007328DB" w:rsidRPr="00B202AB" w:rsidRDefault="007328DB">
      <w:r>
        <w:t>5</w:t>
      </w:r>
      <w:r>
        <w:tab/>
        <w:t>I should like to stress the importance of your participation in this work item as it would help Study Group 12 in its efforts to progress the work of Q1</w:t>
      </w:r>
      <w:r w:rsidR="00D17CCD">
        <w:t>3</w:t>
      </w:r>
      <w:r>
        <w:t>/12</w:t>
      </w:r>
      <w:r w:rsidRPr="00B202AB">
        <w:t>.</w:t>
      </w:r>
    </w:p>
    <w:p w:rsidR="00D3223D" w:rsidRDefault="00D3223D">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F93EE0" w:rsidRDefault="00F93EE0">
      <w:r>
        <w:rPr>
          <w:lang w:val="en-US"/>
        </w:rPr>
        <w:lastRenderedPageBreak/>
        <w:t>6</w:t>
      </w:r>
      <w:r>
        <w:rPr>
          <w:lang w:val="en-US"/>
        </w:rPr>
        <w:tab/>
        <w:t>The next meeting of Study Group 12 will take place from 7 to 16 June 2016 in Geneva, Switzerland. More information abou</w:t>
      </w:r>
      <w:r w:rsidR="00F43FBF">
        <w:rPr>
          <w:lang w:val="en-US"/>
        </w:rPr>
        <w:t xml:space="preserve">t Study Group 12 is available at </w:t>
      </w:r>
      <w:hyperlink r:id="rId13" w:history="1">
        <w:r w:rsidR="00F43FBF" w:rsidRPr="006369CF">
          <w:rPr>
            <w:rStyle w:val="Hyperlink"/>
            <w:lang w:val="en-US"/>
          </w:rPr>
          <w:t>http://itu.int/go/tsg12</w:t>
        </w:r>
      </w:hyperlink>
      <w:r>
        <w:rPr>
          <w:lang w:val="en-US"/>
        </w:rPr>
        <w:t xml:space="preserve">. </w:t>
      </w:r>
    </w:p>
    <w:p w:rsidR="000B46FB" w:rsidRDefault="000B46FB" w:rsidP="000B46FB">
      <w:pPr>
        <w:spacing w:before="480"/>
      </w:pPr>
      <w:r>
        <w:t>Yours faithfully,</w:t>
      </w:r>
    </w:p>
    <w:p w:rsidR="0059495D" w:rsidRDefault="00AC4FF0" w:rsidP="00C27BDB">
      <w:pPr>
        <w:spacing w:before="1080"/>
      </w:pPr>
      <w:r>
        <w:rPr>
          <w:szCs w:val="24"/>
        </w:rPr>
        <w:t>Chaesub Lee</w:t>
      </w:r>
      <w:r w:rsidR="000B46FB">
        <w:br/>
        <w:t>Director of the Telecommunication</w:t>
      </w:r>
      <w:r w:rsidR="000B46FB">
        <w:br/>
        <w:t>Standardization Bureau</w:t>
      </w:r>
    </w:p>
    <w:p w:rsidR="0098561B" w:rsidRDefault="0098561B" w:rsidP="00C27BDB">
      <w:pPr>
        <w:spacing w:before="1080"/>
      </w:pPr>
      <w:r>
        <w:t>Annex: 1</w:t>
      </w:r>
    </w:p>
    <w:p w:rsidR="0098561B" w:rsidRDefault="0098561B">
      <w:pPr>
        <w:tabs>
          <w:tab w:val="clear" w:pos="794"/>
          <w:tab w:val="clear" w:pos="1191"/>
          <w:tab w:val="clear" w:pos="1588"/>
          <w:tab w:val="clear" w:pos="1985"/>
        </w:tabs>
        <w:overflowPunct/>
        <w:autoSpaceDE/>
        <w:autoSpaceDN/>
        <w:adjustRightInd/>
        <w:spacing w:before="0"/>
        <w:textAlignment w:val="auto"/>
      </w:pPr>
      <w:r>
        <w:br w:type="page"/>
      </w:r>
    </w:p>
    <w:p w:rsidR="00C921E2" w:rsidRDefault="0098561B" w:rsidP="00CB6538">
      <w:pPr>
        <w:spacing w:before="1200" w:after="360"/>
        <w:jc w:val="center"/>
        <w:rPr>
          <w:b/>
          <w:bCs/>
        </w:rPr>
      </w:pPr>
      <w:r w:rsidRPr="0098561B">
        <w:rPr>
          <w:b/>
          <w:bCs/>
        </w:rPr>
        <w:lastRenderedPageBreak/>
        <w:t>ANNEX 1</w:t>
      </w:r>
      <w:r w:rsidRPr="0098561B">
        <w:rPr>
          <w:b/>
          <w:bCs/>
        </w:rPr>
        <w:br/>
        <w:t xml:space="preserve">(to TSB Circular </w:t>
      </w:r>
      <w:r w:rsidR="00CB6538">
        <w:rPr>
          <w:b/>
          <w:bCs/>
        </w:rPr>
        <w:t>195</w:t>
      </w:r>
      <w:r w:rsidRPr="0098561B">
        <w:rPr>
          <w:b/>
          <w:bCs/>
        </w:rPr>
        <w:t>)</w:t>
      </w:r>
    </w:p>
    <w:p w:rsidR="0098561B" w:rsidRDefault="00C921E2" w:rsidP="00EB3B9B">
      <w:pPr>
        <w:spacing w:after="360"/>
        <w:jc w:val="center"/>
        <w:rPr>
          <w:b/>
          <w:bCs/>
        </w:rPr>
      </w:pPr>
      <w:r>
        <w:rPr>
          <w:b/>
        </w:rPr>
        <w:t xml:space="preserve">Call for participation </w:t>
      </w:r>
      <w:r w:rsidRPr="00D17CCD">
        <w:rPr>
          <w:b/>
        </w:rPr>
        <w:t>on G.OM_HEVC Phase 1 - Opinion Model for Network Planning of Audio and Video Streaming Applications Using HEVC</w:t>
      </w:r>
    </w:p>
    <w:p w:rsidR="00F943AB" w:rsidRPr="00F943AB" w:rsidRDefault="00F943AB" w:rsidP="00F943AB">
      <w:pPr>
        <w:rPr>
          <w:b/>
          <w:bCs/>
          <w:lang w:val="en-US"/>
        </w:rPr>
      </w:pPr>
      <w:r w:rsidRPr="00F943AB">
        <w:rPr>
          <w:b/>
          <w:bCs/>
          <w:lang w:val="en-US"/>
        </w:rPr>
        <w:t>Introduction</w:t>
      </w:r>
    </w:p>
    <w:p w:rsidR="00F943AB" w:rsidRPr="00F943AB" w:rsidRDefault="00F943AB" w:rsidP="00F943AB">
      <w:r w:rsidRPr="00F943AB">
        <w:t>This Call for Participation is directed to parties who are interested in G.OM_HEVC phase 1: opinion model for network planning of audio and video streaming applications using HEVC. Those parties are invited to announce their interest in contributing to G.OM_HEVC and spending further active development in this project.</w:t>
      </w:r>
    </w:p>
    <w:p w:rsidR="00F943AB" w:rsidRPr="00F943AB" w:rsidRDefault="00F943AB" w:rsidP="00F943AB">
      <w:r w:rsidRPr="00F943AB">
        <w:t>The development of the G.OM_HEVC Phase 1 model is agreed as a Collaborative Approach, and will be developed based on the model of G.1071. It is required that the contributing parties to G.OM_HEVC will license their IPRs in the standardized model on a royalty-free basis as defined under Clause 1 or under FRAND terms as defined under Clause 2 of the ITU-T Patent Statement and Licensing Declaration.</w:t>
      </w:r>
    </w:p>
    <w:p w:rsidR="00F943AB" w:rsidRPr="00F943AB" w:rsidRDefault="00F943AB" w:rsidP="00F943AB">
      <w:pPr>
        <w:rPr>
          <w:b/>
          <w:bCs/>
          <w:lang w:val="en-US"/>
        </w:rPr>
      </w:pPr>
      <w:r w:rsidRPr="00F943AB">
        <w:rPr>
          <w:b/>
          <w:bCs/>
          <w:lang w:val="en-US"/>
        </w:rPr>
        <w:t>Requirements on parties to collaborate</w:t>
      </w:r>
    </w:p>
    <w:p w:rsidR="00F943AB" w:rsidRPr="00F943AB" w:rsidRDefault="00F943AB" w:rsidP="00F943AB">
      <w:pPr>
        <w:rPr>
          <w:lang w:eastAsia="zh-CN"/>
        </w:rPr>
      </w:pPr>
      <w:r w:rsidRPr="00F943AB">
        <w:t xml:space="preserve">Each interested party has to be member of ITU-T SG12. Furthermore, </w:t>
      </w:r>
      <w:r w:rsidRPr="00F943AB">
        <w:rPr>
          <w:lang w:eastAsia="zh-CN"/>
        </w:rPr>
        <w:t>G.OM_HEVC Phase 1 Requirements Specification has to be accepted for participation in the collaboration.</w:t>
      </w:r>
    </w:p>
    <w:p w:rsidR="00F943AB" w:rsidRPr="00F943AB" w:rsidRDefault="00F943AB" w:rsidP="00F943AB">
      <w:pPr>
        <w:rPr>
          <w:lang w:eastAsia="zh-CN"/>
        </w:rPr>
      </w:pPr>
      <w:r w:rsidRPr="00F943AB">
        <w:rPr>
          <w:lang w:eastAsia="zh-CN"/>
        </w:rPr>
        <w:t>In addition, each party – collaborating on the models and providing databases – is obliged to setup and sign legal agreements between all parties regarding exchange of IPRs, and databases. Those agreements are not in the responsibility of ITU-T and have to be done on a multilateral basis between all collaborating and contributing parties.</w:t>
      </w:r>
    </w:p>
    <w:p w:rsidR="00F943AB" w:rsidRPr="00F943AB" w:rsidRDefault="00F943AB" w:rsidP="00F943AB">
      <w:pPr>
        <w:rPr>
          <w:lang w:eastAsia="zh-CN"/>
        </w:rPr>
      </w:pPr>
      <w:r w:rsidRPr="00F943AB">
        <w:t>How the collaboration becomes organized is in the responsibility of the collaborating parties.</w:t>
      </w:r>
      <w:r w:rsidRPr="00F943AB">
        <w:rPr>
          <w:lang w:eastAsia="zh-CN"/>
        </w:rPr>
        <w:t xml:space="preserve"> The Call for Participation is divided into 2 steps:</w:t>
      </w:r>
    </w:p>
    <w:p w:rsidR="00F943AB" w:rsidRPr="00F943AB" w:rsidRDefault="00F943AB">
      <w:pPr>
        <w:pStyle w:val="ListParagraph"/>
        <w:widowControl w:val="0"/>
        <w:numPr>
          <w:ilvl w:val="0"/>
          <w:numId w:val="11"/>
        </w:numPr>
        <w:overflowPunct/>
        <w:autoSpaceDE/>
        <w:autoSpaceDN/>
        <w:adjustRightInd/>
        <w:ind w:firstLineChars="0"/>
        <w:textAlignment w:val="auto"/>
        <w:rPr>
          <w:rFonts w:asciiTheme="minorHAnsi" w:hAnsiTheme="minorHAnsi"/>
        </w:rPr>
      </w:pPr>
      <w:r w:rsidRPr="00F943AB">
        <w:rPr>
          <w:rFonts w:asciiTheme="minorHAnsi" w:hAnsiTheme="minorHAnsi"/>
        </w:rPr>
        <w:t xml:space="preserve">Interested parties must announce their provisional intention to participate in the Collaboration by </w:t>
      </w:r>
      <w:r w:rsidR="00F43FBF">
        <w:rPr>
          <w:rFonts w:asciiTheme="minorHAnsi" w:hAnsiTheme="minorHAnsi"/>
        </w:rPr>
        <w:t xml:space="preserve">12 </w:t>
      </w:r>
      <w:r w:rsidRPr="00F943AB">
        <w:rPr>
          <w:rFonts w:asciiTheme="minorHAnsi" w:hAnsiTheme="minorHAnsi"/>
        </w:rPr>
        <w:t>February 2016 to the e-mail reflector of Q13/12</w:t>
      </w:r>
      <w:r w:rsidR="00F43FBF">
        <w:rPr>
          <w:rFonts w:asciiTheme="minorHAnsi" w:hAnsiTheme="minorHAnsi"/>
        </w:rPr>
        <w:t xml:space="preserve"> </w:t>
      </w:r>
      <w:r w:rsidR="00F43FBF" w:rsidRPr="00F43FBF">
        <w:rPr>
          <w:rFonts w:asciiTheme="minorHAnsi" w:hAnsiTheme="minorHAnsi"/>
        </w:rPr>
        <w:t>(</w:t>
      </w:r>
      <w:hyperlink r:id="rId14" w:history="1">
        <w:r w:rsidR="00F43FBF" w:rsidRPr="006369CF">
          <w:rPr>
            <w:rStyle w:val="Hyperlink"/>
            <w:rFonts w:asciiTheme="minorHAnsi" w:hAnsiTheme="minorHAnsi"/>
          </w:rPr>
          <w:t>t13sg12q13@lists.itu.int</w:t>
        </w:r>
      </w:hyperlink>
      <w:r w:rsidR="00F43FBF" w:rsidRPr="00F43FBF">
        <w:rPr>
          <w:rFonts w:asciiTheme="minorHAnsi" w:hAnsiTheme="minorHAnsi"/>
        </w:rPr>
        <w:t>)</w:t>
      </w:r>
      <w:r w:rsidRPr="00F943AB">
        <w:rPr>
          <w:rFonts w:asciiTheme="minorHAnsi" w:hAnsiTheme="minorHAnsi"/>
        </w:rPr>
        <w:t>.</w:t>
      </w:r>
    </w:p>
    <w:p w:rsidR="00F943AB" w:rsidRPr="00F943AB" w:rsidRDefault="00F943AB">
      <w:pPr>
        <w:pStyle w:val="ListParagraph"/>
        <w:widowControl w:val="0"/>
        <w:numPr>
          <w:ilvl w:val="0"/>
          <w:numId w:val="11"/>
        </w:numPr>
        <w:overflowPunct/>
        <w:autoSpaceDE/>
        <w:autoSpaceDN/>
        <w:adjustRightInd/>
        <w:ind w:firstLineChars="0"/>
        <w:textAlignment w:val="auto"/>
        <w:rPr>
          <w:rFonts w:asciiTheme="minorHAnsi" w:hAnsiTheme="minorHAnsi"/>
        </w:rPr>
      </w:pPr>
      <w:r w:rsidRPr="00F943AB">
        <w:rPr>
          <w:rFonts w:asciiTheme="minorHAnsi" w:hAnsiTheme="minorHAnsi"/>
        </w:rPr>
        <w:t xml:space="preserve">A commitment to participate in the Collaboration of G.OM_HEVC Phase 1 has to be made by </w:t>
      </w:r>
      <w:r w:rsidR="00F43FBF">
        <w:rPr>
          <w:rFonts w:asciiTheme="minorHAnsi" w:hAnsiTheme="minorHAnsi"/>
        </w:rPr>
        <w:t xml:space="preserve">26 </w:t>
      </w:r>
      <w:r w:rsidRPr="00F943AB">
        <w:rPr>
          <w:rFonts w:asciiTheme="minorHAnsi" w:hAnsiTheme="minorHAnsi"/>
        </w:rPr>
        <w:t>February 2016 to the TSB of ITU-T SG (</w:t>
      </w:r>
      <w:hyperlink r:id="rId15" w:history="1">
        <w:r w:rsidRPr="00F943AB">
          <w:rPr>
            <w:rStyle w:val="Hyperlink"/>
            <w:rFonts w:asciiTheme="minorHAnsi" w:hAnsiTheme="minorHAnsi"/>
          </w:rPr>
          <w:t>tsbsg12@itu.int</w:t>
        </w:r>
      </w:hyperlink>
      <w:r w:rsidRPr="00F943AB">
        <w:rPr>
          <w:rFonts w:asciiTheme="minorHAnsi" w:hAnsiTheme="minorHAnsi"/>
        </w:rPr>
        <w:t>) or in exceptional cases to the Rapporteur of Q13/12. Only parties who have previously announced their provisional intention to participate may make this commitment. This final commitment is based on a final Requirement specification for G.OM_HEVC phase 1 that is considered as sufficient by Q13/12 for starting the development work. It is expected to get general consensus for the Requirement Specification during the January 2016 meeting of Q13/12, and provide the final version by the end of January. In the event that the Requirement Specification is not considered as sufficient, the deadline for commitment to participate in the Collaboration will be postponed accordingly.</w:t>
      </w:r>
    </w:p>
    <w:p w:rsidR="00F943AB" w:rsidRDefault="00F943AB">
      <w:pPr>
        <w:tabs>
          <w:tab w:val="clear" w:pos="794"/>
          <w:tab w:val="clear" w:pos="1191"/>
          <w:tab w:val="clear" w:pos="1588"/>
          <w:tab w:val="clear" w:pos="1985"/>
        </w:tabs>
        <w:overflowPunct/>
        <w:autoSpaceDE/>
        <w:autoSpaceDN/>
        <w:adjustRightInd/>
        <w:spacing w:before="0"/>
        <w:textAlignment w:val="auto"/>
      </w:pPr>
      <w:r>
        <w:br w:type="page"/>
      </w:r>
    </w:p>
    <w:p w:rsidR="00F943AB" w:rsidRDefault="00F943AB" w:rsidP="00F943AB"/>
    <w:p w:rsidR="00F943AB" w:rsidRPr="00A85794" w:rsidRDefault="00F943AB" w:rsidP="00F943AB">
      <w:pPr>
        <w:rPr>
          <w:b/>
          <w:bCs/>
          <w:lang w:val="en-US"/>
        </w:rPr>
      </w:pPr>
      <w:r w:rsidRPr="00A85794">
        <w:rPr>
          <w:b/>
          <w:bCs/>
          <w:lang w:val="en-US"/>
        </w:rPr>
        <w:t>Schedule</w:t>
      </w:r>
    </w:p>
    <w:tbl>
      <w:tblPr>
        <w:tblpPr w:leftFromText="180" w:rightFromText="180" w:vertAnchor="text" w:horzAnchor="margin" w:tblpXSpec="center" w:tblpY="350"/>
        <w:tblW w:w="10031" w:type="dxa"/>
        <w:tblCellMar>
          <w:left w:w="0" w:type="dxa"/>
          <w:right w:w="0" w:type="dxa"/>
        </w:tblCellMar>
        <w:tblLook w:val="04A0" w:firstRow="1" w:lastRow="0" w:firstColumn="1" w:lastColumn="0" w:noHBand="0" w:noVBand="1"/>
      </w:tblPr>
      <w:tblGrid>
        <w:gridCol w:w="772"/>
        <w:gridCol w:w="3731"/>
        <w:gridCol w:w="2291"/>
        <w:gridCol w:w="2127"/>
        <w:gridCol w:w="1110"/>
      </w:tblGrid>
      <w:tr w:rsidR="00F943AB" w:rsidRPr="00F943AB" w:rsidTr="005A5888">
        <w:trPr>
          <w:trHeight w:val="144"/>
        </w:trPr>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b/>
                <w:bCs/>
                <w:szCs w:val="24"/>
              </w:rPr>
            </w:pPr>
            <w:r w:rsidRPr="00F943AB">
              <w:rPr>
                <w:b/>
                <w:bCs/>
              </w:rPr>
              <w:t>No.</w:t>
            </w:r>
          </w:p>
        </w:tc>
        <w:tc>
          <w:tcPr>
            <w:tcW w:w="3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b/>
                <w:bCs/>
                <w:szCs w:val="24"/>
              </w:rPr>
            </w:pPr>
            <w:r w:rsidRPr="00F943AB">
              <w:rPr>
                <w:b/>
                <w:bCs/>
              </w:rPr>
              <w:t>Description</w:t>
            </w:r>
          </w:p>
        </w:tc>
        <w:tc>
          <w:tcPr>
            <w:tcW w:w="22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b/>
                <w:bCs/>
                <w:szCs w:val="24"/>
              </w:rPr>
            </w:pPr>
            <w:r w:rsidRPr="00F943AB">
              <w:rPr>
                <w:b/>
                <w:bCs/>
              </w:rPr>
              <w:t>Remark</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b/>
                <w:bCs/>
                <w:szCs w:val="24"/>
              </w:rPr>
            </w:pPr>
            <w:r w:rsidRPr="00F943AB">
              <w:rPr>
                <w:b/>
                <w:bCs/>
              </w:rPr>
              <w:t>Schedule</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b/>
                <w:bCs/>
                <w:szCs w:val="24"/>
              </w:rPr>
            </w:pPr>
            <w:r w:rsidRPr="00F943AB">
              <w:rPr>
                <w:b/>
                <w:bCs/>
              </w:rPr>
              <w:t>Status</w:t>
            </w: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1</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rPr>
                <w:rFonts w:cs="Calibri"/>
                <w:szCs w:val="24"/>
              </w:rPr>
            </w:pPr>
            <w:r w:rsidRPr="00F943AB">
              <w:t xml:space="preserve">Final </w:t>
            </w:r>
            <w:proofErr w:type="spellStart"/>
            <w:r w:rsidRPr="00F943AB">
              <w:t>ToR</w:t>
            </w:r>
            <w:proofErr w:type="spellEnd"/>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January 29</w:t>
            </w:r>
            <w:r w:rsidRPr="00F943AB">
              <w:rPr>
                <w:vertAlign w:val="superscript"/>
              </w:rPr>
              <w:t>th</w:t>
            </w:r>
            <w:r w:rsidRPr="00F943AB">
              <w:t xml:space="preserve">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2</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rPr>
                <w:rFonts w:cs="Calibri"/>
                <w:szCs w:val="24"/>
              </w:rPr>
            </w:pPr>
            <w:r w:rsidRPr="00F943AB">
              <w:t>Final Requirement Specification</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January 29</w:t>
            </w:r>
            <w:r w:rsidRPr="00F943AB">
              <w:rPr>
                <w:vertAlign w:val="superscript"/>
              </w:rPr>
              <w:t>th</w:t>
            </w:r>
            <w:r w:rsidRPr="00F943AB">
              <w:t xml:space="preserve">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pPr>
            <w:r w:rsidRPr="00F943AB">
              <w:t>3</w:t>
            </w:r>
          </w:p>
        </w:tc>
        <w:tc>
          <w:tcPr>
            <w:tcW w:w="373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pPr>
            <w:r w:rsidRPr="00F943AB">
              <w:t>Call for participation sent out</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r w:rsidRPr="00F943AB">
              <w:rPr>
                <w:rFonts w:cs="Calibri"/>
                <w:szCs w:val="24"/>
              </w:rPr>
              <w:t>TSB-CIR</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pPr>
            <w:r w:rsidRPr="00F943AB">
              <w:t>January 29</w:t>
            </w:r>
            <w:r w:rsidRPr="00F943AB">
              <w:rPr>
                <w:vertAlign w:val="superscript"/>
              </w:rPr>
              <w:t>th</w:t>
            </w:r>
            <w:r w:rsidRPr="00F943AB">
              <w:t>,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pPr>
            <w:r w:rsidRPr="00F943AB">
              <w:t>4</w:t>
            </w:r>
          </w:p>
        </w:tc>
        <w:tc>
          <w:tcPr>
            <w:tcW w:w="373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pPr>
            <w:r w:rsidRPr="00F943AB">
              <w:t>Provisional  intention for participation</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pPr>
            <w:r w:rsidRPr="00F943AB">
              <w:t>February 12</w:t>
            </w:r>
            <w:r w:rsidRPr="00F943AB">
              <w:rPr>
                <w:vertAlign w:val="superscript"/>
              </w:rPr>
              <w:t>th</w:t>
            </w:r>
            <w:r w:rsidRPr="00F943AB">
              <w:t>,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1"/>
              </w:rPr>
            </w:pPr>
            <w:r w:rsidRPr="00F943AB">
              <w:t>5</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rPr>
                <w:rFonts w:cs="Calibri"/>
                <w:szCs w:val="21"/>
              </w:rPr>
            </w:pPr>
            <w:r w:rsidRPr="00F943AB">
              <w:t>Commitment for participation</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1"/>
              </w:rPr>
            </w:pPr>
            <w:r w:rsidRPr="00F943AB">
              <w:t>February 26</w:t>
            </w:r>
            <w:r w:rsidRPr="00F943AB">
              <w:rPr>
                <w:vertAlign w:val="superscript"/>
              </w:rPr>
              <w:t>th</w:t>
            </w:r>
            <w:r w:rsidRPr="00F943AB">
              <w:t xml:space="preserve">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pPr>
            <w:r w:rsidRPr="00F943AB">
              <w:t>6</w:t>
            </w:r>
          </w:p>
        </w:tc>
        <w:tc>
          <w:tcPr>
            <w:tcW w:w="373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pPr>
            <w:r w:rsidRPr="00F943AB">
              <w:t>Finalized test plan and related documents required for running tests such as subjective test procedure, processing chain</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pPr>
            <w:r w:rsidRPr="00F943AB">
              <w:t>March,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7</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rPr>
                <w:rFonts w:cs="Calibri"/>
                <w:szCs w:val="24"/>
              </w:rPr>
            </w:pPr>
            <w:r w:rsidRPr="00F943AB">
              <w:t>Creation of training</w:t>
            </w:r>
            <w:r w:rsidRPr="00F943AB">
              <w:rPr>
                <w:lang w:eastAsia="zh-CN"/>
              </w:rPr>
              <w:t xml:space="preserve"> and validation</w:t>
            </w:r>
            <w:r w:rsidRPr="00F943AB">
              <w:t xml:space="preserve"> databases</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rPr>
                <w:rFonts w:cs="Calibri"/>
                <w:szCs w:val="24"/>
              </w:rPr>
            </w:pPr>
            <w:r w:rsidRPr="00F943AB">
              <w:rPr>
                <w:rFonts w:cs="Calibri"/>
                <w:szCs w:val="24"/>
              </w:rPr>
              <w:t xml:space="preserve">with the collaboration approach, </w:t>
            </w:r>
            <w:r w:rsidRPr="00F943AB">
              <w:rPr>
                <w:rFonts w:cs="Calibri"/>
                <w:szCs w:val="24"/>
                <w:lang w:eastAsia="zh-CN"/>
              </w:rPr>
              <w:t xml:space="preserve">validation database will be </w:t>
            </w:r>
            <w:r w:rsidRPr="00F943AB">
              <w:rPr>
                <w:rFonts w:cs="Calibri"/>
                <w:szCs w:val="24"/>
              </w:rPr>
              <w:t>created at the same time as the training databases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April-</w:t>
            </w:r>
            <w:r w:rsidRPr="00F943AB">
              <w:rPr>
                <w:lang w:eastAsia="zh-CN"/>
              </w:rPr>
              <w:t>June</w:t>
            </w:r>
            <w:r w:rsidRPr="00F943AB">
              <w:t xml:space="preserve">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8</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rPr>
                <w:rFonts w:cs="Calibri"/>
                <w:szCs w:val="24"/>
                <w:lang w:eastAsia="zh-CN"/>
              </w:rPr>
            </w:pPr>
            <w:r w:rsidRPr="00F943AB">
              <w:t xml:space="preserve">G.OM_HEVC </w:t>
            </w:r>
            <w:r w:rsidRPr="00F943AB">
              <w:rPr>
                <w:lang w:eastAsia="zh-CN"/>
              </w:rPr>
              <w:t>algorithm development</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June-</w:t>
            </w:r>
            <w:r w:rsidRPr="00F943AB">
              <w:rPr>
                <w:lang w:eastAsia="zh-CN"/>
              </w:rPr>
              <w:t>August</w:t>
            </w:r>
            <w:r w:rsidRPr="00F943AB">
              <w:t>,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lang w:eastAsia="zh-CN"/>
              </w:rPr>
            </w:pPr>
            <w:r w:rsidRPr="00F943AB">
              <w:rPr>
                <w:lang w:eastAsia="zh-CN"/>
              </w:rPr>
              <w:t>9</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rPr>
                <w:rFonts w:cs="Calibri"/>
                <w:szCs w:val="24"/>
              </w:rPr>
            </w:pPr>
            <w:r w:rsidRPr="00F943AB">
              <w:t>G.OM_HEVC candidate defined</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rPr>
                <w:lang w:eastAsia="zh-CN"/>
              </w:rPr>
              <w:t>September</w:t>
            </w:r>
            <w:r w:rsidRPr="00F943AB">
              <w:t>,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549"/>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lang w:eastAsia="zh-CN"/>
              </w:rPr>
            </w:pPr>
            <w:r w:rsidRPr="00F943AB">
              <w:rPr>
                <w:lang w:eastAsia="zh-CN"/>
              </w:rPr>
              <w:t>10</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rPr>
                <w:rFonts w:cs="Calibri"/>
                <w:szCs w:val="24"/>
              </w:rPr>
            </w:pPr>
            <w:r w:rsidRPr="00F943AB">
              <w:t>Final version of G.OM_HEVC</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rPr>
                <w:lang w:eastAsia="zh-CN"/>
              </w:rPr>
              <w:t>October</w:t>
            </w:r>
            <w:r w:rsidRPr="00F943AB">
              <w:t>, 2016</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r w:rsidR="00F943AB" w:rsidRPr="00F943AB" w:rsidTr="005A5888">
        <w:trPr>
          <w:trHeight w:val="501"/>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lang w:eastAsia="zh-CN"/>
              </w:rPr>
            </w:pPr>
            <w:r w:rsidRPr="00F943AB">
              <w:t>1</w:t>
            </w:r>
            <w:r w:rsidRPr="00F943AB">
              <w:rPr>
                <w:lang w:eastAsia="zh-CN"/>
              </w:rPr>
              <w:t>1</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rPr>
                <w:rFonts w:cs="Calibri"/>
                <w:szCs w:val="24"/>
              </w:rPr>
            </w:pPr>
            <w:r w:rsidRPr="00F943AB">
              <w:t>Annex approved (?)</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rPr>
                <w:rFonts w:cs="Calibri"/>
                <w:szCs w:val="24"/>
                <w:lang w:eastAsia="zh-CN"/>
              </w:rPr>
            </w:pPr>
            <w:r w:rsidRPr="00F943AB">
              <w:rPr>
                <w:rFonts w:cs="Calibri"/>
                <w:szCs w:val="24"/>
                <w:lang w:eastAsia="zh-CN"/>
              </w:rPr>
              <w:t>Depending on the SG12 meeting arrangement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943AB" w:rsidRPr="00F943AB" w:rsidRDefault="00F943AB" w:rsidP="00782751">
            <w:pPr>
              <w:spacing w:after="120"/>
              <w:jc w:val="both"/>
              <w:rPr>
                <w:rFonts w:cs="Calibri"/>
                <w:szCs w:val="24"/>
              </w:rPr>
            </w:pPr>
            <w:r w:rsidRPr="00F943AB">
              <w:t>SG12 meeting 2017</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F943AB" w:rsidRPr="00F943AB" w:rsidRDefault="00F943AB" w:rsidP="00782751">
            <w:pPr>
              <w:spacing w:after="120"/>
              <w:jc w:val="both"/>
              <w:rPr>
                <w:rFonts w:cs="Calibri"/>
                <w:szCs w:val="24"/>
              </w:rPr>
            </w:pPr>
          </w:p>
        </w:tc>
      </w:tr>
    </w:tbl>
    <w:p w:rsidR="00F943AB" w:rsidRPr="003F0DED" w:rsidRDefault="00F943AB" w:rsidP="0098561B">
      <w:pPr>
        <w:spacing w:before="1080"/>
        <w:jc w:val="center"/>
      </w:pPr>
      <w:r>
        <w:t>________________</w:t>
      </w:r>
    </w:p>
    <w:sectPr w:rsidR="00F943AB" w:rsidRPr="003F0DED" w:rsidSect="002F6530">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10" w:rsidRDefault="00EE3210">
      <w:r>
        <w:separator/>
      </w:r>
    </w:p>
  </w:endnote>
  <w:endnote w:type="continuationSeparator" w:id="0">
    <w:p w:rsidR="00EE3210" w:rsidRDefault="00EE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5517F5" w:rsidP="00CB6538">
    <w:pPr>
      <w:pStyle w:val="Footer"/>
      <w:tabs>
        <w:tab w:val="clear" w:pos="794"/>
        <w:tab w:val="clear" w:pos="1191"/>
        <w:tab w:val="clear" w:pos="1588"/>
        <w:tab w:val="clear" w:pos="1985"/>
      </w:tabs>
      <w:rPr>
        <w:lang w:val="fr-CH"/>
      </w:rPr>
    </w:pPr>
    <w:r>
      <w:rPr>
        <w:lang w:val="fr-CH"/>
      </w:rPr>
      <w:t>ITU-T\BUREAU\CIRC</w:t>
    </w:r>
    <w:r w:rsidRPr="00CB6538">
      <w:rPr>
        <w:lang w:val="fr-CH"/>
      </w:rPr>
      <w:t>\</w:t>
    </w:r>
    <w:r w:rsidR="00CB6538" w:rsidRPr="00CB6538">
      <w:rPr>
        <w:lang w:val="fr-CH"/>
      </w:rPr>
      <w:t>195</w:t>
    </w:r>
    <w:r w:rsidRPr="00CB6538">
      <w:rPr>
        <w:lang w:val="fr-CH"/>
      </w:rPr>
      <w:t>E</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10" w:rsidRDefault="00EE3210">
      <w:r>
        <w:t>____________________</w:t>
      </w:r>
    </w:p>
  </w:footnote>
  <w:footnote w:type="continuationSeparator" w:id="0">
    <w:p w:rsidR="00EE3210" w:rsidRDefault="00EE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492585">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A564D"/>
    <w:multiLevelType w:val="hybridMultilevel"/>
    <w:tmpl w:val="8AAED6A2"/>
    <w:lvl w:ilvl="0" w:tplc="BD7CD51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7D"/>
    <w:rsid w:val="000069D4"/>
    <w:rsid w:val="000174AD"/>
    <w:rsid w:val="000305E1"/>
    <w:rsid w:val="000A7D55"/>
    <w:rsid w:val="000B46FB"/>
    <w:rsid w:val="000C2E8E"/>
    <w:rsid w:val="000D49FB"/>
    <w:rsid w:val="000E0E7C"/>
    <w:rsid w:val="000F1B4B"/>
    <w:rsid w:val="0012744F"/>
    <w:rsid w:val="001356CA"/>
    <w:rsid w:val="00156DFF"/>
    <w:rsid w:val="00156F66"/>
    <w:rsid w:val="00162032"/>
    <w:rsid w:val="00182528"/>
    <w:rsid w:val="0018500B"/>
    <w:rsid w:val="00196A19"/>
    <w:rsid w:val="00196AB1"/>
    <w:rsid w:val="001C3CDB"/>
    <w:rsid w:val="00202DC1"/>
    <w:rsid w:val="002116EE"/>
    <w:rsid w:val="002309D8"/>
    <w:rsid w:val="0023525C"/>
    <w:rsid w:val="00265A07"/>
    <w:rsid w:val="00287BF1"/>
    <w:rsid w:val="002A7FE2"/>
    <w:rsid w:val="002B711C"/>
    <w:rsid w:val="002C0244"/>
    <w:rsid w:val="002E1B4F"/>
    <w:rsid w:val="002F2E67"/>
    <w:rsid w:val="002F6530"/>
    <w:rsid w:val="00315546"/>
    <w:rsid w:val="00330567"/>
    <w:rsid w:val="00351DA5"/>
    <w:rsid w:val="00383598"/>
    <w:rsid w:val="00386A9D"/>
    <w:rsid w:val="00391081"/>
    <w:rsid w:val="003B2789"/>
    <w:rsid w:val="003C13CE"/>
    <w:rsid w:val="003E2518"/>
    <w:rsid w:val="003F0DED"/>
    <w:rsid w:val="004314A2"/>
    <w:rsid w:val="00470A73"/>
    <w:rsid w:val="00492585"/>
    <w:rsid w:val="004B1EF7"/>
    <w:rsid w:val="004B3FAD"/>
    <w:rsid w:val="004E3CF9"/>
    <w:rsid w:val="00501DCA"/>
    <w:rsid w:val="00513A47"/>
    <w:rsid w:val="0053262A"/>
    <w:rsid w:val="005408DF"/>
    <w:rsid w:val="005517F5"/>
    <w:rsid w:val="0055318D"/>
    <w:rsid w:val="00573344"/>
    <w:rsid w:val="00583F9B"/>
    <w:rsid w:val="00584AFA"/>
    <w:rsid w:val="0059495D"/>
    <w:rsid w:val="005A5888"/>
    <w:rsid w:val="005E1223"/>
    <w:rsid w:val="005E5C10"/>
    <w:rsid w:val="005F2C78"/>
    <w:rsid w:val="006121CD"/>
    <w:rsid w:val="006144E4"/>
    <w:rsid w:val="00624555"/>
    <w:rsid w:val="00650299"/>
    <w:rsid w:val="00655FC5"/>
    <w:rsid w:val="00701969"/>
    <w:rsid w:val="007328DB"/>
    <w:rsid w:val="00744F9C"/>
    <w:rsid w:val="00782751"/>
    <w:rsid w:val="007A1B6F"/>
    <w:rsid w:val="007D2F64"/>
    <w:rsid w:val="007E51DC"/>
    <w:rsid w:val="00801031"/>
    <w:rsid w:val="00802953"/>
    <w:rsid w:val="00803ACB"/>
    <w:rsid w:val="00807FF1"/>
    <w:rsid w:val="00822581"/>
    <w:rsid w:val="008309DD"/>
    <w:rsid w:val="0083227A"/>
    <w:rsid w:val="00833DCD"/>
    <w:rsid w:val="00857C67"/>
    <w:rsid w:val="00862CC9"/>
    <w:rsid w:val="00866900"/>
    <w:rsid w:val="00870336"/>
    <w:rsid w:val="0087300D"/>
    <w:rsid w:val="00881BA1"/>
    <w:rsid w:val="008A08F3"/>
    <w:rsid w:val="008A0A55"/>
    <w:rsid w:val="008C26B8"/>
    <w:rsid w:val="009273EC"/>
    <w:rsid w:val="00932E45"/>
    <w:rsid w:val="00951309"/>
    <w:rsid w:val="00964CF0"/>
    <w:rsid w:val="00971268"/>
    <w:rsid w:val="00982084"/>
    <w:rsid w:val="0098561B"/>
    <w:rsid w:val="00991A72"/>
    <w:rsid w:val="00995963"/>
    <w:rsid w:val="009A54D9"/>
    <w:rsid w:val="009B61EB"/>
    <w:rsid w:val="009B6449"/>
    <w:rsid w:val="009C2064"/>
    <w:rsid w:val="009D1697"/>
    <w:rsid w:val="009E1082"/>
    <w:rsid w:val="00A014F8"/>
    <w:rsid w:val="00A11DCA"/>
    <w:rsid w:val="00A5173C"/>
    <w:rsid w:val="00A61AEF"/>
    <w:rsid w:val="00A9652E"/>
    <w:rsid w:val="00AA1543"/>
    <w:rsid w:val="00AB0FFD"/>
    <w:rsid w:val="00AC4FF0"/>
    <w:rsid w:val="00AD7192"/>
    <w:rsid w:val="00AF10F1"/>
    <w:rsid w:val="00AF173A"/>
    <w:rsid w:val="00B066A4"/>
    <w:rsid w:val="00B07A13"/>
    <w:rsid w:val="00B143E2"/>
    <w:rsid w:val="00B202AB"/>
    <w:rsid w:val="00B4279B"/>
    <w:rsid w:val="00B45FC9"/>
    <w:rsid w:val="00B61A00"/>
    <w:rsid w:val="00B83461"/>
    <w:rsid w:val="00BB255B"/>
    <w:rsid w:val="00BC7CCF"/>
    <w:rsid w:val="00BE470B"/>
    <w:rsid w:val="00C018E7"/>
    <w:rsid w:val="00C0731B"/>
    <w:rsid w:val="00C27BDB"/>
    <w:rsid w:val="00C46D79"/>
    <w:rsid w:val="00C57A91"/>
    <w:rsid w:val="00C740E1"/>
    <w:rsid w:val="00C84E7D"/>
    <w:rsid w:val="00C921E2"/>
    <w:rsid w:val="00CB43AF"/>
    <w:rsid w:val="00CB6538"/>
    <w:rsid w:val="00CC01C2"/>
    <w:rsid w:val="00CF21F2"/>
    <w:rsid w:val="00D02712"/>
    <w:rsid w:val="00D17CCD"/>
    <w:rsid w:val="00D214D0"/>
    <w:rsid w:val="00D3223D"/>
    <w:rsid w:val="00D5657A"/>
    <w:rsid w:val="00D63425"/>
    <w:rsid w:val="00D6546B"/>
    <w:rsid w:val="00DB3805"/>
    <w:rsid w:val="00DC36AC"/>
    <w:rsid w:val="00DD4BED"/>
    <w:rsid w:val="00DE39F0"/>
    <w:rsid w:val="00DF0AF3"/>
    <w:rsid w:val="00E0651A"/>
    <w:rsid w:val="00E17CCC"/>
    <w:rsid w:val="00E27D7E"/>
    <w:rsid w:val="00E34935"/>
    <w:rsid w:val="00E42E13"/>
    <w:rsid w:val="00E6257C"/>
    <w:rsid w:val="00E63C59"/>
    <w:rsid w:val="00EB3B9B"/>
    <w:rsid w:val="00EE3210"/>
    <w:rsid w:val="00EF5292"/>
    <w:rsid w:val="00F43FBF"/>
    <w:rsid w:val="00F93EE0"/>
    <w:rsid w:val="00F943AB"/>
    <w:rsid w:val="00FA124A"/>
    <w:rsid w:val="00FA1A29"/>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9F091C6-53CB-488C-B169-5BFCBDF7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F943AB"/>
    <w:pPr>
      <w:ind w:firstLineChars="200" w:firstLine="42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416">
      <w:bodyDiv w:val="1"/>
      <w:marLeft w:val="0"/>
      <w:marRight w:val="0"/>
      <w:marTop w:val="0"/>
      <w:marBottom w:val="0"/>
      <w:divBdr>
        <w:top w:val="none" w:sz="0" w:space="0" w:color="auto"/>
        <w:left w:val="none" w:sz="0" w:space="0" w:color="auto"/>
        <w:bottom w:val="none" w:sz="0" w:space="0" w:color="auto"/>
        <w:right w:val="none" w:sz="0" w:space="0" w:color="auto"/>
      </w:divBdr>
    </w:div>
    <w:div w:id="41756075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009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tsg1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huang@huawei.com" TargetMode="External"/><Relationship Id="rId5" Type="http://schemas.openxmlformats.org/officeDocument/2006/relationships/webSettings" Target="webSettings.xml"/><Relationship Id="rId15" Type="http://schemas.openxmlformats.org/officeDocument/2006/relationships/hyperlink" Target="mailto:tsbsg12@itu.int" TargetMode="External"/><Relationship Id="rId10" Type="http://schemas.openxmlformats.org/officeDocument/2006/relationships/hyperlink" Target="mailto:t13sg12q13@list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t13sg12q13@lists.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IRC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F8CA-E57F-4AF9-B537-E868A979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CIRC2-E.dotx</Template>
  <TotalTime>2</TotalTime>
  <Pages>4</Pages>
  <Words>842</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Labare, Emmanuelle</dc:creator>
  <cp:lastModifiedBy>Labare, Emmanuelle</cp:lastModifiedBy>
  <cp:revision>4</cp:revision>
  <cp:lastPrinted>2014-05-21T07:44:00Z</cp:lastPrinted>
  <dcterms:created xsi:type="dcterms:W3CDTF">2016-01-26T12:48:00Z</dcterms:created>
  <dcterms:modified xsi:type="dcterms:W3CDTF">2016-01-28T08:51:00Z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