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FE5ECA" w:rsidRPr="009F3E58" w:rsidTr="00D93F8D">
        <w:trPr>
          <w:cantSplit/>
        </w:trPr>
        <w:tc>
          <w:tcPr>
            <w:tcW w:w="1276" w:type="dxa"/>
            <w:vAlign w:val="center"/>
          </w:tcPr>
          <w:p w:rsidR="00FE5ECA" w:rsidRPr="009F3E58" w:rsidRDefault="00FE5ECA" w:rsidP="00D93F8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9F3E58">
              <w:rPr>
                <w:noProof/>
                <w:lang w:val="en-US" w:eastAsia="zh-CN"/>
              </w:rPr>
              <w:drawing>
                <wp:inline distT="0" distB="0" distL="0" distR="0" wp14:anchorId="25677EA2" wp14:editId="0E71C952">
                  <wp:extent cx="717701" cy="799465"/>
                  <wp:effectExtent l="0" t="0" r="6350" b="63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FE5ECA" w:rsidRPr="009F3E58" w:rsidRDefault="00FE5ECA" w:rsidP="00D93F8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9F3E58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FE5ECA" w:rsidRPr="009F3E58" w:rsidRDefault="00FE5ECA" w:rsidP="00D93F8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9F3E58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FE5ECA" w:rsidRPr="009F3E58" w:rsidRDefault="00FE5ECA" w:rsidP="00D93F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9F3E58">
              <w:rPr>
                <w:noProof/>
                <w:lang w:val="en-US" w:eastAsia="zh-CN"/>
              </w:rPr>
              <w:drawing>
                <wp:inline distT="0" distB="0" distL="0" distR="0" wp14:anchorId="3E4518AB" wp14:editId="7BD035B4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ECA" w:rsidRPr="009F3E58" w:rsidTr="00D93F8D">
        <w:trPr>
          <w:cantSplit/>
        </w:trPr>
        <w:tc>
          <w:tcPr>
            <w:tcW w:w="6426" w:type="dxa"/>
            <w:gridSpan w:val="2"/>
            <w:vAlign w:val="center"/>
          </w:tcPr>
          <w:p w:rsidR="00FE5ECA" w:rsidRPr="009F3E58" w:rsidRDefault="00FE5ECA" w:rsidP="00D93F8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FE5ECA" w:rsidRPr="009F3E58" w:rsidRDefault="00FE5ECA" w:rsidP="00D93F8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FE5ECA" w:rsidRPr="009F3E58" w:rsidRDefault="00FE5ECA" w:rsidP="00FE5ECA">
      <w:pPr>
        <w:rPr>
          <w:lang w:val="es-ES"/>
        </w:rPr>
      </w:pPr>
    </w:p>
    <w:p w:rsidR="00C16EC7" w:rsidRPr="009F3E58" w:rsidRDefault="00C10AAB" w:rsidP="00C10AA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ind w:right="480"/>
        <w:rPr>
          <w:szCs w:val="24"/>
          <w:lang w:val="es-ES"/>
        </w:rPr>
      </w:pPr>
      <w:r w:rsidRPr="009F3E58">
        <w:rPr>
          <w:szCs w:val="24"/>
          <w:lang w:val="es-ES"/>
        </w:rPr>
        <w:tab/>
      </w:r>
      <w:r w:rsidR="00C16EC7" w:rsidRPr="009F3E58">
        <w:rPr>
          <w:szCs w:val="24"/>
          <w:lang w:val="es-ES"/>
        </w:rPr>
        <w:t xml:space="preserve">Ginebra, </w:t>
      </w:r>
      <w:r w:rsidR="006301C1" w:rsidRPr="009F3E58">
        <w:rPr>
          <w:szCs w:val="24"/>
          <w:lang w:val="es-ES"/>
        </w:rPr>
        <w:t>13 de mayo de 2015</w:t>
      </w:r>
    </w:p>
    <w:p w:rsidR="00C16EC7" w:rsidRPr="009F3E58" w:rsidRDefault="00C16EC7" w:rsidP="00FE5ECA">
      <w:pPr>
        <w:rPr>
          <w:lang w:val="es-ES"/>
        </w:rPr>
      </w:pPr>
    </w:p>
    <w:tbl>
      <w:tblPr>
        <w:tblW w:w="955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536"/>
        <w:gridCol w:w="3664"/>
        <w:gridCol w:w="1219"/>
      </w:tblGrid>
      <w:tr w:rsidR="00C16EC7" w:rsidRPr="009F3E58" w:rsidTr="00CB67BE">
        <w:trPr>
          <w:cantSplit/>
          <w:trHeight w:val="340"/>
        </w:trPr>
        <w:tc>
          <w:tcPr>
            <w:tcW w:w="1134" w:type="dxa"/>
          </w:tcPr>
          <w:p w:rsidR="00C16EC7" w:rsidRPr="009F3E58" w:rsidRDefault="00C16EC7" w:rsidP="007147B5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Ref.:</w:t>
            </w:r>
          </w:p>
        </w:tc>
        <w:tc>
          <w:tcPr>
            <w:tcW w:w="3536" w:type="dxa"/>
          </w:tcPr>
          <w:p w:rsidR="00C16EC7" w:rsidRPr="009F3E58" w:rsidRDefault="00C16EC7" w:rsidP="006301C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  <w:r w:rsidRPr="009F3E58">
              <w:rPr>
                <w:b/>
                <w:szCs w:val="24"/>
                <w:lang w:val="es-ES"/>
              </w:rPr>
              <w:t xml:space="preserve">Circular TSB </w:t>
            </w:r>
            <w:r w:rsidR="006301C1" w:rsidRPr="009F3E58">
              <w:rPr>
                <w:b/>
                <w:szCs w:val="24"/>
                <w:lang w:val="es-ES"/>
              </w:rPr>
              <w:t>151</w:t>
            </w:r>
          </w:p>
          <w:p w:rsidR="00C16EC7" w:rsidRPr="009F3E58" w:rsidRDefault="00C16EC7" w:rsidP="006301C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 xml:space="preserve">COM </w:t>
            </w:r>
            <w:r w:rsidR="006301C1" w:rsidRPr="009F3E58">
              <w:rPr>
                <w:szCs w:val="24"/>
                <w:lang w:val="es-ES"/>
              </w:rPr>
              <w:t>17</w:t>
            </w:r>
            <w:r w:rsidRPr="009F3E58">
              <w:rPr>
                <w:szCs w:val="24"/>
                <w:lang w:val="es-ES"/>
              </w:rPr>
              <w:t>/</w:t>
            </w:r>
            <w:r w:rsidR="006301C1" w:rsidRPr="009F3E58">
              <w:rPr>
                <w:szCs w:val="24"/>
                <w:lang w:val="es-ES"/>
              </w:rPr>
              <w:t>MEU</w:t>
            </w:r>
          </w:p>
          <w:p w:rsidR="00C16EC7" w:rsidRPr="009F3E58" w:rsidRDefault="00C16EC7" w:rsidP="007147B5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</w:tc>
        <w:tc>
          <w:tcPr>
            <w:tcW w:w="4883" w:type="dxa"/>
            <w:gridSpan w:val="2"/>
          </w:tcPr>
          <w:p w:rsidR="00C16EC7" w:rsidRPr="009F3E58" w:rsidRDefault="003E6F3F" w:rsidP="00275B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="00C16EC7" w:rsidRPr="009F3E58">
              <w:rPr>
                <w:szCs w:val="24"/>
                <w:lang w:val="es-ES"/>
              </w:rPr>
              <w:tab/>
              <w:t>A las Administraciones de los Estados Miembros de la Unión</w:t>
            </w:r>
            <w:r w:rsidR="006B109C">
              <w:rPr>
                <w:szCs w:val="24"/>
                <w:lang w:val="es-ES"/>
              </w:rPr>
              <w:t>, Miembros del Sector,</w:t>
            </w:r>
            <w:r w:rsidR="006301C1" w:rsidRPr="009F3E58">
              <w:rPr>
                <w:szCs w:val="24"/>
                <w:lang w:val="es-ES"/>
              </w:rPr>
              <w:t xml:space="preserve"> Asociados </w:t>
            </w:r>
            <w:r w:rsidR="00275BE7">
              <w:rPr>
                <w:szCs w:val="24"/>
                <w:lang w:val="es-ES"/>
              </w:rPr>
              <w:t xml:space="preserve">y a las </w:t>
            </w:r>
            <w:r w:rsidR="006301C1" w:rsidRPr="009F3E58">
              <w:rPr>
                <w:szCs w:val="24"/>
                <w:lang w:val="es-ES"/>
              </w:rPr>
              <w:t>Instituciones Académicas del UIT-T de la Región de África</w:t>
            </w:r>
          </w:p>
        </w:tc>
      </w:tr>
      <w:tr w:rsidR="00C16EC7" w:rsidRPr="009F3E58" w:rsidTr="00CB67BE">
        <w:trPr>
          <w:cantSplit/>
        </w:trPr>
        <w:tc>
          <w:tcPr>
            <w:tcW w:w="1134" w:type="dxa"/>
          </w:tcPr>
          <w:p w:rsidR="00C16EC7" w:rsidRPr="009F3E58" w:rsidRDefault="00C16EC7" w:rsidP="007147B5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Tel.:</w:t>
            </w:r>
            <w:r w:rsidRPr="009F3E58">
              <w:rPr>
                <w:szCs w:val="24"/>
                <w:lang w:val="es-ES"/>
              </w:rPr>
              <w:br/>
              <w:t>Fax:</w:t>
            </w:r>
            <w:r w:rsidRPr="009F3E58">
              <w:rPr>
                <w:szCs w:val="24"/>
                <w:lang w:val="es-ES"/>
              </w:rPr>
              <w:br/>
              <w:t>Correo-e:</w:t>
            </w:r>
          </w:p>
        </w:tc>
        <w:tc>
          <w:tcPr>
            <w:tcW w:w="3536" w:type="dxa"/>
          </w:tcPr>
          <w:p w:rsidR="00C16EC7" w:rsidRPr="009F3E58" w:rsidRDefault="00C16EC7" w:rsidP="006301C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+41 22 730</w:t>
            </w:r>
            <w:r w:rsidR="006301C1" w:rsidRPr="009F3E58">
              <w:rPr>
                <w:szCs w:val="24"/>
                <w:lang w:val="es-ES"/>
              </w:rPr>
              <w:t xml:space="preserve"> 5866</w:t>
            </w:r>
            <w:r w:rsidRPr="009F3E58">
              <w:rPr>
                <w:szCs w:val="24"/>
                <w:lang w:val="es-ES"/>
              </w:rPr>
              <w:br/>
              <w:t>+41 22 730 5853</w:t>
            </w:r>
            <w:r w:rsidRPr="009F3E58">
              <w:rPr>
                <w:szCs w:val="24"/>
                <w:lang w:val="es-ES"/>
              </w:rPr>
              <w:br/>
            </w:r>
            <w:hyperlink r:id="rId10" w:history="1">
              <w:r w:rsidR="006301C1" w:rsidRPr="009F3E58">
                <w:rPr>
                  <w:rStyle w:val="Hyperlink"/>
                  <w:szCs w:val="24"/>
                  <w:lang w:val="es-ES"/>
                </w:rPr>
                <w:t>tsbsg17@itu.int</w:t>
              </w:r>
            </w:hyperlink>
            <w:r w:rsidRPr="009F3E58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4883" w:type="dxa"/>
            <w:gridSpan w:val="2"/>
          </w:tcPr>
          <w:p w:rsidR="00C16EC7" w:rsidRPr="009F3E58" w:rsidRDefault="00C16EC7" w:rsidP="007147B5">
            <w:pPr>
              <w:tabs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9F3E58">
              <w:rPr>
                <w:b/>
                <w:szCs w:val="24"/>
                <w:lang w:val="es-ES"/>
              </w:rPr>
              <w:t>Copia</w:t>
            </w:r>
            <w:r w:rsidRPr="009F3E58">
              <w:rPr>
                <w:szCs w:val="24"/>
                <w:lang w:val="es-ES"/>
              </w:rPr>
              <w:t>:</w:t>
            </w:r>
          </w:p>
          <w:p w:rsidR="00C16EC7" w:rsidRPr="009F3E58" w:rsidRDefault="003E6F3F" w:rsidP="00CB67B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="00C16EC7" w:rsidRPr="009F3E58">
              <w:rPr>
                <w:szCs w:val="24"/>
                <w:lang w:val="es-ES"/>
              </w:rPr>
              <w:tab/>
              <w:t xml:space="preserve">A </w:t>
            </w:r>
            <w:r w:rsidR="00CB67BE" w:rsidRPr="009F3E58">
              <w:rPr>
                <w:szCs w:val="24"/>
                <w:lang w:val="es-ES"/>
              </w:rPr>
              <w:t xml:space="preserve">la Unión Africana de Telecomunicaciones </w:t>
            </w:r>
            <w:r w:rsidR="006B109C">
              <w:rPr>
                <w:szCs w:val="24"/>
                <w:lang w:val="es-ES"/>
              </w:rPr>
              <w:tab/>
            </w:r>
            <w:r w:rsidR="00CB67BE" w:rsidRPr="009F3E58">
              <w:rPr>
                <w:szCs w:val="24"/>
                <w:lang w:val="es-ES"/>
              </w:rPr>
              <w:t>(UAT);</w:t>
            </w:r>
          </w:p>
          <w:p w:rsidR="00C16EC7" w:rsidRPr="009F3E58" w:rsidRDefault="003E6F3F" w:rsidP="006301C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="00C16EC7" w:rsidRPr="009F3E58">
              <w:rPr>
                <w:szCs w:val="24"/>
                <w:lang w:val="es-ES"/>
              </w:rPr>
              <w:tab/>
              <w:t xml:space="preserve">A </w:t>
            </w:r>
            <w:r w:rsidR="00CB67BE" w:rsidRPr="009F3E58">
              <w:rPr>
                <w:szCs w:val="24"/>
                <w:lang w:val="es-ES"/>
              </w:rPr>
              <w:t xml:space="preserve">la Red de Consumidores de las TIC de África </w:t>
            </w:r>
            <w:r w:rsidR="006B109C">
              <w:rPr>
                <w:szCs w:val="24"/>
                <w:lang w:val="es-ES"/>
              </w:rPr>
              <w:tab/>
            </w:r>
            <w:r w:rsidR="00CB67BE" w:rsidRPr="009F3E58">
              <w:rPr>
                <w:szCs w:val="24"/>
                <w:lang w:val="es-ES"/>
              </w:rPr>
              <w:t>(AICN)</w:t>
            </w:r>
            <w:r w:rsidR="00C16EC7" w:rsidRPr="009F3E58">
              <w:rPr>
                <w:szCs w:val="24"/>
                <w:lang w:val="es-ES"/>
              </w:rPr>
              <w:t>;</w:t>
            </w:r>
          </w:p>
          <w:p w:rsidR="00C16EC7" w:rsidRPr="009F3E58" w:rsidRDefault="003E6F3F" w:rsidP="006301C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="00C16EC7" w:rsidRPr="009F3E58">
              <w:rPr>
                <w:szCs w:val="24"/>
                <w:lang w:val="es-ES"/>
              </w:rPr>
              <w:tab/>
              <w:t xml:space="preserve">A </w:t>
            </w:r>
            <w:r w:rsidR="00CB67BE" w:rsidRPr="009F3E58">
              <w:rPr>
                <w:szCs w:val="24"/>
                <w:lang w:val="es-ES"/>
              </w:rPr>
              <w:t xml:space="preserve">la Comunidad Económica para los Estados de </w:t>
            </w:r>
            <w:r w:rsidR="006B109C">
              <w:rPr>
                <w:szCs w:val="24"/>
                <w:lang w:val="es-ES"/>
              </w:rPr>
              <w:tab/>
            </w:r>
            <w:r w:rsidR="00CB67BE" w:rsidRPr="009F3E58">
              <w:rPr>
                <w:szCs w:val="24"/>
                <w:lang w:val="es-ES"/>
              </w:rPr>
              <w:t>África Occidental (ECOWAS)</w:t>
            </w:r>
            <w:r w:rsidR="00C16EC7" w:rsidRPr="009F3E58">
              <w:rPr>
                <w:szCs w:val="24"/>
                <w:lang w:val="es-ES"/>
              </w:rPr>
              <w:t>;</w:t>
            </w:r>
          </w:p>
          <w:p w:rsidR="00CB67BE" w:rsidRPr="009F3E58" w:rsidRDefault="00CB67BE" w:rsidP="006301C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Pr="009F3E58">
              <w:rPr>
                <w:szCs w:val="24"/>
                <w:lang w:val="es-ES"/>
              </w:rPr>
              <w:tab/>
              <w:t xml:space="preserve">A la Organización para las Comunicaciones de </w:t>
            </w:r>
            <w:r w:rsidR="006B109C">
              <w:rPr>
                <w:szCs w:val="24"/>
                <w:lang w:val="es-ES"/>
              </w:rPr>
              <w:tab/>
            </w:r>
            <w:r w:rsidRPr="009F3E58">
              <w:rPr>
                <w:szCs w:val="24"/>
                <w:lang w:val="es-ES"/>
              </w:rPr>
              <w:t>África Oriental (EACO)</w:t>
            </w:r>
            <w:r w:rsidR="006B109C">
              <w:rPr>
                <w:szCs w:val="24"/>
                <w:lang w:val="es-ES"/>
              </w:rPr>
              <w:t>;</w:t>
            </w:r>
          </w:p>
          <w:p w:rsidR="00CB67BE" w:rsidRPr="009F3E58" w:rsidRDefault="00CB67BE" w:rsidP="006301C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Pr="009F3E58">
              <w:rPr>
                <w:szCs w:val="24"/>
                <w:lang w:val="es-ES"/>
              </w:rPr>
              <w:tab/>
              <w:t>A la Liga de Estados Árabes</w:t>
            </w:r>
            <w:r w:rsidR="006B109C">
              <w:rPr>
                <w:szCs w:val="24"/>
                <w:lang w:val="es-ES"/>
              </w:rPr>
              <w:t>;</w:t>
            </w:r>
          </w:p>
          <w:p w:rsidR="00CB67BE" w:rsidRPr="009F3E58" w:rsidRDefault="00CB67BE" w:rsidP="006301C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Pr="009F3E58">
              <w:rPr>
                <w:szCs w:val="24"/>
                <w:lang w:val="es-ES"/>
              </w:rPr>
              <w:tab/>
              <w:t xml:space="preserve">A la Oficina </w:t>
            </w:r>
            <w:r w:rsidR="006B109C" w:rsidRPr="009F3E58">
              <w:rPr>
                <w:szCs w:val="24"/>
                <w:lang w:val="es-ES"/>
              </w:rPr>
              <w:t xml:space="preserve">Regional </w:t>
            </w:r>
            <w:r w:rsidRPr="009F3E58">
              <w:rPr>
                <w:szCs w:val="24"/>
                <w:lang w:val="es-ES"/>
              </w:rPr>
              <w:t xml:space="preserve">de la UIT para la </w:t>
            </w:r>
            <w:r w:rsidR="006B109C" w:rsidRPr="009F3E58">
              <w:rPr>
                <w:szCs w:val="24"/>
                <w:lang w:val="es-ES"/>
              </w:rPr>
              <w:t xml:space="preserve">Región </w:t>
            </w:r>
            <w:r w:rsidRPr="009F3E58">
              <w:rPr>
                <w:szCs w:val="24"/>
                <w:lang w:val="es-ES"/>
              </w:rPr>
              <w:t xml:space="preserve">de </w:t>
            </w:r>
            <w:r w:rsidR="006B109C">
              <w:rPr>
                <w:szCs w:val="24"/>
                <w:lang w:val="es-ES"/>
              </w:rPr>
              <w:tab/>
              <w:t>África;</w:t>
            </w:r>
          </w:p>
          <w:p w:rsidR="00CB67BE" w:rsidRPr="009F3E58" w:rsidRDefault="003E6F3F" w:rsidP="006301C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="00C16EC7" w:rsidRPr="009F3E58">
              <w:rPr>
                <w:szCs w:val="24"/>
                <w:lang w:val="es-ES"/>
              </w:rPr>
              <w:tab/>
            </w:r>
            <w:r w:rsidR="00CB67BE" w:rsidRPr="009F3E58">
              <w:rPr>
                <w:szCs w:val="24"/>
                <w:lang w:val="es-ES"/>
              </w:rPr>
              <w:t>A las Oficinas de Zona de la UIT para África</w:t>
            </w:r>
            <w:r w:rsidR="006B109C">
              <w:rPr>
                <w:szCs w:val="24"/>
                <w:lang w:val="es-ES"/>
              </w:rPr>
              <w:t>;</w:t>
            </w:r>
          </w:p>
          <w:p w:rsidR="00C16EC7" w:rsidRPr="009F3E58" w:rsidRDefault="00CB67BE" w:rsidP="006301C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Pr="009F3E58">
              <w:rPr>
                <w:szCs w:val="24"/>
                <w:lang w:val="es-ES"/>
              </w:rPr>
              <w:tab/>
            </w:r>
            <w:r w:rsidR="00C16EC7" w:rsidRPr="009F3E58">
              <w:rPr>
                <w:szCs w:val="24"/>
                <w:lang w:val="es-ES"/>
              </w:rPr>
              <w:t xml:space="preserve">Al Presidente y a los Vicepresidentes de la Comisión de Estudio </w:t>
            </w:r>
            <w:r w:rsidR="006301C1" w:rsidRPr="009F3E58">
              <w:rPr>
                <w:szCs w:val="24"/>
                <w:lang w:val="es-ES"/>
              </w:rPr>
              <w:t>17</w:t>
            </w:r>
            <w:r w:rsidR="00C16EC7" w:rsidRPr="009F3E58">
              <w:rPr>
                <w:szCs w:val="24"/>
                <w:lang w:val="es-ES"/>
              </w:rPr>
              <w:t>;</w:t>
            </w:r>
          </w:p>
          <w:p w:rsidR="00CB67BE" w:rsidRPr="009F3E58" w:rsidRDefault="00CB67BE" w:rsidP="006B109C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Pr="009F3E58">
              <w:rPr>
                <w:szCs w:val="24"/>
                <w:lang w:val="es-ES"/>
              </w:rPr>
              <w:tab/>
              <w:t xml:space="preserve">Al Presidente y a los Vicepresidentes del Grupo </w:t>
            </w:r>
            <w:r w:rsidR="00362B58" w:rsidRPr="009F3E58">
              <w:rPr>
                <w:szCs w:val="24"/>
                <w:lang w:val="es-ES"/>
              </w:rPr>
              <w:t>R</w:t>
            </w:r>
            <w:r w:rsidRPr="009F3E58">
              <w:rPr>
                <w:szCs w:val="24"/>
                <w:lang w:val="es-ES"/>
              </w:rPr>
              <w:t xml:space="preserve">egional </w:t>
            </w:r>
            <w:r w:rsidR="00362B58" w:rsidRPr="009F3E58">
              <w:rPr>
                <w:szCs w:val="24"/>
                <w:lang w:val="es-ES"/>
              </w:rPr>
              <w:t xml:space="preserve">para África </w:t>
            </w:r>
            <w:r w:rsidRPr="009F3E58">
              <w:rPr>
                <w:szCs w:val="24"/>
                <w:lang w:val="es-ES"/>
              </w:rPr>
              <w:t>de la Comisión de Estudio</w:t>
            </w:r>
            <w:r w:rsidR="006B109C">
              <w:rPr>
                <w:szCs w:val="24"/>
                <w:lang w:val="es-ES"/>
              </w:rPr>
              <w:t> </w:t>
            </w:r>
            <w:r w:rsidRPr="009F3E58">
              <w:rPr>
                <w:szCs w:val="24"/>
                <w:lang w:val="es-ES"/>
              </w:rPr>
              <w:t>17;</w:t>
            </w:r>
          </w:p>
          <w:p w:rsidR="00C16EC7" w:rsidRPr="009F3E58" w:rsidRDefault="003E6F3F" w:rsidP="007147B5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="00C16EC7" w:rsidRPr="009F3E58">
              <w:rPr>
                <w:szCs w:val="24"/>
                <w:lang w:val="es-ES"/>
              </w:rPr>
              <w:tab/>
              <w:t>Al Director de la Oficina de Desarrollo de las Telecomunicaciones;</w:t>
            </w:r>
          </w:p>
          <w:p w:rsidR="00C16EC7" w:rsidRPr="009F3E58" w:rsidRDefault="003E6F3F" w:rsidP="006505D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–</w:t>
            </w:r>
            <w:r w:rsidR="00C16EC7" w:rsidRPr="009F3E58">
              <w:rPr>
                <w:szCs w:val="24"/>
                <w:lang w:val="es-ES"/>
              </w:rPr>
              <w:tab/>
              <w:t>Al Director de la Oficina de Radiocomunicaciones</w:t>
            </w:r>
          </w:p>
        </w:tc>
      </w:tr>
      <w:tr w:rsidR="003E6F3F" w:rsidRPr="009F3E58" w:rsidTr="006505D3">
        <w:trPr>
          <w:gridAfter w:val="1"/>
          <w:wAfter w:w="1219" w:type="dxa"/>
          <w:cantSplit/>
          <w:trHeight w:val="680"/>
        </w:trPr>
        <w:tc>
          <w:tcPr>
            <w:tcW w:w="1134" w:type="dxa"/>
          </w:tcPr>
          <w:p w:rsidR="00C16EC7" w:rsidRPr="009F3E58" w:rsidRDefault="00C16EC7" w:rsidP="002629C7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val="es-ES"/>
              </w:rPr>
            </w:pPr>
            <w:r w:rsidRPr="009F3E58">
              <w:rPr>
                <w:szCs w:val="24"/>
                <w:lang w:val="es-ES"/>
              </w:rPr>
              <w:t>Asunto:</w:t>
            </w:r>
          </w:p>
        </w:tc>
        <w:tc>
          <w:tcPr>
            <w:tcW w:w="7200" w:type="dxa"/>
            <w:gridSpan w:val="2"/>
          </w:tcPr>
          <w:p w:rsidR="00C16EC7" w:rsidRPr="009F3E58" w:rsidRDefault="005E4971" w:rsidP="002629C7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val="es-ES"/>
              </w:rPr>
            </w:pPr>
            <w:r w:rsidRPr="009F3E58">
              <w:rPr>
                <w:b/>
                <w:szCs w:val="24"/>
                <w:lang w:val="es-ES"/>
              </w:rPr>
              <w:t>Creación del Grupo Regional para África de la Comisión de Estudio 17 del UIT-T (GR CE17-AFR)</w:t>
            </w:r>
          </w:p>
        </w:tc>
      </w:tr>
    </w:tbl>
    <w:p w:rsidR="00C16EC7" w:rsidRPr="009F3E58" w:rsidRDefault="00C16EC7" w:rsidP="00FE5ECA">
      <w:pPr>
        <w:pStyle w:val="Normalaftertitle"/>
        <w:rPr>
          <w:lang w:val="es-ES"/>
        </w:rPr>
      </w:pPr>
      <w:r w:rsidRPr="009F3E58">
        <w:rPr>
          <w:lang w:val="es-ES"/>
        </w:rPr>
        <w:t>Muy Señora mía/Muy Señor mío:</w:t>
      </w:r>
    </w:p>
    <w:p w:rsidR="00473C67" w:rsidRPr="009F3E58" w:rsidRDefault="00473C67" w:rsidP="00A8138F">
      <w:pPr>
        <w:rPr>
          <w:bCs/>
          <w:lang w:val="es-ES"/>
        </w:rPr>
      </w:pPr>
      <w:r w:rsidRPr="009F3E58">
        <w:rPr>
          <w:bCs/>
          <w:lang w:val="es-ES"/>
        </w:rPr>
        <w:t xml:space="preserve">Me complace informarle que la Comisión de Estudio 17 del UIT-T, </w:t>
      </w:r>
      <w:r w:rsidRPr="00B8443C">
        <w:rPr>
          <w:bCs/>
          <w:i/>
          <w:iCs/>
          <w:lang w:val="es-ES"/>
        </w:rPr>
        <w:t>Seguridad</w:t>
      </w:r>
      <w:r w:rsidRPr="009F3E58">
        <w:rPr>
          <w:bCs/>
          <w:lang w:val="es-ES"/>
        </w:rPr>
        <w:t>, en su sesión plenaria de clausura del 17 de abril de 2015, decidió crear un Grupo Regional para África de la Comisión de Estudio 17 del UIT-T (GR CE17-AFR) con arreglo a lo dispuesto en la Resolución 54 de la AMNT.</w:t>
      </w:r>
    </w:p>
    <w:p w:rsidR="00473C67" w:rsidRPr="009F3E58" w:rsidRDefault="00473C67" w:rsidP="001032BC">
      <w:pPr>
        <w:rPr>
          <w:bCs/>
          <w:lang w:val="es-ES"/>
        </w:rPr>
      </w:pPr>
      <w:r w:rsidRPr="009F3E58">
        <w:rPr>
          <w:bCs/>
          <w:lang w:val="es-ES"/>
        </w:rPr>
        <w:t xml:space="preserve">El Sr. Michael </w:t>
      </w:r>
      <w:proofErr w:type="spellStart"/>
      <w:r w:rsidRPr="009F3E58">
        <w:rPr>
          <w:bCs/>
          <w:lang w:val="es-ES"/>
        </w:rPr>
        <w:t>Katundu</w:t>
      </w:r>
      <w:proofErr w:type="spellEnd"/>
      <w:r w:rsidRPr="009F3E58">
        <w:rPr>
          <w:bCs/>
          <w:lang w:val="es-ES"/>
        </w:rPr>
        <w:t xml:space="preserve"> (</w:t>
      </w:r>
      <w:proofErr w:type="spellStart"/>
      <w:r w:rsidRPr="009F3E58">
        <w:rPr>
          <w:bCs/>
          <w:lang w:val="es-ES"/>
        </w:rPr>
        <w:t>Kenya</w:t>
      </w:r>
      <w:proofErr w:type="spellEnd"/>
      <w:r w:rsidRPr="009F3E58">
        <w:rPr>
          <w:bCs/>
          <w:lang w:val="es-ES"/>
        </w:rPr>
        <w:t xml:space="preserve">) es </w:t>
      </w:r>
      <w:r w:rsidR="001032BC">
        <w:rPr>
          <w:bCs/>
          <w:lang w:val="es-ES"/>
        </w:rPr>
        <w:t>el</w:t>
      </w:r>
      <w:r w:rsidRPr="009F3E58">
        <w:rPr>
          <w:bCs/>
          <w:lang w:val="es-ES"/>
        </w:rPr>
        <w:t xml:space="preserve"> Presidente, y los Sres. Mohamed </w:t>
      </w:r>
      <w:proofErr w:type="spellStart"/>
      <w:r w:rsidRPr="009F3E58">
        <w:rPr>
          <w:bCs/>
          <w:lang w:val="es-ES"/>
        </w:rPr>
        <w:t>Elhaj</w:t>
      </w:r>
      <w:proofErr w:type="spellEnd"/>
      <w:r w:rsidRPr="009F3E58">
        <w:rPr>
          <w:bCs/>
          <w:lang w:val="es-ES"/>
        </w:rPr>
        <w:t xml:space="preserve"> (Sudán), Patrick </w:t>
      </w:r>
      <w:proofErr w:type="spellStart"/>
      <w:r w:rsidRPr="009F3E58">
        <w:rPr>
          <w:bCs/>
          <w:lang w:val="es-ES"/>
        </w:rPr>
        <w:t>Mwesigwa</w:t>
      </w:r>
      <w:proofErr w:type="spellEnd"/>
      <w:r w:rsidRPr="009F3E58">
        <w:rPr>
          <w:bCs/>
          <w:lang w:val="es-ES"/>
        </w:rPr>
        <w:t xml:space="preserve"> (Uganda) y Mohamed </w:t>
      </w:r>
      <w:proofErr w:type="spellStart"/>
      <w:r w:rsidRPr="009F3E58">
        <w:rPr>
          <w:bCs/>
          <w:lang w:val="es-ES"/>
        </w:rPr>
        <w:t>Touré</w:t>
      </w:r>
      <w:proofErr w:type="spellEnd"/>
      <w:r w:rsidRPr="009F3E58">
        <w:rPr>
          <w:bCs/>
          <w:lang w:val="es-ES"/>
        </w:rPr>
        <w:t xml:space="preserve"> (Guinea) son los Vicepresidentes del Grupo Regional para África de la Comisión de Estudio 17.</w:t>
      </w:r>
    </w:p>
    <w:p w:rsidR="00473C67" w:rsidRPr="009F3E58" w:rsidRDefault="00473C67" w:rsidP="001032BC">
      <w:pPr>
        <w:rPr>
          <w:bCs/>
          <w:lang w:val="es-ES"/>
        </w:rPr>
      </w:pPr>
      <w:r w:rsidRPr="009F3E58">
        <w:rPr>
          <w:bCs/>
          <w:lang w:val="es-ES"/>
        </w:rPr>
        <w:lastRenderedPageBreak/>
        <w:t xml:space="preserve">Los Grupos Regionales se han mostrado muy eficaces a la hora de coordinar las contribuciones regionales a nuestras labores, y son un buen vehículo para organizar reuniones </w:t>
      </w:r>
      <w:r w:rsidR="001032BC">
        <w:rPr>
          <w:bCs/>
          <w:lang w:val="es-ES"/>
        </w:rPr>
        <w:t>sin necesidad de largos viajes</w:t>
      </w:r>
      <w:r w:rsidRPr="009F3E58">
        <w:rPr>
          <w:bCs/>
          <w:lang w:val="es-ES"/>
        </w:rPr>
        <w:t xml:space="preserve">. Los Grupos </w:t>
      </w:r>
      <w:r w:rsidR="006B109C" w:rsidRPr="009F3E58">
        <w:rPr>
          <w:bCs/>
          <w:lang w:val="es-ES"/>
        </w:rPr>
        <w:t xml:space="preserve">Regionales </w:t>
      </w:r>
      <w:r w:rsidRPr="009F3E58">
        <w:rPr>
          <w:bCs/>
          <w:lang w:val="es-ES"/>
        </w:rPr>
        <w:t>también contribuyen a la inclusión en el proceso de normalización del UIT-T.</w:t>
      </w:r>
    </w:p>
    <w:p w:rsidR="00473C67" w:rsidRPr="009F3E58" w:rsidRDefault="00473C67" w:rsidP="00473C67">
      <w:pPr>
        <w:rPr>
          <w:bCs/>
          <w:lang w:val="es-ES"/>
        </w:rPr>
      </w:pPr>
      <w:r w:rsidRPr="009F3E58">
        <w:rPr>
          <w:bCs/>
          <w:lang w:val="es-ES"/>
        </w:rPr>
        <w:t xml:space="preserve">En el </w:t>
      </w:r>
      <w:r w:rsidRPr="006B109C">
        <w:rPr>
          <w:b/>
          <w:lang w:val="es-ES"/>
        </w:rPr>
        <w:t>Anexo A</w:t>
      </w:r>
      <w:r w:rsidRPr="009F3E58">
        <w:rPr>
          <w:bCs/>
          <w:lang w:val="es-ES"/>
        </w:rPr>
        <w:t xml:space="preserve"> se recoge el mandato del Grupo Regional para África de la Comisión de Estudio 17 del UIT-T (GR CE17-AFR).</w:t>
      </w:r>
    </w:p>
    <w:p w:rsidR="009F3E58" w:rsidRPr="009F3E58" w:rsidRDefault="00473C67" w:rsidP="001032BC">
      <w:pPr>
        <w:rPr>
          <w:bCs/>
          <w:lang w:val="es-ES"/>
        </w:rPr>
      </w:pPr>
      <w:r w:rsidRPr="009F3E58">
        <w:rPr>
          <w:bCs/>
          <w:lang w:val="es-ES"/>
        </w:rPr>
        <w:t xml:space="preserve">Puede consultarse </w:t>
      </w:r>
      <w:r w:rsidR="001032BC">
        <w:rPr>
          <w:bCs/>
          <w:lang w:val="es-ES"/>
        </w:rPr>
        <w:t>una</w:t>
      </w:r>
      <w:r w:rsidRPr="009F3E58">
        <w:rPr>
          <w:bCs/>
          <w:lang w:val="es-ES"/>
        </w:rPr>
        <w:t xml:space="preserve"> página web </w:t>
      </w:r>
      <w:r w:rsidR="001032BC">
        <w:rPr>
          <w:bCs/>
          <w:lang w:val="es-ES"/>
        </w:rPr>
        <w:t xml:space="preserve">disponibles </w:t>
      </w:r>
      <w:r w:rsidRPr="009F3E58">
        <w:rPr>
          <w:bCs/>
          <w:lang w:val="es-ES"/>
        </w:rPr>
        <w:t xml:space="preserve">en la dirección </w:t>
      </w:r>
      <w:hyperlink r:id="rId11" w:history="1">
        <w:r w:rsidR="009F3E58" w:rsidRPr="009F3E58">
          <w:rPr>
            <w:rStyle w:val="Hyperlink"/>
            <w:bCs/>
            <w:lang w:val="es-ES"/>
          </w:rPr>
          <w:t>http://www.itu.int/en/ITU-T/studygroups/2013-2016/17/sg17rgafr</w:t>
        </w:r>
      </w:hyperlink>
      <w:r w:rsidR="009F3E58" w:rsidRPr="009F3E58">
        <w:rPr>
          <w:bCs/>
          <w:lang w:val="es-ES"/>
        </w:rPr>
        <w:t>.</w:t>
      </w:r>
    </w:p>
    <w:p w:rsidR="009F3E58" w:rsidRPr="009F3E58" w:rsidRDefault="009F3E58" w:rsidP="00473C67">
      <w:pPr>
        <w:rPr>
          <w:lang w:val="es-ES"/>
        </w:rPr>
      </w:pPr>
      <w:r w:rsidRPr="009F3E58">
        <w:rPr>
          <w:bCs/>
          <w:lang w:val="es-ES"/>
        </w:rPr>
        <w:t xml:space="preserve">Se dispone de una lista de correo en la dirección </w:t>
      </w:r>
      <w:hyperlink r:id="rId12" w:history="1">
        <w:r w:rsidRPr="009F3E58">
          <w:rPr>
            <w:rStyle w:val="Hyperlink"/>
            <w:lang w:val="es-ES"/>
          </w:rPr>
          <w:t>t13sg17rgafr@lists.itu.int</w:t>
        </w:r>
      </w:hyperlink>
      <w:r w:rsidRPr="009F3E58">
        <w:rPr>
          <w:lang w:val="es-ES"/>
        </w:rPr>
        <w:t>.</w:t>
      </w:r>
    </w:p>
    <w:p w:rsidR="009F3E58" w:rsidRPr="009F3E58" w:rsidRDefault="009F3E58" w:rsidP="00473C67">
      <w:pPr>
        <w:rPr>
          <w:lang w:val="es-ES"/>
        </w:rPr>
      </w:pPr>
      <w:r w:rsidRPr="009F3E58">
        <w:rPr>
          <w:lang w:val="es-ES"/>
        </w:rPr>
        <w:t>Confiamos en lograr una cooperación fructífera</w:t>
      </w:r>
      <w:r w:rsidR="001032BC">
        <w:rPr>
          <w:lang w:val="es-ES"/>
        </w:rPr>
        <w:t>,</w:t>
      </w:r>
      <w:r w:rsidRPr="009F3E58">
        <w:rPr>
          <w:lang w:val="es-ES"/>
        </w:rPr>
        <w:t xml:space="preserve"> y agradeceremos su apoyo y participación en este Grupo Regional de la CE17 para África.</w:t>
      </w:r>
    </w:p>
    <w:p w:rsidR="00C16EC7" w:rsidRPr="009F3E58" w:rsidRDefault="002371FD" w:rsidP="00A8138F">
      <w:pPr>
        <w:rPr>
          <w:lang w:val="es-ES"/>
        </w:rPr>
      </w:pPr>
      <w:r w:rsidRPr="009F3E58">
        <w:rPr>
          <w:lang w:val="es-ES"/>
        </w:rPr>
        <w:t>Le saluda muy</w:t>
      </w:r>
      <w:r w:rsidR="003E6F3F" w:rsidRPr="009F3E58">
        <w:rPr>
          <w:lang w:val="es-ES"/>
        </w:rPr>
        <w:t xml:space="preserve"> atentamente.</w:t>
      </w:r>
    </w:p>
    <w:p w:rsidR="00600C3C" w:rsidRPr="009F3E58" w:rsidRDefault="00C16EC7" w:rsidP="00D93F8D">
      <w:pPr>
        <w:spacing w:before="1560"/>
        <w:rPr>
          <w:lang w:val="es-ES"/>
        </w:rPr>
      </w:pPr>
      <w:bookmarkStart w:id="0" w:name="_GoBack"/>
      <w:bookmarkEnd w:id="0"/>
      <w:r w:rsidRPr="009F3E58">
        <w:rPr>
          <w:lang w:val="es-ES"/>
        </w:rPr>
        <w:t>Chaesub Lee</w:t>
      </w:r>
      <w:r w:rsidRPr="009F3E58">
        <w:rPr>
          <w:lang w:val="es-ES"/>
        </w:rPr>
        <w:br/>
        <w:t>Director de la Oficina de</w:t>
      </w:r>
      <w:r w:rsidRPr="009F3E58">
        <w:rPr>
          <w:lang w:val="es-ES"/>
        </w:rPr>
        <w:br/>
        <w:t>Normalización de las Telecomunicaciones</w:t>
      </w:r>
    </w:p>
    <w:p w:rsidR="006D672E" w:rsidRDefault="006D672E" w:rsidP="007C4D5C">
      <w:pPr>
        <w:spacing w:before="720"/>
        <w:rPr>
          <w:lang w:val="es-ES"/>
        </w:rPr>
      </w:pPr>
    </w:p>
    <w:p w:rsidR="006D672E" w:rsidRDefault="006D672E" w:rsidP="007C4D5C">
      <w:pPr>
        <w:spacing w:before="720"/>
        <w:rPr>
          <w:lang w:val="es-ES"/>
        </w:rPr>
      </w:pPr>
    </w:p>
    <w:p w:rsidR="006D672E" w:rsidRDefault="006D672E" w:rsidP="007C4D5C">
      <w:pPr>
        <w:spacing w:before="720"/>
        <w:rPr>
          <w:lang w:val="es-ES"/>
        </w:rPr>
      </w:pPr>
    </w:p>
    <w:p w:rsidR="009F3E58" w:rsidRPr="009F3E58" w:rsidRDefault="009F3E58" w:rsidP="007C4D5C">
      <w:pPr>
        <w:spacing w:before="720"/>
        <w:rPr>
          <w:lang w:val="es-ES"/>
        </w:rPr>
      </w:pPr>
      <w:r w:rsidRPr="006D672E">
        <w:rPr>
          <w:b/>
          <w:bCs/>
          <w:lang w:val="es-ES"/>
        </w:rPr>
        <w:t>Anexo:</w:t>
      </w:r>
      <w:r w:rsidRPr="009F3E58">
        <w:rPr>
          <w:lang w:val="es-ES"/>
        </w:rPr>
        <w:tab/>
        <w:t>1</w:t>
      </w:r>
    </w:p>
    <w:p w:rsidR="009F3E58" w:rsidRPr="009F3E58" w:rsidRDefault="009F3E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F3E58">
        <w:rPr>
          <w:lang w:val="es-ES"/>
        </w:rPr>
        <w:br w:type="page"/>
      </w:r>
    </w:p>
    <w:p w:rsidR="009F3E58" w:rsidRPr="00D93F8D" w:rsidRDefault="009F3E58" w:rsidP="004841BB">
      <w:pPr>
        <w:pStyle w:val="AnnexNo"/>
        <w:rPr>
          <w:b/>
          <w:bCs/>
          <w:lang w:val="es-ES_tradnl"/>
        </w:rPr>
      </w:pPr>
      <w:r w:rsidRPr="00D93F8D">
        <w:rPr>
          <w:b/>
          <w:bCs/>
          <w:lang w:val="es-ES_tradnl"/>
        </w:rPr>
        <w:lastRenderedPageBreak/>
        <w:t>ANEXO A</w:t>
      </w:r>
    </w:p>
    <w:p w:rsidR="009F3E58" w:rsidRPr="00D93F8D" w:rsidRDefault="009F3E58" w:rsidP="003D772D">
      <w:pPr>
        <w:jc w:val="center"/>
        <w:rPr>
          <w:b/>
          <w:bCs/>
          <w:lang w:val="es-ES"/>
        </w:rPr>
      </w:pPr>
      <w:r w:rsidRPr="00D93F8D">
        <w:rPr>
          <w:b/>
          <w:bCs/>
          <w:lang w:val="es-ES"/>
        </w:rPr>
        <w:t>(</w:t>
      </w:r>
      <w:proofErr w:type="gramStart"/>
      <w:r w:rsidRPr="00D93F8D">
        <w:rPr>
          <w:b/>
          <w:bCs/>
          <w:lang w:val="es-ES"/>
        </w:rPr>
        <w:t>a</w:t>
      </w:r>
      <w:proofErr w:type="gramEnd"/>
      <w:r w:rsidRPr="00D93F8D">
        <w:rPr>
          <w:b/>
          <w:bCs/>
          <w:lang w:val="es-ES"/>
        </w:rPr>
        <w:t xml:space="preserve"> la Circular </w:t>
      </w:r>
      <w:r w:rsidR="003D772D">
        <w:rPr>
          <w:b/>
          <w:bCs/>
          <w:lang w:val="es-ES"/>
        </w:rPr>
        <w:t xml:space="preserve">TSB </w:t>
      </w:r>
      <w:r w:rsidRPr="00D93F8D">
        <w:rPr>
          <w:b/>
          <w:bCs/>
          <w:lang w:val="es-ES"/>
        </w:rPr>
        <w:t>151)</w:t>
      </w:r>
    </w:p>
    <w:p w:rsidR="009F3E58" w:rsidRPr="009F3E58" w:rsidRDefault="009F3E58" w:rsidP="004841BB">
      <w:pPr>
        <w:pStyle w:val="AnnexNotitle"/>
        <w:rPr>
          <w:lang w:val="es-ES"/>
        </w:rPr>
      </w:pPr>
      <w:r w:rsidRPr="009F3E58">
        <w:rPr>
          <w:lang w:val="es-ES"/>
        </w:rPr>
        <w:t>Mandato del Grupo Regional para África de la Comisión de Estudio 17</w:t>
      </w:r>
      <w:r w:rsidR="004841BB">
        <w:rPr>
          <w:lang w:val="es-ES"/>
        </w:rPr>
        <w:t xml:space="preserve"> </w:t>
      </w:r>
      <w:r w:rsidR="004841BB">
        <w:rPr>
          <w:lang w:val="es-ES"/>
        </w:rPr>
        <w:br/>
      </w:r>
      <w:r w:rsidRPr="009F3E58">
        <w:rPr>
          <w:lang w:val="es-ES"/>
        </w:rPr>
        <w:t>del UIT-T (GR CE17-AFR)</w:t>
      </w:r>
    </w:p>
    <w:p w:rsidR="009F3E58" w:rsidRPr="009F3E58" w:rsidRDefault="00A679B7" w:rsidP="001032BC">
      <w:pPr>
        <w:ind w:right="-194"/>
        <w:rPr>
          <w:rFonts w:cstheme="majorBidi"/>
          <w:szCs w:val="24"/>
          <w:lang w:val="es-ES"/>
        </w:rPr>
      </w:pPr>
      <w:r>
        <w:rPr>
          <w:rFonts w:cstheme="majorBidi"/>
          <w:szCs w:val="24"/>
          <w:lang w:val="es-ES"/>
        </w:rPr>
        <w:t xml:space="preserve">La seguridad de las TIC se considera uno de los principales desafíos para los países tanto desarrollados como en desarrollo. </w:t>
      </w:r>
      <w:r w:rsidR="001032BC">
        <w:rPr>
          <w:rFonts w:cstheme="majorBidi"/>
          <w:szCs w:val="24"/>
          <w:lang w:val="es-ES"/>
        </w:rPr>
        <w:t>Con el fin de</w:t>
      </w:r>
      <w:r>
        <w:rPr>
          <w:rFonts w:cstheme="majorBidi"/>
          <w:szCs w:val="24"/>
          <w:lang w:val="es-ES"/>
        </w:rPr>
        <w:t xml:space="preserve"> </w:t>
      </w:r>
      <w:r w:rsidR="001032BC">
        <w:rPr>
          <w:rFonts w:cstheme="majorBidi"/>
          <w:szCs w:val="24"/>
          <w:lang w:val="es-ES"/>
        </w:rPr>
        <w:t>alcanzar</w:t>
      </w:r>
      <w:r>
        <w:rPr>
          <w:rFonts w:cstheme="majorBidi"/>
          <w:szCs w:val="24"/>
          <w:lang w:val="es-ES"/>
        </w:rPr>
        <w:t xml:space="preserve"> su meta </w:t>
      </w:r>
      <w:r w:rsidR="001032BC">
        <w:rPr>
          <w:rFonts w:cstheme="majorBidi"/>
          <w:szCs w:val="24"/>
          <w:lang w:val="es-ES"/>
        </w:rPr>
        <w:t xml:space="preserve">en materia </w:t>
      </w:r>
      <w:r>
        <w:rPr>
          <w:rFonts w:cstheme="majorBidi"/>
          <w:szCs w:val="24"/>
          <w:lang w:val="es-ES"/>
        </w:rPr>
        <w:t>de crea</w:t>
      </w:r>
      <w:r w:rsidR="001032BC">
        <w:rPr>
          <w:rFonts w:cstheme="majorBidi"/>
          <w:szCs w:val="24"/>
          <w:lang w:val="es-ES"/>
        </w:rPr>
        <w:t>ción</w:t>
      </w:r>
      <w:r>
        <w:rPr>
          <w:rFonts w:cstheme="majorBidi"/>
          <w:szCs w:val="24"/>
          <w:lang w:val="es-ES"/>
        </w:rPr>
        <w:t xml:space="preserve"> </w:t>
      </w:r>
      <w:r w:rsidR="001032BC">
        <w:rPr>
          <w:rFonts w:cstheme="majorBidi"/>
          <w:szCs w:val="24"/>
          <w:lang w:val="es-ES"/>
        </w:rPr>
        <w:t xml:space="preserve">de </w:t>
      </w:r>
      <w:r>
        <w:rPr>
          <w:rFonts w:cstheme="majorBidi"/>
          <w:szCs w:val="24"/>
          <w:lang w:val="es-ES"/>
        </w:rPr>
        <w:t xml:space="preserve">confianza y seguridad en la utilización de las tecnologías de la información y la comunicación (TIC), la UIT ha adaptado diversas Resoluciones relacionadas con la seguridad: </w:t>
      </w:r>
    </w:p>
    <w:p w:rsidR="009F3E58" w:rsidRPr="009F3E58" w:rsidRDefault="004841BB" w:rsidP="004841BB">
      <w:pPr>
        <w:pStyle w:val="enumlev1"/>
        <w:rPr>
          <w:lang w:val="es-ES"/>
        </w:rPr>
      </w:pPr>
      <w:r w:rsidRPr="004841BB">
        <w:rPr>
          <w:lang w:val="es-ES"/>
        </w:rPr>
        <w:t>•</w:t>
      </w:r>
      <w:r>
        <w:rPr>
          <w:lang w:val="es-ES"/>
        </w:rPr>
        <w:tab/>
      </w:r>
      <w:r w:rsidR="00BF47AF">
        <w:rPr>
          <w:lang w:val="es-ES"/>
        </w:rPr>
        <w:t>Resoluciones de la Conferencia de Plenipotenciarios de la UIT</w:t>
      </w:r>
      <w:r w:rsidR="009F3E58" w:rsidRPr="009F3E58">
        <w:rPr>
          <w:lang w:val="es-ES"/>
        </w:rPr>
        <w:t>: 181 (Guadalajara, 2010), 130, 174, 179, 188, 189, 198, 199, 200, 201 (</w:t>
      </w:r>
      <w:proofErr w:type="spellStart"/>
      <w:r w:rsidR="00BF47AF" w:rsidRPr="009F3E58">
        <w:rPr>
          <w:lang w:val="es-ES"/>
        </w:rPr>
        <w:t>Busán</w:t>
      </w:r>
      <w:proofErr w:type="spellEnd"/>
      <w:r w:rsidR="009F3E58" w:rsidRPr="009F3E58">
        <w:rPr>
          <w:lang w:val="es-ES"/>
        </w:rPr>
        <w:t xml:space="preserve"> 2014);</w:t>
      </w:r>
    </w:p>
    <w:p w:rsidR="009F3E58" w:rsidRPr="009F3E58" w:rsidRDefault="004841BB" w:rsidP="004841BB">
      <w:pPr>
        <w:pStyle w:val="enumlev1"/>
        <w:rPr>
          <w:lang w:val="es-ES"/>
        </w:rPr>
      </w:pPr>
      <w:r w:rsidRPr="004841BB">
        <w:rPr>
          <w:lang w:val="es-ES"/>
        </w:rPr>
        <w:t>•</w:t>
      </w:r>
      <w:r>
        <w:rPr>
          <w:lang w:val="es-ES"/>
        </w:rPr>
        <w:tab/>
      </w:r>
      <w:r w:rsidR="00BF47AF">
        <w:rPr>
          <w:lang w:val="es-ES"/>
        </w:rPr>
        <w:t>Resoluciones de la CMDT de la UIT</w:t>
      </w:r>
      <w:r w:rsidR="009F3E58" w:rsidRPr="009F3E58">
        <w:rPr>
          <w:lang w:val="es-ES"/>
        </w:rPr>
        <w:t xml:space="preserve">: 34, 45, 67, 69, 79 (Rev. </w:t>
      </w:r>
      <w:r w:rsidR="00BF47AF" w:rsidRPr="009F3E58">
        <w:rPr>
          <w:lang w:val="es-ES"/>
        </w:rPr>
        <w:t>Dubái</w:t>
      </w:r>
      <w:r w:rsidR="009F3E58" w:rsidRPr="009F3E58">
        <w:rPr>
          <w:lang w:val="es-ES"/>
        </w:rPr>
        <w:t>, 2014);</w:t>
      </w:r>
    </w:p>
    <w:p w:rsidR="009F3E58" w:rsidRPr="009F3E58" w:rsidRDefault="004841BB" w:rsidP="004841BB">
      <w:pPr>
        <w:pStyle w:val="enumlev1"/>
        <w:rPr>
          <w:lang w:val="es-ES"/>
        </w:rPr>
      </w:pPr>
      <w:r w:rsidRPr="004841BB">
        <w:rPr>
          <w:lang w:val="es-ES"/>
        </w:rPr>
        <w:t>•</w:t>
      </w:r>
      <w:r>
        <w:rPr>
          <w:lang w:val="es-ES"/>
        </w:rPr>
        <w:tab/>
      </w:r>
      <w:r w:rsidR="00BF47AF">
        <w:rPr>
          <w:lang w:val="es-ES"/>
        </w:rPr>
        <w:t>Resoluciones de la AMNT de la UIT</w:t>
      </w:r>
      <w:r w:rsidR="009F3E58" w:rsidRPr="009F3E58">
        <w:rPr>
          <w:lang w:val="es-ES"/>
        </w:rPr>
        <w:t xml:space="preserve">: 50, 52, 58 (Rev. </w:t>
      </w:r>
      <w:r w:rsidR="00BF47AF" w:rsidRPr="009F3E58">
        <w:rPr>
          <w:lang w:val="es-ES"/>
        </w:rPr>
        <w:t>Dubái</w:t>
      </w:r>
      <w:r w:rsidR="009F3E58" w:rsidRPr="009F3E58">
        <w:rPr>
          <w:lang w:val="es-ES"/>
        </w:rPr>
        <w:t>, 2012).</w:t>
      </w:r>
    </w:p>
    <w:p w:rsidR="009F3E58" w:rsidRPr="009F3E58" w:rsidRDefault="00BF47AF" w:rsidP="001032BC">
      <w:pPr>
        <w:spacing w:before="240"/>
        <w:ind w:right="-193"/>
        <w:rPr>
          <w:rFonts w:cstheme="majorBidi"/>
          <w:szCs w:val="24"/>
          <w:lang w:val="es-ES"/>
        </w:rPr>
      </w:pPr>
      <w:r>
        <w:rPr>
          <w:rFonts w:cstheme="majorBidi"/>
          <w:szCs w:val="24"/>
          <w:lang w:val="es-ES"/>
        </w:rPr>
        <w:t xml:space="preserve">Además, la mejora de la seguridad y la creación de confianza en el uso de las aplicaciones de TIC </w:t>
      </w:r>
      <w:proofErr w:type="gramStart"/>
      <w:r>
        <w:rPr>
          <w:rFonts w:cstheme="majorBidi"/>
          <w:szCs w:val="24"/>
          <w:lang w:val="es-ES"/>
        </w:rPr>
        <w:t>constituye</w:t>
      </w:r>
      <w:proofErr w:type="gramEnd"/>
      <w:r>
        <w:rPr>
          <w:rFonts w:cstheme="majorBidi"/>
          <w:szCs w:val="24"/>
          <w:lang w:val="es-ES"/>
        </w:rPr>
        <w:t xml:space="preserve"> uno de los ámbitos prioritarios para el Objetivo 3 del Plan de Acción de Dubái</w:t>
      </w:r>
      <w:r w:rsidR="001032BC">
        <w:rPr>
          <w:rFonts w:cstheme="majorBidi"/>
          <w:szCs w:val="24"/>
          <w:lang w:val="es-ES"/>
        </w:rPr>
        <w:t>,</w:t>
      </w:r>
      <w:r>
        <w:rPr>
          <w:rFonts w:cstheme="majorBidi"/>
          <w:szCs w:val="24"/>
          <w:lang w:val="es-ES"/>
        </w:rPr>
        <w:t xml:space="preserve"> adoptado por la Conferencia Mundial de Desarrollo de las Telecomunicaciones </w:t>
      </w:r>
      <w:r w:rsidR="001032BC">
        <w:rPr>
          <w:rFonts w:cstheme="majorBidi"/>
          <w:szCs w:val="24"/>
          <w:lang w:val="es-ES"/>
        </w:rPr>
        <w:t>en</w:t>
      </w:r>
      <w:r>
        <w:rPr>
          <w:rFonts w:cstheme="majorBidi"/>
          <w:szCs w:val="24"/>
          <w:lang w:val="es-ES"/>
        </w:rPr>
        <w:t xml:space="preserve"> 2014. </w:t>
      </w:r>
    </w:p>
    <w:p w:rsidR="009F3E58" w:rsidRPr="009F3E58" w:rsidRDefault="00BF47AF" w:rsidP="00BF47AF">
      <w:pPr>
        <w:ind w:right="-194"/>
        <w:rPr>
          <w:rFonts w:cstheme="majorBidi"/>
          <w:szCs w:val="24"/>
          <w:lang w:val="es-ES"/>
        </w:rPr>
      </w:pPr>
      <w:r>
        <w:rPr>
          <w:rFonts w:cstheme="majorBidi"/>
          <w:szCs w:val="24"/>
          <w:lang w:val="es-ES"/>
        </w:rPr>
        <w:t>Teniendo en cuenta las Resoluciones arriba mencionadas, y teniendo presentes las Resoluciones 17 (</w:t>
      </w:r>
      <w:r w:rsidRPr="00BF47AF">
        <w:rPr>
          <w:rFonts w:cstheme="majorBidi"/>
          <w:szCs w:val="24"/>
          <w:lang w:val="es-ES"/>
        </w:rPr>
        <w:t>Normalización de telecomunicaciones en relación con los intereses de los países en desarrollo</w:t>
      </w:r>
      <w:r>
        <w:rPr>
          <w:rFonts w:cstheme="majorBidi"/>
          <w:szCs w:val="24"/>
          <w:lang w:val="es-ES"/>
        </w:rPr>
        <w:t>) y 44 (</w:t>
      </w:r>
      <w:r w:rsidRPr="00BF47AF">
        <w:rPr>
          <w:rFonts w:cstheme="majorBidi"/>
          <w:szCs w:val="24"/>
          <w:lang w:val="es-ES"/>
        </w:rPr>
        <w:t>Reducción de la disparidad entre los países en desarrollo y los desarrollados en materia de normalización</w:t>
      </w:r>
      <w:r>
        <w:rPr>
          <w:rFonts w:cstheme="majorBidi"/>
          <w:szCs w:val="24"/>
          <w:lang w:val="es-ES"/>
        </w:rPr>
        <w:t>) de la AMNT-12, y la Resolución 123 de la Conferencia de Plenipotenciarios, la plenaria de clausura de la CE</w:t>
      </w:r>
      <w:r w:rsidR="004841BB">
        <w:rPr>
          <w:rFonts w:cstheme="majorBidi"/>
          <w:szCs w:val="24"/>
          <w:lang w:val="es-ES"/>
        </w:rPr>
        <w:t xml:space="preserve"> </w:t>
      </w:r>
      <w:r>
        <w:rPr>
          <w:rFonts w:cstheme="majorBidi"/>
          <w:szCs w:val="24"/>
          <w:lang w:val="es-ES"/>
        </w:rPr>
        <w:t>17 (17 de abril de 2015</w:t>
      </w:r>
      <w:r w:rsidR="004841BB">
        <w:rPr>
          <w:rFonts w:cstheme="majorBidi"/>
          <w:szCs w:val="24"/>
          <w:lang w:val="es-ES"/>
        </w:rPr>
        <w:t xml:space="preserve">) creó el Grupo Regional de la </w:t>
      </w:r>
      <w:r>
        <w:rPr>
          <w:rFonts w:cstheme="majorBidi"/>
          <w:szCs w:val="24"/>
          <w:lang w:val="es-ES"/>
        </w:rPr>
        <w:t>CE</w:t>
      </w:r>
      <w:r w:rsidR="004841BB">
        <w:rPr>
          <w:rFonts w:cstheme="majorBidi"/>
          <w:szCs w:val="24"/>
          <w:lang w:val="es-ES"/>
        </w:rPr>
        <w:t xml:space="preserve"> </w:t>
      </w:r>
      <w:r>
        <w:rPr>
          <w:rFonts w:cstheme="majorBidi"/>
          <w:szCs w:val="24"/>
          <w:lang w:val="es-ES"/>
        </w:rPr>
        <w:t xml:space="preserve">17 para África con arreglo a lo dispuesto en la </w:t>
      </w:r>
      <w:r w:rsidR="00275BE7">
        <w:rPr>
          <w:rFonts w:cstheme="majorBidi"/>
          <w:szCs w:val="24"/>
          <w:lang w:val="es-ES"/>
        </w:rPr>
        <w:t xml:space="preserve">Resolución </w:t>
      </w:r>
      <w:r>
        <w:rPr>
          <w:rFonts w:cstheme="majorBidi"/>
          <w:szCs w:val="24"/>
          <w:lang w:val="es-ES"/>
        </w:rPr>
        <w:t>54 de la AMNT-12.</w:t>
      </w:r>
    </w:p>
    <w:p w:rsidR="009F3E58" w:rsidRPr="009F3E58" w:rsidRDefault="00A679B7" w:rsidP="009F3E58">
      <w:pPr>
        <w:spacing w:before="240"/>
        <w:ind w:right="-193"/>
        <w:rPr>
          <w:rFonts w:cstheme="majorBidi"/>
          <w:b/>
          <w:bCs/>
          <w:szCs w:val="24"/>
          <w:lang w:val="es-ES"/>
        </w:rPr>
      </w:pPr>
      <w:r w:rsidRPr="009F3E58">
        <w:rPr>
          <w:rFonts w:cstheme="majorBidi"/>
          <w:b/>
          <w:bCs/>
          <w:szCs w:val="24"/>
          <w:lang w:val="es-ES"/>
        </w:rPr>
        <w:t>Objetivos</w:t>
      </w:r>
    </w:p>
    <w:p w:rsidR="009F3E58" w:rsidRPr="009F3E58" w:rsidRDefault="00BC5F26" w:rsidP="001032BC">
      <w:pPr>
        <w:spacing w:before="240"/>
        <w:ind w:right="-193"/>
        <w:rPr>
          <w:rFonts w:cstheme="majorBidi"/>
          <w:szCs w:val="24"/>
          <w:lang w:val="es-ES"/>
        </w:rPr>
      </w:pPr>
      <w:r w:rsidRPr="00BC5F26">
        <w:rPr>
          <w:rFonts w:cstheme="majorBidi"/>
          <w:szCs w:val="24"/>
          <w:lang w:val="es-ES"/>
        </w:rPr>
        <w:t>El objetivo principal del Grupo Regional será alentar a las autoridades y operadores nacionales de los países de África a trabajar conjuntamente y contribuir mejor a las actividades de la CE 1</w:t>
      </w:r>
      <w:r>
        <w:rPr>
          <w:rFonts w:cstheme="majorBidi"/>
          <w:szCs w:val="24"/>
          <w:lang w:val="es-ES"/>
        </w:rPr>
        <w:t>7</w:t>
      </w:r>
      <w:r w:rsidRPr="00BC5F26">
        <w:rPr>
          <w:rFonts w:cstheme="majorBidi"/>
          <w:szCs w:val="24"/>
          <w:lang w:val="es-ES"/>
        </w:rPr>
        <w:t xml:space="preserve"> del UIT-T en general</w:t>
      </w:r>
      <w:r w:rsidR="001032BC">
        <w:rPr>
          <w:rFonts w:cstheme="majorBidi"/>
          <w:szCs w:val="24"/>
          <w:lang w:val="es-ES"/>
        </w:rPr>
        <w:t>,</w:t>
      </w:r>
      <w:r w:rsidRPr="00BC5F26">
        <w:rPr>
          <w:rFonts w:cstheme="majorBidi"/>
          <w:szCs w:val="24"/>
          <w:lang w:val="es-ES"/>
        </w:rPr>
        <w:t xml:space="preserve"> y </w:t>
      </w:r>
      <w:r>
        <w:rPr>
          <w:rFonts w:cstheme="majorBidi"/>
          <w:szCs w:val="24"/>
          <w:lang w:val="es-ES"/>
        </w:rPr>
        <w:t xml:space="preserve">en particular </w:t>
      </w:r>
      <w:r w:rsidR="001032BC">
        <w:rPr>
          <w:rFonts w:cstheme="majorBidi"/>
          <w:szCs w:val="24"/>
          <w:lang w:val="es-ES"/>
        </w:rPr>
        <w:t>en lo que atañe</w:t>
      </w:r>
      <w:r>
        <w:rPr>
          <w:rFonts w:cstheme="majorBidi"/>
          <w:szCs w:val="24"/>
          <w:lang w:val="es-ES"/>
        </w:rPr>
        <w:t xml:space="preserve"> al </w:t>
      </w:r>
      <w:r w:rsidRPr="00BC5F26">
        <w:rPr>
          <w:rFonts w:cstheme="majorBidi"/>
          <w:szCs w:val="24"/>
          <w:lang w:val="es-ES"/>
        </w:rPr>
        <w:t>mandato de la CE 1</w:t>
      </w:r>
      <w:r>
        <w:rPr>
          <w:rFonts w:cstheme="majorBidi"/>
          <w:szCs w:val="24"/>
          <w:lang w:val="es-ES"/>
        </w:rPr>
        <w:t>7</w:t>
      </w:r>
      <w:r w:rsidRPr="00BC5F26">
        <w:rPr>
          <w:rFonts w:cstheme="majorBidi"/>
          <w:szCs w:val="24"/>
          <w:lang w:val="es-ES"/>
        </w:rPr>
        <w:t>.</w:t>
      </w:r>
      <w:r>
        <w:rPr>
          <w:rFonts w:cstheme="majorBidi"/>
          <w:szCs w:val="24"/>
          <w:lang w:val="es-ES"/>
        </w:rPr>
        <w:t xml:space="preserve"> </w:t>
      </w:r>
    </w:p>
    <w:p w:rsidR="009F3E58" w:rsidRPr="009F3E58" w:rsidRDefault="00BC5F26" w:rsidP="009F3E58">
      <w:pPr>
        <w:spacing w:before="240"/>
        <w:ind w:right="-193"/>
        <w:rPr>
          <w:rFonts w:cstheme="majorBidi"/>
          <w:b/>
          <w:bCs/>
          <w:szCs w:val="24"/>
          <w:lang w:val="es-ES"/>
        </w:rPr>
      </w:pPr>
      <w:r>
        <w:rPr>
          <w:rFonts w:cstheme="majorBidi"/>
          <w:b/>
          <w:bCs/>
          <w:szCs w:val="24"/>
          <w:lang w:val="es-ES"/>
        </w:rPr>
        <w:t>Mandato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="00BC5F26" w:rsidRPr="00BC5F26">
        <w:rPr>
          <w:lang w:val="es-ES"/>
        </w:rPr>
        <w:t>Alentar la participación activa de las Administraciones, reguladores y operadores africanos en las actividades de la CE 1</w:t>
      </w:r>
      <w:r w:rsidR="00BC5F26">
        <w:rPr>
          <w:lang w:val="es-ES"/>
        </w:rPr>
        <w:t>7</w:t>
      </w:r>
      <w:r w:rsidR="00BC5F26" w:rsidRPr="00BC5F26">
        <w:rPr>
          <w:lang w:val="es-ES"/>
        </w:rPr>
        <w:t xml:space="preserve"> del UIT-T</w:t>
      </w:r>
      <w:r w:rsidR="001032BC">
        <w:rPr>
          <w:lang w:val="es-ES"/>
        </w:rPr>
        <w:t>,</w:t>
      </w:r>
      <w:r w:rsidR="00BC5F26" w:rsidRPr="00BC5F26">
        <w:rPr>
          <w:lang w:val="es-ES"/>
        </w:rPr>
        <w:t xml:space="preserve"> e informar</w:t>
      </w:r>
      <w:r w:rsidR="00BC5F26">
        <w:rPr>
          <w:lang w:val="es-ES"/>
        </w:rPr>
        <w:t xml:space="preserve"> periódicamente acerca</w:t>
      </w:r>
      <w:r w:rsidR="00BC5F26" w:rsidRPr="00BC5F26">
        <w:rPr>
          <w:lang w:val="es-ES"/>
        </w:rPr>
        <w:t xml:space="preserve"> de los resultados </w:t>
      </w:r>
      <w:r w:rsidR="00BC5F26">
        <w:rPr>
          <w:lang w:val="es-ES"/>
        </w:rPr>
        <w:t>y productos finales</w:t>
      </w:r>
      <w:r>
        <w:rPr>
          <w:lang w:val="es-ES"/>
        </w:rPr>
        <w:t>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="00BF47AF">
        <w:rPr>
          <w:lang w:val="es-ES"/>
        </w:rPr>
        <w:t>Facilitar la participación de los Estados Miembros y Miembros de Sector de la Región de África en las reuniones del UIT-T</w:t>
      </w:r>
      <w:r>
        <w:rPr>
          <w:lang w:val="es-ES"/>
        </w:rPr>
        <w:t xml:space="preserve"> relacionadas con la seguridad.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</w:r>
      <w:r w:rsidR="00BF47AF">
        <w:rPr>
          <w:lang w:val="es-ES"/>
        </w:rPr>
        <w:t>Definir con las demás partes interesadas las prioridades pertinentes de la regi</w:t>
      </w:r>
      <w:r>
        <w:rPr>
          <w:lang w:val="es-ES"/>
        </w:rPr>
        <w:t>ón en el campo de la seguridad.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</w:r>
      <w:r w:rsidR="00BF47AF">
        <w:rPr>
          <w:lang w:val="es-ES"/>
        </w:rPr>
        <w:t xml:space="preserve">Fortalecer la capacidad normativa en la Región de África con arreglo a lo dispuesto en la Resolución 44 de la AMNT-12 sobre </w:t>
      </w:r>
      <w:r w:rsidR="009F3E58" w:rsidRPr="009F3E58">
        <w:rPr>
          <w:lang w:val="es-ES"/>
        </w:rPr>
        <w:t>"</w:t>
      </w:r>
      <w:r w:rsidR="00BF47AF" w:rsidRPr="00BF47AF">
        <w:rPr>
          <w:lang w:val="es-ES"/>
        </w:rPr>
        <w:t>Reducción de la disparidad entre los países en desarrollo y los desarrollados en materia de normalización</w:t>
      </w:r>
      <w:r w:rsidR="009F3E58" w:rsidRPr="009F3E58">
        <w:rPr>
          <w:lang w:val="es-ES"/>
        </w:rPr>
        <w:t xml:space="preserve">" (Rev. </w:t>
      </w:r>
      <w:r w:rsidR="00BF47AF" w:rsidRPr="009F3E58">
        <w:rPr>
          <w:lang w:val="es-ES"/>
        </w:rPr>
        <w:t>Dubái</w:t>
      </w:r>
      <w:r>
        <w:rPr>
          <w:lang w:val="es-ES"/>
        </w:rPr>
        <w:t>, 2012).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</w:r>
      <w:r w:rsidR="009D28B9">
        <w:rPr>
          <w:lang w:val="es-ES"/>
        </w:rPr>
        <w:t>Alentar a los países africanos a contribuir activamente a la labor del UIT-T para la elaboración de Recomendaciones sobre seguridad</w:t>
      </w:r>
      <w:r>
        <w:rPr>
          <w:lang w:val="es-ES"/>
        </w:rPr>
        <w:t>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</w:r>
      <w:r w:rsidR="009D28B9">
        <w:rPr>
          <w:lang w:val="es-ES"/>
        </w:rPr>
        <w:t>Difundir y compartir la información pertinente proporcionada por la CE</w:t>
      </w:r>
      <w:r>
        <w:rPr>
          <w:lang w:val="es-ES"/>
        </w:rPr>
        <w:t xml:space="preserve"> </w:t>
      </w:r>
      <w:r w:rsidR="009D28B9">
        <w:rPr>
          <w:lang w:val="es-ES"/>
        </w:rPr>
        <w:t>17 del UIT-T y otros organismos técnicos simila</w:t>
      </w:r>
      <w:r>
        <w:rPr>
          <w:lang w:val="es-ES"/>
        </w:rPr>
        <w:t>res en cuestiones de seguridad.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lastRenderedPageBreak/>
        <w:t>g)</w:t>
      </w:r>
      <w:r>
        <w:rPr>
          <w:lang w:val="es-ES"/>
        </w:rPr>
        <w:tab/>
      </w:r>
      <w:r w:rsidR="009D28B9">
        <w:rPr>
          <w:lang w:val="es-ES"/>
        </w:rPr>
        <w:t xml:space="preserve">Prestar asistencia a las administraciones, los organismos reguladores y los operadores de África para la aplicación práctica de </w:t>
      </w:r>
      <w:r>
        <w:rPr>
          <w:lang w:val="es-ES"/>
        </w:rPr>
        <w:t>las Recomendaciones del UIT-T.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h)</w:t>
      </w:r>
      <w:r>
        <w:rPr>
          <w:lang w:val="es-ES"/>
        </w:rPr>
        <w:tab/>
      </w:r>
      <w:r w:rsidR="009D28B9">
        <w:rPr>
          <w:lang w:val="es-ES"/>
        </w:rPr>
        <w:t>Definir las necesidades de formación en materia de seguridad para los operadores y los organismos reguladores de África, y coordinar la organización de cursillos técnicos en la región sobre temas definidos conjuntamente con la CE</w:t>
      </w:r>
      <w:r>
        <w:rPr>
          <w:lang w:val="es-ES"/>
        </w:rPr>
        <w:t xml:space="preserve"> 17 del UIT-T.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i)</w:t>
      </w:r>
      <w:r>
        <w:rPr>
          <w:lang w:val="es-ES"/>
        </w:rPr>
        <w:tab/>
      </w:r>
      <w:r w:rsidR="009F3E58" w:rsidRPr="009F3E58">
        <w:rPr>
          <w:lang w:val="es-ES"/>
        </w:rPr>
        <w:t>Act</w:t>
      </w:r>
      <w:r w:rsidR="009D28B9">
        <w:rPr>
          <w:lang w:val="es-ES"/>
        </w:rPr>
        <w:t xml:space="preserve">uar como órgano de coordinación entre las administraciones, los operadores y los organismos reguladores de África y el UIT-T en las cuestiones relativa a las </w:t>
      </w:r>
      <w:r>
        <w:rPr>
          <w:lang w:val="es-ES"/>
        </w:rPr>
        <w:t>normas de seguridad de las TIC.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j)</w:t>
      </w:r>
      <w:r>
        <w:rPr>
          <w:lang w:val="es-ES"/>
        </w:rPr>
        <w:tab/>
      </w:r>
      <w:r w:rsidR="009D28B9">
        <w:rPr>
          <w:lang w:val="es-ES"/>
        </w:rPr>
        <w:t>Colaborar con la Unión Africana de Telecomunicaciones (UAT) y otros o</w:t>
      </w:r>
      <w:r>
        <w:rPr>
          <w:lang w:val="es-ES"/>
        </w:rPr>
        <w:t>rganismos regionales de África.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k)</w:t>
      </w:r>
      <w:r>
        <w:rPr>
          <w:lang w:val="es-ES"/>
        </w:rPr>
        <w:tab/>
      </w:r>
      <w:r w:rsidR="009D28B9">
        <w:rPr>
          <w:lang w:val="es-ES"/>
        </w:rPr>
        <w:t>Fomentar los debates sobre los desafíos de seguridad de las TIC a los que se enfrentan los Est</w:t>
      </w:r>
      <w:r>
        <w:rPr>
          <w:lang w:val="es-ES"/>
        </w:rPr>
        <w:t>ados Miembros en el continente.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l)</w:t>
      </w:r>
      <w:r>
        <w:rPr>
          <w:lang w:val="es-ES"/>
        </w:rPr>
        <w:tab/>
      </w:r>
      <w:r w:rsidR="009D28B9">
        <w:rPr>
          <w:lang w:val="es-ES"/>
        </w:rPr>
        <w:t>Alentar la participación de los países africanos en las reuniones de los Grupos de Relator, los talleres y otros eventos de la Co</w:t>
      </w:r>
      <w:r>
        <w:rPr>
          <w:lang w:val="es-ES"/>
        </w:rPr>
        <w:t>misión de Estudio 17 del UIT-T.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m)</w:t>
      </w:r>
      <w:r>
        <w:rPr>
          <w:lang w:val="es-ES"/>
        </w:rPr>
        <w:tab/>
      </w:r>
      <w:r w:rsidR="009D28B9">
        <w:rPr>
          <w:lang w:val="es-ES"/>
        </w:rPr>
        <w:t xml:space="preserve">Reflejar los verdaderos problemas y necesidades de África en materia de seguridad de las TIC, en estrecha colaboración con organismos regionales como </w:t>
      </w:r>
      <w:r>
        <w:rPr>
          <w:lang w:val="es-ES"/>
        </w:rPr>
        <w:t>Africa-CERT.</w:t>
      </w:r>
    </w:p>
    <w:p w:rsidR="009F3E58" w:rsidRPr="009F3E58" w:rsidRDefault="004841BB" w:rsidP="004841BB">
      <w:pPr>
        <w:pStyle w:val="enumlev1"/>
        <w:rPr>
          <w:lang w:val="es-ES"/>
        </w:rPr>
      </w:pPr>
      <w:r>
        <w:rPr>
          <w:lang w:val="es-ES"/>
        </w:rPr>
        <w:t>n)</w:t>
      </w:r>
      <w:r>
        <w:rPr>
          <w:lang w:val="es-ES"/>
        </w:rPr>
        <w:tab/>
      </w:r>
      <w:r w:rsidR="009D28B9">
        <w:rPr>
          <w:lang w:val="es-ES"/>
        </w:rPr>
        <w:t>El Grupo regional presentará un informe sobre los avances de sus actividades a cada reunión de la CE</w:t>
      </w:r>
      <w:r>
        <w:rPr>
          <w:lang w:val="es-ES"/>
        </w:rPr>
        <w:t> 17.</w:t>
      </w:r>
    </w:p>
    <w:p w:rsidR="009F3E58" w:rsidRPr="009F3E58" w:rsidRDefault="009D28B9" w:rsidP="009F3E58">
      <w:pPr>
        <w:spacing w:before="240"/>
        <w:ind w:right="-193"/>
        <w:rPr>
          <w:rFonts w:cstheme="majorBidi"/>
          <w:b/>
          <w:bCs/>
          <w:szCs w:val="24"/>
          <w:lang w:val="es-ES"/>
        </w:rPr>
      </w:pPr>
      <w:r>
        <w:rPr>
          <w:rFonts w:cstheme="majorBidi"/>
          <w:b/>
          <w:bCs/>
          <w:szCs w:val="24"/>
          <w:lang w:val="es-ES"/>
        </w:rPr>
        <w:t>Métodos de trabajo</w:t>
      </w:r>
    </w:p>
    <w:p w:rsidR="009F3E58" w:rsidRPr="009F3E58" w:rsidRDefault="00027D93" w:rsidP="004841BB">
      <w:pPr>
        <w:rPr>
          <w:lang w:val="es-ES"/>
        </w:rPr>
      </w:pPr>
      <w:r>
        <w:rPr>
          <w:lang w:val="es-ES"/>
        </w:rPr>
        <w:t>El Grupo Regional trabajará esencialmente por medios electrónicos y por correspondencia a través de los coordinadores designados, y estudiará la posibilidad de celebrar reuniones presenciales cuando sea posible.</w:t>
      </w:r>
    </w:p>
    <w:p w:rsidR="009F3E58" w:rsidRPr="009F3E58" w:rsidRDefault="009F3E58" w:rsidP="009F3E58">
      <w:pPr>
        <w:overflowPunct/>
        <w:autoSpaceDE/>
        <w:autoSpaceDN/>
        <w:adjustRightInd/>
        <w:spacing w:before="0"/>
        <w:jc w:val="center"/>
        <w:textAlignment w:val="auto"/>
        <w:rPr>
          <w:lang w:val="es-ES"/>
        </w:rPr>
      </w:pPr>
      <w:r w:rsidRPr="009F3E58">
        <w:rPr>
          <w:lang w:val="es-ES"/>
        </w:rPr>
        <w:t>_____________</w:t>
      </w:r>
    </w:p>
    <w:p w:rsidR="009F3E58" w:rsidRPr="009F3E58" w:rsidRDefault="009F3E58" w:rsidP="009F3E58">
      <w:pPr>
        <w:rPr>
          <w:lang w:val="es-ES"/>
        </w:rPr>
      </w:pPr>
    </w:p>
    <w:sectPr w:rsidR="009F3E58" w:rsidRPr="009F3E58" w:rsidSect="007C4D5C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BC" w:rsidRDefault="001032BC">
      <w:r>
        <w:separator/>
      </w:r>
    </w:p>
  </w:endnote>
  <w:endnote w:type="continuationSeparator" w:id="0">
    <w:p w:rsidR="001032BC" w:rsidRDefault="0010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8D" w:rsidRPr="00D93F8D" w:rsidRDefault="00D93F8D" w:rsidP="00D93F8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D93F8D">
      <w:rPr>
        <w:caps/>
        <w:noProof/>
        <w:sz w:val="16"/>
        <w:lang w:val="fr-CH"/>
      </w:rPr>
      <w:t>I</w:t>
    </w:r>
    <w:r>
      <w:rPr>
        <w:caps/>
        <w:noProof/>
        <w:sz w:val="16"/>
        <w:lang w:val="fr-CH"/>
      </w:rPr>
      <w:t>TU-T\BUREAU\CIRC\151S</w:t>
    </w:r>
    <w:r w:rsidRPr="00D93F8D">
      <w:rPr>
        <w:caps/>
        <w:noProof/>
        <w:sz w:val="16"/>
        <w:lang w:val="fr-CH"/>
      </w:rPr>
      <w:t>.DOC</w:t>
    </w:r>
  </w:p>
  <w:p w:rsidR="00FB2243" w:rsidRPr="00D93F8D" w:rsidRDefault="00FB2243" w:rsidP="00D93F8D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43" w:rsidRPr="006E4F7B" w:rsidRDefault="00FB2243" w:rsidP="00FB2243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>Tel</w:t>
    </w:r>
    <w:r>
      <w:rPr>
        <w:color w:val="3E8EDE"/>
        <w:szCs w:val="18"/>
        <w:lang w:val="es-ES"/>
      </w:rPr>
      <w:t>.</w:t>
    </w:r>
    <w:r w:rsidRPr="006E4F7B">
      <w:rPr>
        <w:color w:val="3E8EDE"/>
        <w:szCs w:val="18"/>
        <w:lang w:val="es-ES"/>
      </w:rPr>
      <w:t xml:space="preserve">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BC" w:rsidRDefault="001032BC">
      <w:r>
        <w:t>____________________</w:t>
      </w:r>
    </w:p>
  </w:footnote>
  <w:footnote w:type="continuationSeparator" w:id="0">
    <w:p w:rsidR="001032BC" w:rsidRDefault="0010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BC" w:rsidRPr="00C54B94" w:rsidRDefault="008F328C" w:rsidP="00C54B94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2128041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032BC" w:rsidRPr="00C71830">
          <w:rPr>
            <w:sz w:val="18"/>
            <w:szCs w:val="18"/>
          </w:rPr>
          <w:t xml:space="preserve">- </w:t>
        </w:r>
        <w:r w:rsidR="001032BC" w:rsidRPr="00C71830">
          <w:rPr>
            <w:sz w:val="18"/>
            <w:szCs w:val="18"/>
          </w:rPr>
          <w:fldChar w:fldCharType="begin"/>
        </w:r>
        <w:r w:rsidR="001032BC" w:rsidRPr="00C71830">
          <w:rPr>
            <w:sz w:val="18"/>
            <w:szCs w:val="18"/>
          </w:rPr>
          <w:instrText xml:space="preserve"> PAGE   \* MERGEFORMAT </w:instrText>
        </w:r>
        <w:r w:rsidR="001032BC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1032BC" w:rsidRPr="00C71830">
          <w:rPr>
            <w:noProof/>
            <w:sz w:val="18"/>
            <w:szCs w:val="18"/>
          </w:rPr>
          <w:fldChar w:fldCharType="end"/>
        </w:r>
      </w:sdtContent>
    </w:sdt>
    <w:r w:rsidR="001032BC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11F81A9D"/>
    <w:multiLevelType w:val="hybridMultilevel"/>
    <w:tmpl w:val="6E182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D32B6"/>
    <w:multiLevelType w:val="hybridMultilevel"/>
    <w:tmpl w:val="5DF0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27D93"/>
    <w:rsid w:val="000655DC"/>
    <w:rsid w:val="0008199F"/>
    <w:rsid w:val="000C382F"/>
    <w:rsid w:val="000E5BDB"/>
    <w:rsid w:val="001032BC"/>
    <w:rsid w:val="001173CC"/>
    <w:rsid w:val="0012626F"/>
    <w:rsid w:val="001345C8"/>
    <w:rsid w:val="00136B4F"/>
    <w:rsid w:val="00156E01"/>
    <w:rsid w:val="0018738A"/>
    <w:rsid w:val="001A54CC"/>
    <w:rsid w:val="001D0F71"/>
    <w:rsid w:val="001D2406"/>
    <w:rsid w:val="002060D2"/>
    <w:rsid w:val="00227E0B"/>
    <w:rsid w:val="002371FD"/>
    <w:rsid w:val="00257FB4"/>
    <w:rsid w:val="002629C7"/>
    <w:rsid w:val="002647EE"/>
    <w:rsid w:val="00275BE7"/>
    <w:rsid w:val="00292BC7"/>
    <w:rsid w:val="002B69BA"/>
    <w:rsid w:val="002C458C"/>
    <w:rsid w:val="002D56EB"/>
    <w:rsid w:val="002F7693"/>
    <w:rsid w:val="00303D62"/>
    <w:rsid w:val="0032027C"/>
    <w:rsid w:val="00335367"/>
    <w:rsid w:val="0033788E"/>
    <w:rsid w:val="00362B58"/>
    <w:rsid w:val="003650C3"/>
    <w:rsid w:val="00370C2D"/>
    <w:rsid w:val="003B2F3C"/>
    <w:rsid w:val="003C4562"/>
    <w:rsid w:val="003D1E8D"/>
    <w:rsid w:val="003D673B"/>
    <w:rsid w:val="003D67E6"/>
    <w:rsid w:val="003D772D"/>
    <w:rsid w:val="003E6F3F"/>
    <w:rsid w:val="003F2855"/>
    <w:rsid w:val="00401C20"/>
    <w:rsid w:val="004106E4"/>
    <w:rsid w:val="00433057"/>
    <w:rsid w:val="0045286A"/>
    <w:rsid w:val="004631CD"/>
    <w:rsid w:val="00473C67"/>
    <w:rsid w:val="004841BB"/>
    <w:rsid w:val="004C4144"/>
    <w:rsid w:val="004D64FB"/>
    <w:rsid w:val="004F2327"/>
    <w:rsid w:val="00524889"/>
    <w:rsid w:val="005766CC"/>
    <w:rsid w:val="00585F1A"/>
    <w:rsid w:val="005B4C33"/>
    <w:rsid w:val="005C5647"/>
    <w:rsid w:val="005D58E5"/>
    <w:rsid w:val="005E4971"/>
    <w:rsid w:val="00600C3C"/>
    <w:rsid w:val="00606945"/>
    <w:rsid w:val="006301C1"/>
    <w:rsid w:val="006505D3"/>
    <w:rsid w:val="0065336B"/>
    <w:rsid w:val="00680055"/>
    <w:rsid w:val="00690CB7"/>
    <w:rsid w:val="006969B4"/>
    <w:rsid w:val="006B109C"/>
    <w:rsid w:val="006D672E"/>
    <w:rsid w:val="00713B6A"/>
    <w:rsid w:val="007147B5"/>
    <w:rsid w:val="00716008"/>
    <w:rsid w:val="007162F7"/>
    <w:rsid w:val="00717065"/>
    <w:rsid w:val="00732044"/>
    <w:rsid w:val="00781E2A"/>
    <w:rsid w:val="00787DB9"/>
    <w:rsid w:val="007A27A6"/>
    <w:rsid w:val="007A6231"/>
    <w:rsid w:val="007C4D5C"/>
    <w:rsid w:val="007E7B88"/>
    <w:rsid w:val="007F24CA"/>
    <w:rsid w:val="0080001A"/>
    <w:rsid w:val="0081605C"/>
    <w:rsid w:val="008258C2"/>
    <w:rsid w:val="00843CB9"/>
    <w:rsid w:val="008505BD"/>
    <w:rsid w:val="00850C78"/>
    <w:rsid w:val="00867CFA"/>
    <w:rsid w:val="0087184C"/>
    <w:rsid w:val="008B1B7C"/>
    <w:rsid w:val="008B4E40"/>
    <w:rsid w:val="008B7C66"/>
    <w:rsid w:val="008C17AD"/>
    <w:rsid w:val="008C3577"/>
    <w:rsid w:val="008D02CD"/>
    <w:rsid w:val="008E0CED"/>
    <w:rsid w:val="008E6571"/>
    <w:rsid w:val="008F328C"/>
    <w:rsid w:val="009029DA"/>
    <w:rsid w:val="0095172A"/>
    <w:rsid w:val="0096182A"/>
    <w:rsid w:val="009D28B9"/>
    <w:rsid w:val="009F3E58"/>
    <w:rsid w:val="00A14F8C"/>
    <w:rsid w:val="00A37BD9"/>
    <w:rsid w:val="00A54E47"/>
    <w:rsid w:val="00A63641"/>
    <w:rsid w:val="00A679B7"/>
    <w:rsid w:val="00A8138F"/>
    <w:rsid w:val="00AA5EA3"/>
    <w:rsid w:val="00AC2476"/>
    <w:rsid w:val="00AE7093"/>
    <w:rsid w:val="00AF7CF7"/>
    <w:rsid w:val="00B422BC"/>
    <w:rsid w:val="00B43F77"/>
    <w:rsid w:val="00B63BCC"/>
    <w:rsid w:val="00B7684B"/>
    <w:rsid w:val="00B8115D"/>
    <w:rsid w:val="00B8443C"/>
    <w:rsid w:val="00B87768"/>
    <w:rsid w:val="00B95F0A"/>
    <w:rsid w:val="00B96180"/>
    <w:rsid w:val="00BC5F26"/>
    <w:rsid w:val="00BD1FC9"/>
    <w:rsid w:val="00BD5DE4"/>
    <w:rsid w:val="00BF47AF"/>
    <w:rsid w:val="00C10AAB"/>
    <w:rsid w:val="00C16EC7"/>
    <w:rsid w:val="00C17AC0"/>
    <w:rsid w:val="00C34772"/>
    <w:rsid w:val="00C44811"/>
    <w:rsid w:val="00C54B94"/>
    <w:rsid w:val="00C71830"/>
    <w:rsid w:val="00C86FC0"/>
    <w:rsid w:val="00CA698B"/>
    <w:rsid w:val="00CB67BE"/>
    <w:rsid w:val="00D13EC6"/>
    <w:rsid w:val="00D27439"/>
    <w:rsid w:val="00D63583"/>
    <w:rsid w:val="00D6595F"/>
    <w:rsid w:val="00D65FB6"/>
    <w:rsid w:val="00D70905"/>
    <w:rsid w:val="00D85CD6"/>
    <w:rsid w:val="00D93F8D"/>
    <w:rsid w:val="00DA3670"/>
    <w:rsid w:val="00DB00AF"/>
    <w:rsid w:val="00DD77C9"/>
    <w:rsid w:val="00DF0242"/>
    <w:rsid w:val="00E00176"/>
    <w:rsid w:val="00E15522"/>
    <w:rsid w:val="00E36C68"/>
    <w:rsid w:val="00E624E2"/>
    <w:rsid w:val="00E839B0"/>
    <w:rsid w:val="00E901EE"/>
    <w:rsid w:val="00E92C09"/>
    <w:rsid w:val="00EA2089"/>
    <w:rsid w:val="00EC2012"/>
    <w:rsid w:val="00ED0D13"/>
    <w:rsid w:val="00ED5EC5"/>
    <w:rsid w:val="00F16058"/>
    <w:rsid w:val="00F6461F"/>
    <w:rsid w:val="00FB2243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24889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A3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67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13sg17rgafr@lists.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7/sg17rga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65BF-1384-4305-AC41-287B6495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4</Pages>
  <Words>1133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7203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151S.DOCX  For: _x000d_Document date: _x000d_Saved by ITU51006837 at 11:33:06 on 21/05/15</dc:description>
  <cp:lastModifiedBy>Aveline, Marion</cp:lastModifiedBy>
  <cp:revision>5</cp:revision>
  <cp:lastPrinted>2015-05-21T11:53:00Z</cp:lastPrinted>
  <dcterms:created xsi:type="dcterms:W3CDTF">2015-05-21T11:52:00Z</dcterms:created>
  <dcterms:modified xsi:type="dcterms:W3CDTF">2015-05-21T11:53:00Z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