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174602" w:rsidTr="00ED5CDF">
        <w:trPr>
          <w:cantSplit/>
          <w:trHeight w:val="15"/>
        </w:trPr>
        <w:tc>
          <w:tcPr>
            <w:tcW w:w="1418" w:type="dxa"/>
            <w:gridSpan w:val="2"/>
            <w:vAlign w:val="center"/>
          </w:tcPr>
          <w:p w:rsidR="00174602" w:rsidRPr="009A54D9" w:rsidRDefault="00174602" w:rsidP="00ED5CDF">
            <w:pPr>
              <w:pStyle w:val="Tabletext"/>
              <w:jc w:val="center"/>
            </w:pPr>
            <w:bookmarkStart w:id="0" w:name="ditulogo"/>
            <w:bookmarkStart w:id="1" w:name="_GoBack"/>
            <w:bookmarkEnd w:id="0"/>
            <w:bookmarkEnd w:id="1"/>
            <w:r>
              <w:rPr>
                <w:noProof/>
                <w:lang w:val="en-US" w:eastAsia="zh-CN"/>
              </w:rPr>
              <w:drawing>
                <wp:inline distT="0" distB="0" distL="0" distR="0" wp14:anchorId="5A07273A" wp14:editId="5F78C09F">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174602" w:rsidRDefault="00174602" w:rsidP="00ED5CDF">
            <w:pPr>
              <w:spacing w:before="0"/>
              <w:rPr>
                <w:rFonts w:cs="Times New Roman Bold"/>
                <w:b/>
                <w:bCs/>
                <w:smallCaps/>
                <w:sz w:val="26"/>
                <w:szCs w:val="26"/>
              </w:rPr>
            </w:pPr>
            <w:r w:rsidRPr="00C27BDB">
              <w:rPr>
                <w:rFonts w:cs="Times New Roman Bold"/>
                <w:b/>
                <w:bCs/>
                <w:smallCaps/>
                <w:sz w:val="36"/>
                <w:szCs w:val="36"/>
              </w:rPr>
              <w:t>International telecommunication union</w:t>
            </w:r>
          </w:p>
          <w:p w:rsidR="00174602" w:rsidRPr="00F50108" w:rsidRDefault="00174602" w:rsidP="00ED5CDF">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174602" w:rsidRPr="00F50108" w:rsidRDefault="00174602" w:rsidP="00ED5CDF">
            <w:pPr>
              <w:spacing w:before="0"/>
              <w:jc w:val="right"/>
              <w:rPr>
                <w:rFonts w:ascii="Verdana" w:hAnsi="Verdana"/>
                <w:color w:val="FFFFFF"/>
                <w:sz w:val="26"/>
                <w:szCs w:val="26"/>
              </w:rPr>
            </w:pPr>
            <w:r>
              <w:rPr>
                <w:noProof/>
                <w:lang w:val="en-US" w:eastAsia="zh-CN"/>
              </w:rPr>
              <w:drawing>
                <wp:inline distT="0" distB="0" distL="0" distR="0" wp14:anchorId="36828AD3" wp14:editId="49148C2E">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174602" w:rsidTr="00ED6A9E">
        <w:trPr>
          <w:cantSplit/>
          <w:trHeight w:val="254"/>
        </w:trPr>
        <w:tc>
          <w:tcPr>
            <w:tcW w:w="5245" w:type="dxa"/>
            <w:gridSpan w:val="3"/>
            <w:vAlign w:val="center"/>
          </w:tcPr>
          <w:p w:rsidR="00174602" w:rsidRDefault="00174602" w:rsidP="00ED5CDF">
            <w:pPr>
              <w:pStyle w:val="Tabletext"/>
              <w:jc w:val="right"/>
            </w:pPr>
          </w:p>
        </w:tc>
        <w:tc>
          <w:tcPr>
            <w:tcW w:w="4536" w:type="dxa"/>
            <w:gridSpan w:val="2"/>
            <w:vAlign w:val="center"/>
          </w:tcPr>
          <w:p w:rsidR="00174602" w:rsidRDefault="00174602" w:rsidP="00037CE6">
            <w:pPr>
              <w:pStyle w:val="Tabletext"/>
              <w:spacing w:before="480" w:after="120"/>
            </w:pPr>
            <w:r>
              <w:t xml:space="preserve">Geneva, </w:t>
            </w:r>
            <w:r w:rsidR="00037CE6">
              <w:t xml:space="preserve">13 </w:t>
            </w:r>
            <w:r w:rsidRPr="003879C1">
              <w:t>May</w:t>
            </w:r>
            <w:r>
              <w:t xml:space="preserve"> 2015</w:t>
            </w:r>
          </w:p>
        </w:tc>
      </w:tr>
      <w:tr w:rsidR="00174602" w:rsidTr="00ED6A9E">
        <w:trPr>
          <w:cantSplit/>
          <w:trHeight w:val="746"/>
        </w:trPr>
        <w:tc>
          <w:tcPr>
            <w:tcW w:w="1098" w:type="dxa"/>
          </w:tcPr>
          <w:p w:rsidR="00174602" w:rsidRPr="00F36AC4" w:rsidRDefault="00174602" w:rsidP="00ED5CDF">
            <w:pPr>
              <w:pStyle w:val="Tabletext"/>
              <w:rPr>
                <w:rFonts w:ascii="Futura Lt BT" w:hAnsi="Futura Lt BT"/>
              </w:rPr>
            </w:pPr>
            <w:bookmarkStart w:id="2" w:name="Adress_E" w:colFirst="2" w:colLast="2"/>
            <w:r w:rsidRPr="00F36AC4">
              <w:t>Ref:</w:t>
            </w:r>
          </w:p>
        </w:tc>
        <w:tc>
          <w:tcPr>
            <w:tcW w:w="4147" w:type="dxa"/>
            <w:gridSpan w:val="2"/>
          </w:tcPr>
          <w:p w:rsidR="00174602" w:rsidRPr="00F36AC4" w:rsidRDefault="00174602" w:rsidP="00ED5CDF">
            <w:pPr>
              <w:pStyle w:val="Tabletext"/>
            </w:pPr>
            <w:r>
              <w:rPr>
                <w:b/>
              </w:rPr>
              <w:t xml:space="preserve">TSB </w:t>
            </w:r>
            <w:r w:rsidR="00BB4274">
              <w:rPr>
                <w:b/>
              </w:rPr>
              <w:t xml:space="preserve">Circular </w:t>
            </w:r>
            <w:r w:rsidR="003879C1">
              <w:rPr>
                <w:b/>
              </w:rPr>
              <w:t>151</w:t>
            </w:r>
            <w:r w:rsidR="00BB4274">
              <w:rPr>
                <w:b/>
              </w:rPr>
              <w:br/>
            </w:r>
            <w:r w:rsidR="00BB4274" w:rsidRPr="00BB4274">
              <w:rPr>
                <w:bCs/>
              </w:rPr>
              <w:t>COM 17/MEU</w:t>
            </w:r>
          </w:p>
        </w:tc>
        <w:tc>
          <w:tcPr>
            <w:tcW w:w="4536" w:type="dxa"/>
            <w:gridSpan w:val="2"/>
            <w:vMerge w:val="restart"/>
          </w:tcPr>
          <w:p w:rsidR="00174602" w:rsidRDefault="00ED5CDF" w:rsidP="00ED5CDF">
            <w:pPr>
              <w:pStyle w:val="Tabletext"/>
              <w:ind w:left="283" w:hanging="283"/>
            </w:pPr>
            <w:r>
              <w:t>-</w:t>
            </w:r>
            <w:r w:rsidR="003879C1">
              <w:tab/>
              <w:t>To Administrations of Member States of the Union, to ITU-T Sector Members, to ITU-T Associates and to ITU-T Academia from the Africa Region</w:t>
            </w:r>
          </w:p>
        </w:tc>
      </w:tr>
      <w:bookmarkEnd w:id="2"/>
      <w:tr w:rsidR="00174602" w:rsidTr="00ED6A9E">
        <w:trPr>
          <w:cantSplit/>
          <w:trHeight w:val="221"/>
        </w:trPr>
        <w:tc>
          <w:tcPr>
            <w:tcW w:w="1098" w:type="dxa"/>
          </w:tcPr>
          <w:p w:rsidR="00174602" w:rsidRPr="00F36AC4" w:rsidRDefault="00174602" w:rsidP="00ED5CDF">
            <w:pPr>
              <w:pStyle w:val="Tabletext"/>
            </w:pPr>
            <w:r w:rsidRPr="00F36AC4">
              <w:t>Tel:</w:t>
            </w:r>
          </w:p>
        </w:tc>
        <w:tc>
          <w:tcPr>
            <w:tcW w:w="4147" w:type="dxa"/>
            <w:gridSpan w:val="2"/>
          </w:tcPr>
          <w:p w:rsidR="00174602" w:rsidRPr="00F36AC4" w:rsidRDefault="00174602" w:rsidP="00ED5CDF">
            <w:pPr>
              <w:pStyle w:val="Tabletext"/>
              <w:rPr>
                <w:b/>
              </w:rPr>
            </w:pPr>
            <w:r w:rsidRPr="00F36AC4">
              <w:t>+41 22 730</w:t>
            </w:r>
            <w:r>
              <w:t xml:space="preserve"> 5866</w:t>
            </w:r>
          </w:p>
        </w:tc>
        <w:tc>
          <w:tcPr>
            <w:tcW w:w="4536" w:type="dxa"/>
            <w:gridSpan w:val="2"/>
            <w:vMerge/>
          </w:tcPr>
          <w:p w:rsidR="00174602" w:rsidRDefault="00174602" w:rsidP="00ED5CDF">
            <w:pPr>
              <w:pStyle w:val="Tabletext"/>
              <w:ind w:left="142" w:hanging="142"/>
            </w:pPr>
          </w:p>
        </w:tc>
      </w:tr>
      <w:tr w:rsidR="00174602" w:rsidTr="00ED6A9E">
        <w:trPr>
          <w:cantSplit/>
          <w:trHeight w:val="282"/>
        </w:trPr>
        <w:tc>
          <w:tcPr>
            <w:tcW w:w="1098" w:type="dxa"/>
          </w:tcPr>
          <w:p w:rsidR="00174602" w:rsidRPr="00F36AC4" w:rsidRDefault="00174602" w:rsidP="00ED5CDF">
            <w:pPr>
              <w:pStyle w:val="Tabletext"/>
            </w:pPr>
            <w:r w:rsidRPr="00F36AC4">
              <w:t>Fax:</w:t>
            </w:r>
          </w:p>
        </w:tc>
        <w:tc>
          <w:tcPr>
            <w:tcW w:w="4147" w:type="dxa"/>
            <w:gridSpan w:val="2"/>
          </w:tcPr>
          <w:p w:rsidR="00174602" w:rsidRPr="00F36AC4" w:rsidRDefault="00174602" w:rsidP="00ED5CDF">
            <w:pPr>
              <w:pStyle w:val="Tabletext"/>
              <w:rPr>
                <w:b/>
              </w:rPr>
            </w:pPr>
            <w:r w:rsidRPr="00F36AC4">
              <w:t>+41 22 730 5853</w:t>
            </w:r>
          </w:p>
        </w:tc>
        <w:tc>
          <w:tcPr>
            <w:tcW w:w="4536" w:type="dxa"/>
            <w:gridSpan w:val="2"/>
            <w:vMerge/>
          </w:tcPr>
          <w:p w:rsidR="00174602" w:rsidRDefault="00174602" w:rsidP="00ED5CDF">
            <w:pPr>
              <w:pStyle w:val="Tabletext"/>
              <w:ind w:left="142" w:hanging="142"/>
            </w:pPr>
          </w:p>
        </w:tc>
      </w:tr>
      <w:tr w:rsidR="00174602" w:rsidTr="00B357DD">
        <w:trPr>
          <w:cantSplit/>
          <w:trHeight w:val="6424"/>
        </w:trPr>
        <w:tc>
          <w:tcPr>
            <w:tcW w:w="1098" w:type="dxa"/>
          </w:tcPr>
          <w:p w:rsidR="00174602" w:rsidRPr="00F36AC4" w:rsidRDefault="00174602" w:rsidP="00ED5CDF">
            <w:pPr>
              <w:pStyle w:val="Tabletext"/>
            </w:pPr>
            <w:r w:rsidRPr="00F36AC4">
              <w:t>E-mail:</w:t>
            </w:r>
          </w:p>
        </w:tc>
        <w:tc>
          <w:tcPr>
            <w:tcW w:w="4147" w:type="dxa"/>
            <w:gridSpan w:val="2"/>
          </w:tcPr>
          <w:p w:rsidR="00174602" w:rsidRPr="00F36AC4" w:rsidRDefault="00DD142A" w:rsidP="00ED5CDF">
            <w:pPr>
              <w:pStyle w:val="Tabletext"/>
            </w:pPr>
            <w:hyperlink r:id="rId10" w:history="1">
              <w:r w:rsidR="00174602" w:rsidRPr="00B56BC3">
                <w:rPr>
                  <w:rStyle w:val="Hyperlink"/>
                  <w:szCs w:val="22"/>
                </w:rPr>
                <w:t>tsbsg17@itu.int</w:t>
              </w:r>
            </w:hyperlink>
            <w:r w:rsidR="00174602" w:rsidRPr="00F36AC4">
              <w:t xml:space="preserve"> </w:t>
            </w:r>
          </w:p>
        </w:tc>
        <w:tc>
          <w:tcPr>
            <w:tcW w:w="4536" w:type="dxa"/>
            <w:gridSpan w:val="2"/>
          </w:tcPr>
          <w:p w:rsidR="00697F0A" w:rsidRDefault="00697F0A" w:rsidP="00ED5CDF">
            <w:pPr>
              <w:pStyle w:val="Tabletext"/>
              <w:rPr>
                <w:b/>
              </w:rPr>
            </w:pPr>
            <w:r>
              <w:rPr>
                <w:b/>
              </w:rPr>
              <w:t>Copy:</w:t>
            </w:r>
          </w:p>
          <w:p w:rsidR="003879C1" w:rsidRDefault="003879C1" w:rsidP="00ED5CDF">
            <w:pPr>
              <w:pStyle w:val="Tabletext"/>
              <w:ind w:left="283" w:hanging="283"/>
            </w:pPr>
            <w:r>
              <w:t>-</w:t>
            </w:r>
            <w:r>
              <w:tab/>
              <w:t xml:space="preserve">To the </w:t>
            </w:r>
            <w:r w:rsidRPr="00283448">
              <w:t>African Telecommunication Union (ATU)</w:t>
            </w:r>
            <w:r>
              <w:t>;</w:t>
            </w:r>
          </w:p>
          <w:p w:rsidR="003879C1" w:rsidRDefault="003879C1" w:rsidP="00ED5CDF">
            <w:pPr>
              <w:pStyle w:val="Tabletext"/>
              <w:ind w:left="283" w:hanging="283"/>
            </w:pPr>
            <w:r>
              <w:t>-</w:t>
            </w:r>
            <w:r>
              <w:tab/>
              <w:t xml:space="preserve">To </w:t>
            </w:r>
            <w:r w:rsidRPr="00283448">
              <w:t>African ICT Consumers Network (AICN)</w:t>
            </w:r>
            <w:r w:rsidR="00ED6A9E">
              <w:t xml:space="preserve">; </w:t>
            </w:r>
          </w:p>
          <w:p w:rsidR="003879C1" w:rsidRDefault="003879C1" w:rsidP="00ED5CDF">
            <w:pPr>
              <w:pStyle w:val="Tabletext"/>
              <w:ind w:left="283" w:hanging="283"/>
            </w:pPr>
            <w:r>
              <w:t>-</w:t>
            </w:r>
            <w:r>
              <w:tab/>
              <w:t xml:space="preserve">To </w:t>
            </w:r>
            <w:r w:rsidRPr="00283448">
              <w:t>Economic Community of West African States (ECOWAS)</w:t>
            </w:r>
            <w:r w:rsidR="00ED6A9E">
              <w:t>;</w:t>
            </w:r>
          </w:p>
          <w:p w:rsidR="003879C1" w:rsidRDefault="003879C1" w:rsidP="00ED5CDF">
            <w:pPr>
              <w:pStyle w:val="Tabletext"/>
              <w:ind w:left="283" w:hanging="283"/>
            </w:pPr>
            <w:r>
              <w:t>-</w:t>
            </w:r>
            <w:r>
              <w:tab/>
              <w:t xml:space="preserve">To </w:t>
            </w:r>
            <w:r w:rsidRPr="00FD041B">
              <w:t>East African Communication Organisation (EACO)</w:t>
            </w:r>
            <w:r w:rsidR="00ED6A9E">
              <w:t>;</w:t>
            </w:r>
          </w:p>
          <w:p w:rsidR="003879C1" w:rsidRDefault="003879C1" w:rsidP="00ED5CDF">
            <w:pPr>
              <w:pStyle w:val="Tabletext"/>
              <w:ind w:left="283" w:hanging="283"/>
            </w:pPr>
            <w:r>
              <w:t>-</w:t>
            </w:r>
            <w:r>
              <w:tab/>
              <w:t>To the League of Arab States</w:t>
            </w:r>
            <w:r w:rsidR="000A36D4">
              <w:t>;</w:t>
            </w:r>
          </w:p>
          <w:p w:rsidR="003879C1" w:rsidRDefault="003879C1" w:rsidP="00ED5CDF">
            <w:pPr>
              <w:pStyle w:val="Tabletext"/>
              <w:ind w:left="283" w:hanging="283"/>
            </w:pPr>
            <w:r>
              <w:t>-</w:t>
            </w:r>
            <w:r>
              <w:tab/>
              <w:t>To the ITU Regional Office for Africa Region</w:t>
            </w:r>
            <w:r w:rsidR="000A36D4">
              <w:t>;</w:t>
            </w:r>
          </w:p>
          <w:p w:rsidR="000A36D4" w:rsidRDefault="000A36D4" w:rsidP="00ED5CDF">
            <w:pPr>
              <w:pStyle w:val="Tabletext"/>
              <w:ind w:left="283" w:hanging="283"/>
            </w:pPr>
            <w:r>
              <w:t>-</w:t>
            </w:r>
            <w:r>
              <w:tab/>
              <w:t>To the ITU Area offices for Africa;</w:t>
            </w:r>
          </w:p>
          <w:p w:rsidR="00697F0A" w:rsidRDefault="00697F0A" w:rsidP="00ED5CDF">
            <w:pPr>
              <w:pStyle w:val="Tabletext"/>
              <w:tabs>
                <w:tab w:val="clear" w:pos="284"/>
                <w:tab w:val="left" w:pos="283"/>
              </w:tabs>
              <w:ind w:left="283" w:hanging="283"/>
            </w:pPr>
            <w:r>
              <w:t>-</w:t>
            </w:r>
            <w:r>
              <w:tab/>
              <w:t>To the Chairman and Vice-Chairmen of Study Group 17;</w:t>
            </w:r>
          </w:p>
          <w:p w:rsidR="00697F0A" w:rsidRDefault="00ED6A9E" w:rsidP="00ED5CDF">
            <w:pPr>
              <w:pStyle w:val="Tabletext"/>
              <w:tabs>
                <w:tab w:val="clear" w:pos="284"/>
                <w:tab w:val="left" w:pos="283"/>
              </w:tabs>
              <w:ind w:left="283" w:hanging="283"/>
            </w:pPr>
            <w:r>
              <w:t>-</w:t>
            </w:r>
            <w:r>
              <w:tab/>
              <w:t>To the Chairman and Vice-</w:t>
            </w:r>
            <w:r w:rsidR="00697F0A">
              <w:t xml:space="preserve">Chairmen of </w:t>
            </w:r>
            <w:r w:rsidR="00E305CF" w:rsidRPr="00E305CF">
              <w:t>Study Group 17 Regional Group for Africa</w:t>
            </w:r>
            <w:r w:rsidR="003879C1">
              <w:t>;</w:t>
            </w:r>
          </w:p>
          <w:p w:rsidR="00697F0A" w:rsidRDefault="003879C1" w:rsidP="00037CE6">
            <w:pPr>
              <w:pStyle w:val="Tabletext"/>
              <w:tabs>
                <w:tab w:val="clear" w:pos="284"/>
                <w:tab w:val="left" w:pos="283"/>
              </w:tabs>
              <w:ind w:left="283" w:hanging="283"/>
            </w:pPr>
            <w:r>
              <w:t>-</w:t>
            </w:r>
            <w:r>
              <w:tab/>
            </w:r>
            <w:r w:rsidR="00697F0A">
              <w:t>To the Director of the Telecommunication Development Bureau;</w:t>
            </w:r>
          </w:p>
          <w:p w:rsidR="00174602" w:rsidRDefault="00697F0A" w:rsidP="00ED5CDF">
            <w:pPr>
              <w:pStyle w:val="Tabletext"/>
              <w:ind w:left="283" w:hanging="283"/>
            </w:pPr>
            <w:r>
              <w:t>-</w:t>
            </w:r>
            <w:r>
              <w:tab/>
              <w:t>To the Director of the Radiocommunication Bureau</w:t>
            </w:r>
          </w:p>
        </w:tc>
      </w:tr>
      <w:tr w:rsidR="00174602" w:rsidRPr="009B6449" w:rsidTr="00ED5CDF">
        <w:trPr>
          <w:cantSplit/>
          <w:trHeight w:val="80"/>
        </w:trPr>
        <w:tc>
          <w:tcPr>
            <w:tcW w:w="1098" w:type="dxa"/>
          </w:tcPr>
          <w:p w:rsidR="00174602" w:rsidRPr="009B6449" w:rsidRDefault="00174602" w:rsidP="00ED5CDF">
            <w:pPr>
              <w:pStyle w:val="Tabletext"/>
            </w:pPr>
            <w:r w:rsidRPr="009B6449">
              <w:t>Subject:</w:t>
            </w:r>
          </w:p>
        </w:tc>
        <w:tc>
          <w:tcPr>
            <w:tcW w:w="8683" w:type="dxa"/>
            <w:gridSpan w:val="4"/>
          </w:tcPr>
          <w:p w:rsidR="00174602" w:rsidRPr="009B6449" w:rsidRDefault="00697F0A" w:rsidP="00ED5CDF">
            <w:pPr>
              <w:pStyle w:val="Tabletext"/>
            </w:pPr>
            <w:r>
              <w:rPr>
                <w:b/>
                <w:bCs/>
              </w:rPr>
              <w:t xml:space="preserve">Creation of </w:t>
            </w:r>
            <w:r w:rsidR="00E305CF" w:rsidRPr="00E305CF">
              <w:rPr>
                <w:b/>
                <w:bCs/>
              </w:rPr>
              <w:t xml:space="preserve">ITU-T Study Group 17 </w:t>
            </w:r>
            <w:r w:rsidR="00ED6A9E">
              <w:rPr>
                <w:b/>
                <w:bCs/>
              </w:rPr>
              <w:t xml:space="preserve">Regional Group for Africa (SG17 </w:t>
            </w:r>
            <w:r w:rsidR="00E305CF" w:rsidRPr="00E305CF">
              <w:rPr>
                <w:b/>
                <w:bCs/>
              </w:rPr>
              <w:t>RG-AFR)</w:t>
            </w:r>
          </w:p>
        </w:tc>
      </w:tr>
    </w:tbl>
    <w:p w:rsidR="000B46FB" w:rsidRDefault="000B46FB" w:rsidP="006A3852">
      <w:pPr>
        <w:spacing w:before="480"/>
      </w:pPr>
      <w:bookmarkStart w:id="3" w:name="StartTyping_E"/>
      <w:bookmarkEnd w:id="3"/>
      <w:r>
        <w:t>Dear Sir/Madam,</w:t>
      </w:r>
    </w:p>
    <w:p w:rsidR="00697F0A" w:rsidRDefault="001C0948" w:rsidP="008B2093">
      <w:r>
        <w:lastRenderedPageBreak/>
        <w:t xml:space="preserve">It is my pleasure to </w:t>
      </w:r>
      <w:r w:rsidR="008B2093">
        <w:t xml:space="preserve">inform you that ITU-T Study Group 17, </w:t>
      </w:r>
      <w:r w:rsidR="008B2093" w:rsidRPr="008B2093">
        <w:rPr>
          <w:i/>
          <w:iCs/>
        </w:rPr>
        <w:t>Security</w:t>
      </w:r>
      <w:r w:rsidR="008B2093">
        <w:t xml:space="preserve">, at its </w:t>
      </w:r>
      <w:r w:rsidR="00257A4F">
        <w:t xml:space="preserve">17 </w:t>
      </w:r>
      <w:r w:rsidR="008B2093">
        <w:t xml:space="preserve">April 2015 </w:t>
      </w:r>
      <w:r w:rsidR="00257A4F">
        <w:t xml:space="preserve">closing plenary </w:t>
      </w:r>
      <w:r w:rsidR="008B2093">
        <w:t xml:space="preserve">meeting decided to create an </w:t>
      </w:r>
      <w:r w:rsidR="008B2093" w:rsidRPr="008B2093">
        <w:t xml:space="preserve">ITU-T Study Group 17 </w:t>
      </w:r>
      <w:r w:rsidR="00ED6A9E">
        <w:t xml:space="preserve">Regional Group for Africa (SG17 </w:t>
      </w:r>
      <w:r w:rsidR="008B2093" w:rsidRPr="008B2093">
        <w:t>RG-AFR)</w:t>
      </w:r>
      <w:r w:rsidR="004D7411">
        <w:t xml:space="preserve"> </w:t>
      </w:r>
      <w:r w:rsidR="004D7411" w:rsidRPr="00F27F8E">
        <w:rPr>
          <w:rFonts w:cstheme="majorBidi"/>
          <w:szCs w:val="24"/>
        </w:rPr>
        <w:t>as defined in WTSA-12 Resolution 54</w:t>
      </w:r>
      <w:r w:rsidR="008B2093">
        <w:t>.</w:t>
      </w:r>
    </w:p>
    <w:p w:rsidR="008B2093" w:rsidRPr="003108B9" w:rsidRDefault="003108B9" w:rsidP="003879C1">
      <w:r w:rsidRPr="003108B9">
        <w:t xml:space="preserve">Mr </w:t>
      </w:r>
      <w:r w:rsidR="003879C1">
        <w:t>Michael Katundu (Kenya) is the C</w:t>
      </w:r>
      <w:r w:rsidRPr="003108B9">
        <w:t>hairman</w:t>
      </w:r>
      <w:r>
        <w:t>,</w:t>
      </w:r>
      <w:r w:rsidRPr="003108B9">
        <w:t xml:space="preserve"> and Mr Mohamed Elhaj (Sudan)</w:t>
      </w:r>
      <w:r w:rsidR="003879C1">
        <w:t xml:space="preserve">, </w:t>
      </w:r>
      <w:r w:rsidRPr="003108B9">
        <w:t>Mr Patrick Mwesigwa (Uganda) and Mr Mohamed Touré (Guinea)</w:t>
      </w:r>
      <w:r w:rsidR="003879C1">
        <w:t xml:space="preserve"> are the Vice-Chairme</w:t>
      </w:r>
      <w:r>
        <w:t xml:space="preserve">n of the </w:t>
      </w:r>
      <w:r w:rsidRPr="003108B9">
        <w:t>Study Group 17 Regional Group for Africa.</w:t>
      </w:r>
    </w:p>
    <w:p w:rsidR="00697F0A" w:rsidRDefault="005C2D62" w:rsidP="005C2D62">
      <w:r>
        <w:t>Regional Groups have been very effective in coordinating regional contributions to our work, and they are excellent vehicles to organize meetings close to home. Regional Groups also contribute to the inclusivity of the ITU-T standardization process.</w:t>
      </w:r>
    </w:p>
    <w:p w:rsidR="00ED1DF4" w:rsidRDefault="00ED1DF4" w:rsidP="00ED1DF4">
      <w:r>
        <w:t xml:space="preserve">The terms of reference for </w:t>
      </w:r>
      <w:r w:rsidR="00B8350C">
        <w:t xml:space="preserve">the </w:t>
      </w:r>
      <w:r w:rsidRPr="00ED1DF4">
        <w:rPr>
          <w:rFonts w:cstheme="majorBidi"/>
          <w:szCs w:val="24"/>
        </w:rPr>
        <w:t xml:space="preserve">ITU-T Study Group 17 </w:t>
      </w:r>
      <w:r w:rsidR="00ED6A9E">
        <w:rPr>
          <w:rFonts w:cstheme="majorBidi"/>
          <w:szCs w:val="24"/>
        </w:rPr>
        <w:t xml:space="preserve">Regional Group for Africa (SG17 </w:t>
      </w:r>
      <w:r w:rsidRPr="00ED1DF4">
        <w:rPr>
          <w:rFonts w:cstheme="majorBidi"/>
          <w:szCs w:val="24"/>
        </w:rPr>
        <w:t xml:space="preserve">RG-AFR) are set out in </w:t>
      </w:r>
      <w:r>
        <w:rPr>
          <w:b/>
        </w:rPr>
        <w:t>Annex A.</w:t>
      </w:r>
    </w:p>
    <w:p w:rsidR="006F202C" w:rsidRDefault="00ED1DF4" w:rsidP="006F202C">
      <w:r>
        <w:t>A web page is available</w:t>
      </w:r>
      <w:r w:rsidR="00ED6A9E">
        <w:t xml:space="preserve"> at</w:t>
      </w:r>
      <w:r>
        <w:t xml:space="preserve"> </w:t>
      </w:r>
      <w:hyperlink r:id="rId11" w:history="1">
        <w:r w:rsidR="006F202C" w:rsidRPr="007B19DD">
          <w:rPr>
            <w:rStyle w:val="Hyperlink"/>
          </w:rPr>
          <w:t>http://www.itu.int/en/ITU-T/studygroups/2013-2016/17/sg17rgafr</w:t>
        </w:r>
      </w:hyperlink>
      <w:r w:rsidR="006F202C">
        <w:t>.</w:t>
      </w:r>
    </w:p>
    <w:p w:rsidR="00CF6A6C" w:rsidRDefault="006F202C" w:rsidP="00636427">
      <w:r>
        <w:t>A mailing list is available</w:t>
      </w:r>
      <w:r w:rsidR="00ED6A9E">
        <w:t xml:space="preserve"> at</w:t>
      </w:r>
      <w:r>
        <w:t xml:space="preserve"> </w:t>
      </w:r>
      <w:hyperlink r:id="rId12" w:history="1">
        <w:r w:rsidR="00CF6A6C">
          <w:rPr>
            <w:rStyle w:val="Hyperlink"/>
          </w:rPr>
          <w:t>t13sg17rgafr@lists.itu.int</w:t>
        </w:r>
      </w:hyperlink>
      <w:r>
        <w:t>.</w:t>
      </w:r>
    </w:p>
    <w:p w:rsidR="000B46FB" w:rsidRDefault="006F202C" w:rsidP="006F202C">
      <w:pPr>
        <w:spacing w:before="360"/>
      </w:pPr>
      <w:r>
        <w:t>We are looking forward to a fruitful cooperation</w:t>
      </w:r>
      <w:r w:rsidR="00AE0C3A">
        <w:t xml:space="preserve"> and welcome your support of and participation in this SG17 </w:t>
      </w:r>
      <w:r w:rsidR="00AE0C3A" w:rsidRPr="008B2093">
        <w:t>Regional Group for Africa</w:t>
      </w:r>
      <w:r>
        <w:t>.</w:t>
      </w:r>
    </w:p>
    <w:p w:rsidR="000B46FB" w:rsidRDefault="000B46FB" w:rsidP="000B46FB">
      <w:pPr>
        <w:spacing w:before="480"/>
      </w:pPr>
      <w:r>
        <w:t>Yours faithfully,</w:t>
      </w:r>
    </w:p>
    <w:p w:rsidR="00EA3292" w:rsidRPr="0005218B" w:rsidRDefault="00ED6A9E" w:rsidP="00EA3292">
      <w:pPr>
        <w:spacing w:before="1560"/>
        <w:rPr>
          <w:szCs w:val="22"/>
        </w:rPr>
      </w:pPr>
      <w:r>
        <w:rPr>
          <w:szCs w:val="22"/>
          <w:lang w:val="en-US"/>
        </w:rPr>
        <w:lastRenderedPageBreak/>
        <w:t>Chaes</w:t>
      </w:r>
      <w:r w:rsidR="00EA3292" w:rsidRPr="0005218B">
        <w:rPr>
          <w:szCs w:val="22"/>
          <w:lang w:val="en-US"/>
        </w:rPr>
        <w:t>ub Lee</w:t>
      </w:r>
      <w:r w:rsidR="00EA3292" w:rsidRPr="0005218B">
        <w:rPr>
          <w:szCs w:val="22"/>
        </w:rPr>
        <w:br/>
        <w:t>Director of the Telecommunication</w:t>
      </w:r>
      <w:r w:rsidR="00EA3292" w:rsidRPr="0005218B">
        <w:rPr>
          <w:szCs w:val="22"/>
        </w:rPr>
        <w:br/>
        <w:t>Standardization Bureau</w:t>
      </w:r>
    </w:p>
    <w:p w:rsidR="00384E5D" w:rsidRDefault="00D25CAC" w:rsidP="006A3852">
      <w:pPr>
        <w:spacing w:before="1440"/>
      </w:pPr>
      <w:r>
        <w:rPr>
          <w:b/>
          <w:bCs/>
        </w:rPr>
        <w:t>Annex</w:t>
      </w:r>
      <w:r w:rsidR="00384E5D">
        <w:t xml:space="preserve">: </w:t>
      </w:r>
      <w:r w:rsidR="00EA3292">
        <w:t>1</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D25CAC" w:rsidRDefault="00384E5D" w:rsidP="00D25CAC">
      <w:pPr>
        <w:ind w:right="-194"/>
        <w:jc w:val="center"/>
        <w:rPr>
          <w:b/>
          <w:bCs/>
          <w:sz w:val="28"/>
          <w:szCs w:val="28"/>
        </w:rPr>
      </w:pPr>
      <w:r w:rsidRPr="00580DD4">
        <w:rPr>
          <w:b/>
          <w:bCs/>
          <w:sz w:val="28"/>
          <w:szCs w:val="28"/>
        </w:rPr>
        <w:lastRenderedPageBreak/>
        <w:t xml:space="preserve">ANNEX </w:t>
      </w:r>
      <w:r>
        <w:rPr>
          <w:b/>
          <w:bCs/>
          <w:sz w:val="28"/>
          <w:szCs w:val="28"/>
        </w:rPr>
        <w:t>A</w:t>
      </w:r>
      <w:r w:rsidR="00D25CAC">
        <w:rPr>
          <w:b/>
          <w:bCs/>
          <w:sz w:val="28"/>
          <w:szCs w:val="28"/>
        </w:rPr>
        <w:br/>
      </w:r>
      <w:r w:rsidR="00D25CAC" w:rsidRPr="00ED6A9E">
        <w:rPr>
          <w:b/>
          <w:bCs/>
          <w:szCs w:val="24"/>
        </w:rPr>
        <w:t>(to TSB Circular 151)</w:t>
      </w:r>
    </w:p>
    <w:p w:rsidR="00341E7C" w:rsidRPr="00F27F8E" w:rsidRDefault="00341E7C" w:rsidP="00ED1DF4">
      <w:pPr>
        <w:ind w:right="-194"/>
        <w:jc w:val="center"/>
        <w:rPr>
          <w:rFonts w:cstheme="majorBidi"/>
          <w:b/>
          <w:bCs/>
          <w:szCs w:val="24"/>
        </w:rPr>
      </w:pPr>
      <w:r w:rsidRPr="00F27F8E">
        <w:rPr>
          <w:rFonts w:cstheme="majorBidi"/>
          <w:b/>
          <w:bCs/>
          <w:szCs w:val="24"/>
        </w:rPr>
        <w:t>T</w:t>
      </w:r>
      <w:r w:rsidR="005C61C5" w:rsidRPr="00F27F8E">
        <w:rPr>
          <w:rFonts w:cstheme="majorBidi"/>
          <w:b/>
          <w:bCs/>
          <w:szCs w:val="24"/>
        </w:rPr>
        <w:t xml:space="preserve">erms </w:t>
      </w:r>
      <w:r w:rsidRPr="00F27F8E">
        <w:rPr>
          <w:rFonts w:cstheme="majorBidi"/>
          <w:b/>
          <w:bCs/>
          <w:szCs w:val="24"/>
        </w:rPr>
        <w:t>o</w:t>
      </w:r>
      <w:r w:rsidR="005C61C5" w:rsidRPr="00F27F8E">
        <w:rPr>
          <w:rFonts w:cstheme="majorBidi"/>
          <w:b/>
          <w:bCs/>
          <w:szCs w:val="24"/>
        </w:rPr>
        <w:t xml:space="preserve">f </w:t>
      </w:r>
      <w:r w:rsidRPr="00F27F8E">
        <w:rPr>
          <w:rFonts w:cstheme="majorBidi"/>
          <w:b/>
          <w:bCs/>
          <w:szCs w:val="24"/>
        </w:rPr>
        <w:t>R</w:t>
      </w:r>
      <w:r w:rsidR="005C61C5" w:rsidRPr="00F27F8E">
        <w:rPr>
          <w:rFonts w:cstheme="majorBidi"/>
          <w:b/>
          <w:bCs/>
          <w:szCs w:val="24"/>
        </w:rPr>
        <w:t xml:space="preserve">eference </w:t>
      </w:r>
      <w:r w:rsidR="00ED1DF4">
        <w:rPr>
          <w:rFonts w:cstheme="majorBidi"/>
          <w:b/>
          <w:bCs/>
          <w:szCs w:val="24"/>
        </w:rPr>
        <w:t>for</w:t>
      </w:r>
      <w:r w:rsidRPr="00F27F8E">
        <w:rPr>
          <w:rFonts w:cstheme="majorBidi"/>
          <w:b/>
          <w:bCs/>
          <w:szCs w:val="24"/>
        </w:rPr>
        <w:t xml:space="preserve"> </w:t>
      </w:r>
      <w:r w:rsidR="005C61C5" w:rsidRPr="00F27F8E">
        <w:rPr>
          <w:rFonts w:cstheme="majorBidi"/>
          <w:b/>
          <w:bCs/>
          <w:szCs w:val="24"/>
        </w:rPr>
        <w:t>ITU-T Study Group 17 Regional Group for Africa (SG17 RG-AFR)</w:t>
      </w:r>
    </w:p>
    <w:p w:rsidR="00341E7C" w:rsidRPr="00F27F8E" w:rsidRDefault="00341E7C" w:rsidP="00341E7C">
      <w:pPr>
        <w:ind w:right="-194"/>
        <w:rPr>
          <w:rFonts w:cstheme="majorBidi"/>
          <w:szCs w:val="24"/>
        </w:rPr>
      </w:pPr>
      <w:r w:rsidRPr="00F27F8E">
        <w:rPr>
          <w:rFonts w:cstheme="majorBidi"/>
          <w:szCs w:val="24"/>
        </w:rPr>
        <w:t>ICT Security is considered one of the main challenges of developing as well as developed countries. To achieve its goal to build confidence and security in the use of information and communication technologies (ICTs), ITU has adapted a number of resolutions related to security:</w:t>
      </w:r>
    </w:p>
    <w:p w:rsidR="00341E7C" w:rsidRPr="00F27F8E" w:rsidRDefault="00341E7C" w:rsidP="00F27F8E">
      <w:pPr>
        <w:pStyle w:val="ListParagraph"/>
        <w:numPr>
          <w:ilvl w:val="0"/>
          <w:numId w:val="17"/>
        </w:numPr>
        <w:ind w:left="714" w:right="-193" w:hanging="357"/>
        <w:contextualSpacing w:val="0"/>
        <w:rPr>
          <w:rFonts w:asciiTheme="minorHAnsi" w:hAnsiTheme="minorHAnsi" w:cstheme="majorBidi"/>
          <w:szCs w:val="24"/>
        </w:rPr>
      </w:pPr>
      <w:r w:rsidRPr="00F27F8E">
        <w:rPr>
          <w:rFonts w:asciiTheme="minorHAnsi" w:hAnsiTheme="minorHAnsi" w:cstheme="majorBidi"/>
          <w:szCs w:val="24"/>
        </w:rPr>
        <w:t>ITU Plenipotentiary Resolutions: 181 (Guadalajara, 2010), 130, 174, 179, 188, 189, 198, 199, 200, 201 (Busan 2014);</w:t>
      </w:r>
    </w:p>
    <w:p w:rsidR="00341E7C" w:rsidRPr="00F27F8E" w:rsidRDefault="00341E7C" w:rsidP="00F27F8E">
      <w:pPr>
        <w:pStyle w:val="ListParagraph"/>
        <w:numPr>
          <w:ilvl w:val="0"/>
          <w:numId w:val="17"/>
        </w:numPr>
        <w:ind w:left="714" w:right="-193" w:hanging="357"/>
        <w:contextualSpacing w:val="0"/>
        <w:rPr>
          <w:rFonts w:asciiTheme="minorHAnsi" w:hAnsiTheme="minorHAnsi" w:cstheme="majorBidi"/>
          <w:szCs w:val="24"/>
        </w:rPr>
      </w:pPr>
      <w:r w:rsidRPr="00F27F8E">
        <w:rPr>
          <w:rFonts w:asciiTheme="minorHAnsi" w:hAnsiTheme="minorHAnsi" w:cstheme="majorBidi"/>
          <w:szCs w:val="24"/>
        </w:rPr>
        <w:t>ITU WTDC Resolutions: 34, 45, 67, 69, 79 (Rev. Dubai, 2014);</w:t>
      </w:r>
    </w:p>
    <w:p w:rsidR="00341E7C" w:rsidRPr="00F27F8E" w:rsidRDefault="00341E7C" w:rsidP="00F27F8E">
      <w:pPr>
        <w:pStyle w:val="ListParagraph"/>
        <w:numPr>
          <w:ilvl w:val="0"/>
          <w:numId w:val="17"/>
        </w:numPr>
        <w:ind w:left="714" w:right="-193" w:hanging="357"/>
        <w:contextualSpacing w:val="0"/>
        <w:rPr>
          <w:rFonts w:asciiTheme="minorHAnsi" w:hAnsiTheme="minorHAnsi" w:cstheme="majorBidi"/>
          <w:szCs w:val="24"/>
        </w:rPr>
      </w:pPr>
      <w:r w:rsidRPr="00F27F8E">
        <w:rPr>
          <w:rFonts w:asciiTheme="minorHAnsi" w:hAnsiTheme="minorHAnsi" w:cstheme="majorBidi"/>
          <w:szCs w:val="24"/>
        </w:rPr>
        <w:t>ITU WTSA Resolutions: 50, 52, 58 (Rev. Dubai, 2012).</w:t>
      </w:r>
    </w:p>
    <w:p w:rsidR="00341E7C" w:rsidRPr="00F27F8E" w:rsidRDefault="00341E7C" w:rsidP="003108B9">
      <w:pPr>
        <w:spacing w:before="240"/>
        <w:ind w:right="-193"/>
        <w:rPr>
          <w:rFonts w:cstheme="majorBidi"/>
          <w:szCs w:val="24"/>
        </w:rPr>
      </w:pPr>
      <w:r w:rsidRPr="00F27F8E">
        <w:rPr>
          <w:rFonts w:cstheme="majorBidi"/>
          <w:szCs w:val="24"/>
        </w:rPr>
        <w:t>Also enhancing security and building confidence in the use of ICT applications is one of priority domains for objective 3 of the Dubai Action Plan adopted at the 2014 World Telecommunication Development Conference.</w:t>
      </w:r>
    </w:p>
    <w:p w:rsidR="00341E7C" w:rsidRPr="00F27F8E" w:rsidRDefault="00341E7C" w:rsidP="00341E7C">
      <w:pPr>
        <w:ind w:right="-194"/>
        <w:rPr>
          <w:rFonts w:cstheme="majorBidi"/>
          <w:szCs w:val="24"/>
        </w:rPr>
      </w:pPr>
      <w:r w:rsidRPr="00F27F8E">
        <w:rPr>
          <w:rFonts w:cstheme="majorBidi"/>
          <w:szCs w:val="24"/>
        </w:rPr>
        <w:t xml:space="preserve">Taking into account the above-mentioned Resolutions, and considering WTSA-12 Resolutions 17 (Telecommunication standardization in relation to the interests of developing countries) and Resolution 44 (Bridging the standardization Gap between developing and developed countries) and taking into account Resolution 123 of the Plenipotentiary Conference, the closing SG17 Plenary (17 April 2015) </w:t>
      </w:r>
      <w:r w:rsidRPr="00F27F8E">
        <w:rPr>
          <w:rFonts w:cstheme="majorBidi"/>
          <w:szCs w:val="24"/>
        </w:rPr>
        <w:lastRenderedPageBreak/>
        <w:t>created the African Regional Group for SG17 as defined in WTSA-12 Resolution 54.</w:t>
      </w:r>
    </w:p>
    <w:p w:rsidR="00341E7C" w:rsidRPr="00F27F8E" w:rsidRDefault="00341E7C" w:rsidP="003108B9">
      <w:pPr>
        <w:spacing w:before="240"/>
        <w:ind w:right="-193"/>
        <w:rPr>
          <w:rFonts w:cstheme="majorBidi"/>
          <w:b/>
          <w:bCs/>
          <w:szCs w:val="24"/>
        </w:rPr>
      </w:pPr>
      <w:r w:rsidRPr="00F27F8E">
        <w:rPr>
          <w:rFonts w:cstheme="majorBidi"/>
          <w:b/>
          <w:bCs/>
          <w:szCs w:val="24"/>
        </w:rPr>
        <w:t>Objectives</w:t>
      </w:r>
    </w:p>
    <w:p w:rsidR="00341E7C" w:rsidRPr="00F27F8E" w:rsidRDefault="00341E7C" w:rsidP="003108B9">
      <w:pPr>
        <w:spacing w:before="240"/>
        <w:ind w:right="-193"/>
        <w:rPr>
          <w:rFonts w:cstheme="majorBidi"/>
          <w:szCs w:val="24"/>
        </w:rPr>
      </w:pPr>
      <w:r w:rsidRPr="00F27F8E">
        <w:rPr>
          <w:rFonts w:cstheme="majorBidi"/>
          <w:szCs w:val="24"/>
        </w:rPr>
        <w:t>The main objective of the Regional Group will be to encourage national authorities and operators from countries in Africa to work together and better contribute to ITU-T SG17 activities in general and in particular in line with the SG17 mandate.</w:t>
      </w:r>
    </w:p>
    <w:p w:rsidR="00341E7C" w:rsidRPr="00F27F8E" w:rsidRDefault="00341E7C" w:rsidP="003108B9">
      <w:pPr>
        <w:spacing w:before="240"/>
        <w:ind w:right="-193"/>
        <w:rPr>
          <w:rFonts w:cstheme="majorBidi"/>
          <w:b/>
          <w:bCs/>
          <w:szCs w:val="24"/>
        </w:rPr>
      </w:pPr>
      <w:r w:rsidRPr="00F27F8E">
        <w:rPr>
          <w:rFonts w:cstheme="majorBidi"/>
          <w:b/>
          <w:bCs/>
          <w:szCs w:val="24"/>
        </w:rPr>
        <w:t>Terms of reference</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encourage active participation of African administrations, regulators and operators in the work of ITU-T SG17 and to report periodically the outcomes and deliverables;</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facilitate the participation of Member States and Sector Members of the African region in ITU-T meetings related to ICT security;</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identify with other stakeholders the relevant priorities of the region in the field of security;</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strengthen standard-making capabilities within the African region in accordance with WTSA-12 Resolution 44 on "Bridging the Standardization Gap" (Rev. Dubai, 2012);</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encourage African countries to contribute actively in developing ITU-T security Recommendations work;</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disseminate and share relevant information provided by ITU-T SG17 and similar technical bodies on security matters;</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lastRenderedPageBreak/>
        <w:t>Assist African administrations, regulators and operators on implementation of ITU-T Recommendations;</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identify training needs on security for the operators and regulatory authorities in Africa and coordinate the organization of technical tutorials in the region on such topics jointly with ITU-T SG17;</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Act as liaison body between African administrations/operators/regulators and ITU-T in matters relating to ICT security standards;</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collaborate with the African Telecommunication Union (ATU) and with other regional organizations in Africa;</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encourage discussions on ICT security challenges facing member states in the continent;</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encourage participation of African countries in Rapporteur's meetings, workshops and other ITU-T Study Group 17 events;</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To reflect African real problems and needs regarding ICT Security with close collaboration with regional bodies like Africa-CERT;</w:t>
      </w:r>
    </w:p>
    <w:p w:rsidR="00341E7C" w:rsidRPr="00F27F8E" w:rsidRDefault="00341E7C" w:rsidP="003108B9">
      <w:pPr>
        <w:pStyle w:val="ListParagraph"/>
        <w:numPr>
          <w:ilvl w:val="0"/>
          <w:numId w:val="19"/>
        </w:numPr>
        <w:ind w:right="-194"/>
        <w:rPr>
          <w:rFonts w:asciiTheme="minorHAnsi" w:hAnsiTheme="minorHAnsi" w:cstheme="majorBidi"/>
          <w:szCs w:val="24"/>
        </w:rPr>
      </w:pPr>
      <w:r w:rsidRPr="00F27F8E">
        <w:rPr>
          <w:rFonts w:asciiTheme="minorHAnsi" w:hAnsiTheme="minorHAnsi" w:cstheme="majorBidi"/>
          <w:szCs w:val="24"/>
        </w:rPr>
        <w:t>The regional group will present a progress report of its activities to every SG17 meeting.</w:t>
      </w:r>
    </w:p>
    <w:p w:rsidR="00341E7C" w:rsidRPr="00F27F8E" w:rsidRDefault="00341E7C" w:rsidP="003108B9">
      <w:pPr>
        <w:spacing w:before="240"/>
        <w:ind w:right="-193"/>
        <w:rPr>
          <w:rFonts w:cstheme="majorBidi"/>
          <w:b/>
          <w:bCs/>
          <w:szCs w:val="24"/>
        </w:rPr>
      </w:pPr>
      <w:r w:rsidRPr="00F27F8E">
        <w:rPr>
          <w:rFonts w:cstheme="majorBidi"/>
          <w:b/>
          <w:bCs/>
          <w:szCs w:val="24"/>
        </w:rPr>
        <w:t>Working methods</w:t>
      </w:r>
    </w:p>
    <w:p w:rsidR="006357DB" w:rsidRDefault="00341E7C" w:rsidP="003108B9">
      <w:pPr>
        <w:spacing w:before="240"/>
        <w:ind w:right="-193"/>
        <w:rPr>
          <w:rFonts w:cstheme="majorBidi"/>
          <w:szCs w:val="24"/>
        </w:rPr>
      </w:pPr>
      <w:r w:rsidRPr="00F27F8E">
        <w:rPr>
          <w:rFonts w:cstheme="majorBidi"/>
          <w:szCs w:val="24"/>
        </w:rPr>
        <w:t>The regional group will mainly work electronically and by correspondence through designated focal points and will consider having face-to-face meetings when possible.</w:t>
      </w:r>
    </w:p>
    <w:p w:rsidR="00ED6A9E" w:rsidRPr="00F27F8E" w:rsidRDefault="00ED6A9E" w:rsidP="003108B9">
      <w:pPr>
        <w:spacing w:before="240"/>
        <w:ind w:right="-193"/>
        <w:rPr>
          <w:rFonts w:cstheme="majorBidi"/>
          <w:szCs w:val="24"/>
        </w:rPr>
      </w:pPr>
    </w:p>
    <w:p w:rsidR="00F37A69" w:rsidRPr="006C0CC4" w:rsidRDefault="00F37A69" w:rsidP="00F37A69">
      <w:pPr>
        <w:overflowPunct/>
        <w:autoSpaceDE/>
        <w:autoSpaceDN/>
        <w:adjustRightInd/>
        <w:spacing w:before="0"/>
        <w:jc w:val="center"/>
        <w:textAlignment w:val="auto"/>
      </w:pPr>
      <w:r>
        <w:t>_____________</w:t>
      </w:r>
    </w:p>
    <w:sectPr w:rsidR="00F37A69" w:rsidRPr="006C0CC4" w:rsidSect="00936D0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47" w:rsidRDefault="00377E47">
      <w:r>
        <w:separator/>
      </w:r>
    </w:p>
  </w:endnote>
  <w:endnote w:type="continuationSeparator" w:id="0">
    <w:p w:rsidR="00377E47" w:rsidRDefault="0037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0A36D4" w:rsidRDefault="000A36D4" w:rsidP="000A36D4">
    <w:pPr>
      <w:pStyle w:val="Footer"/>
      <w:tabs>
        <w:tab w:val="clear" w:pos="794"/>
        <w:tab w:val="clear" w:pos="1191"/>
        <w:tab w:val="clear" w:pos="1588"/>
        <w:tab w:val="clear" w:pos="1985"/>
      </w:tabs>
      <w:rPr>
        <w:lang w:val="fr-CH"/>
      </w:rPr>
    </w:pPr>
    <w:r>
      <w:rPr>
        <w:lang w:val="fr-CH"/>
      </w:rPr>
      <w:t>ITU-T\BUREAU\CIRC\151E.DOC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47" w:rsidRDefault="00377E47">
      <w:r>
        <w:t>____________________</w:t>
      </w:r>
    </w:p>
  </w:footnote>
  <w:footnote w:type="continuationSeparator" w:id="0">
    <w:p w:rsidR="00377E47" w:rsidRDefault="00377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DD142A">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11F81A9D"/>
    <w:multiLevelType w:val="hybridMultilevel"/>
    <w:tmpl w:val="6E182C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519F6"/>
    <w:multiLevelType w:val="hybridMultilevel"/>
    <w:tmpl w:val="2A8CCA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nsid w:val="67ED32B6"/>
    <w:multiLevelType w:val="hybridMultilevel"/>
    <w:tmpl w:val="5DF0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4"/>
  </w:num>
  <w:num w:numId="16">
    <w:abstractNumId w:val="13"/>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9F"/>
    <w:rsid w:val="00001DFC"/>
    <w:rsid w:val="00005472"/>
    <w:rsid w:val="000069D4"/>
    <w:rsid w:val="000103B1"/>
    <w:rsid w:val="000174AD"/>
    <w:rsid w:val="00021A4F"/>
    <w:rsid w:val="000305E1"/>
    <w:rsid w:val="00037CE6"/>
    <w:rsid w:val="00045FD1"/>
    <w:rsid w:val="000473DF"/>
    <w:rsid w:val="00053AD3"/>
    <w:rsid w:val="000717AE"/>
    <w:rsid w:val="00083A78"/>
    <w:rsid w:val="000A36D4"/>
    <w:rsid w:val="000A7D55"/>
    <w:rsid w:val="000B46FB"/>
    <w:rsid w:val="000C2E8E"/>
    <w:rsid w:val="000D49FB"/>
    <w:rsid w:val="000D5E92"/>
    <w:rsid w:val="000E0E7C"/>
    <w:rsid w:val="000E512C"/>
    <w:rsid w:val="000F1B4B"/>
    <w:rsid w:val="00103E68"/>
    <w:rsid w:val="00124AE2"/>
    <w:rsid w:val="00126E71"/>
    <w:rsid w:val="0012744F"/>
    <w:rsid w:val="00156DFF"/>
    <w:rsid w:val="00156F66"/>
    <w:rsid w:val="00174602"/>
    <w:rsid w:val="001809AC"/>
    <w:rsid w:val="00182528"/>
    <w:rsid w:val="0018500B"/>
    <w:rsid w:val="00196A19"/>
    <w:rsid w:val="00196AB1"/>
    <w:rsid w:val="001A3312"/>
    <w:rsid w:val="001C0948"/>
    <w:rsid w:val="001C3CDB"/>
    <w:rsid w:val="001F312E"/>
    <w:rsid w:val="00202DC1"/>
    <w:rsid w:val="002116EE"/>
    <w:rsid w:val="00223220"/>
    <w:rsid w:val="002309D8"/>
    <w:rsid w:val="00257A4F"/>
    <w:rsid w:val="00263CE7"/>
    <w:rsid w:val="00283448"/>
    <w:rsid w:val="00285A23"/>
    <w:rsid w:val="00287BF1"/>
    <w:rsid w:val="002A7FE2"/>
    <w:rsid w:val="002B711C"/>
    <w:rsid w:val="002C0244"/>
    <w:rsid w:val="002C4FEB"/>
    <w:rsid w:val="002E1B4F"/>
    <w:rsid w:val="002F2E67"/>
    <w:rsid w:val="002F6530"/>
    <w:rsid w:val="00301488"/>
    <w:rsid w:val="003108B9"/>
    <w:rsid w:val="00315457"/>
    <w:rsid w:val="00315546"/>
    <w:rsid w:val="0031577B"/>
    <w:rsid w:val="00330567"/>
    <w:rsid w:val="00341E7C"/>
    <w:rsid w:val="00347C4A"/>
    <w:rsid w:val="00351DA5"/>
    <w:rsid w:val="00356C99"/>
    <w:rsid w:val="00377E47"/>
    <w:rsid w:val="00383598"/>
    <w:rsid w:val="00384E5D"/>
    <w:rsid w:val="00386A9D"/>
    <w:rsid w:val="003879C1"/>
    <w:rsid w:val="00391081"/>
    <w:rsid w:val="003B0F9C"/>
    <w:rsid w:val="003B2789"/>
    <w:rsid w:val="003B362E"/>
    <w:rsid w:val="003B7FF4"/>
    <w:rsid w:val="003C13CE"/>
    <w:rsid w:val="003E2518"/>
    <w:rsid w:val="003F0DED"/>
    <w:rsid w:val="003F5A62"/>
    <w:rsid w:val="003F5AB7"/>
    <w:rsid w:val="004024CD"/>
    <w:rsid w:val="00413914"/>
    <w:rsid w:val="004314A2"/>
    <w:rsid w:val="004748F4"/>
    <w:rsid w:val="004B1EBA"/>
    <w:rsid w:val="004B1EF7"/>
    <w:rsid w:val="004B3FAD"/>
    <w:rsid w:val="004D7411"/>
    <w:rsid w:val="004E3CF9"/>
    <w:rsid w:val="004F7071"/>
    <w:rsid w:val="00501DCA"/>
    <w:rsid w:val="00501F4A"/>
    <w:rsid w:val="00510561"/>
    <w:rsid w:val="00513A47"/>
    <w:rsid w:val="00532588"/>
    <w:rsid w:val="005408DF"/>
    <w:rsid w:val="0055318D"/>
    <w:rsid w:val="00573344"/>
    <w:rsid w:val="00583F9B"/>
    <w:rsid w:val="00584AFA"/>
    <w:rsid w:val="0059072C"/>
    <w:rsid w:val="005C2D62"/>
    <w:rsid w:val="005C61C5"/>
    <w:rsid w:val="005D71A2"/>
    <w:rsid w:val="005E1223"/>
    <w:rsid w:val="005E5C10"/>
    <w:rsid w:val="005E70E3"/>
    <w:rsid w:val="005F2C78"/>
    <w:rsid w:val="006144E4"/>
    <w:rsid w:val="006177C5"/>
    <w:rsid w:val="00624555"/>
    <w:rsid w:val="006357DB"/>
    <w:rsid w:val="00636427"/>
    <w:rsid w:val="00650299"/>
    <w:rsid w:val="006550C0"/>
    <w:rsid w:val="00655FC5"/>
    <w:rsid w:val="00682AFB"/>
    <w:rsid w:val="00683884"/>
    <w:rsid w:val="00687BD5"/>
    <w:rsid w:val="006938F7"/>
    <w:rsid w:val="00697F0A"/>
    <w:rsid w:val="006A3852"/>
    <w:rsid w:val="006A5312"/>
    <w:rsid w:val="006B43D3"/>
    <w:rsid w:val="006D21FA"/>
    <w:rsid w:val="006D6AF4"/>
    <w:rsid w:val="006E479F"/>
    <w:rsid w:val="006F202C"/>
    <w:rsid w:val="00766C87"/>
    <w:rsid w:val="007676D5"/>
    <w:rsid w:val="007D2F64"/>
    <w:rsid w:val="007E51DC"/>
    <w:rsid w:val="00801031"/>
    <w:rsid w:val="00802953"/>
    <w:rsid w:val="00807FF1"/>
    <w:rsid w:val="00822581"/>
    <w:rsid w:val="0082349E"/>
    <w:rsid w:val="008309DD"/>
    <w:rsid w:val="0083227A"/>
    <w:rsid w:val="00843171"/>
    <w:rsid w:val="00857C67"/>
    <w:rsid w:val="00862CC9"/>
    <w:rsid w:val="00866900"/>
    <w:rsid w:val="00870336"/>
    <w:rsid w:val="0087300D"/>
    <w:rsid w:val="0087539F"/>
    <w:rsid w:val="00881BA1"/>
    <w:rsid w:val="008928CA"/>
    <w:rsid w:val="008A0A55"/>
    <w:rsid w:val="008B0087"/>
    <w:rsid w:val="008B2093"/>
    <w:rsid w:val="008B7C5F"/>
    <w:rsid w:val="008C26B8"/>
    <w:rsid w:val="009273EC"/>
    <w:rsid w:val="00932E45"/>
    <w:rsid w:val="00936D00"/>
    <w:rsid w:val="00951309"/>
    <w:rsid w:val="00964CF0"/>
    <w:rsid w:val="00967D28"/>
    <w:rsid w:val="00977415"/>
    <w:rsid w:val="00982084"/>
    <w:rsid w:val="00991A72"/>
    <w:rsid w:val="00995963"/>
    <w:rsid w:val="009A54D9"/>
    <w:rsid w:val="009B61EB"/>
    <w:rsid w:val="009B6449"/>
    <w:rsid w:val="009C2064"/>
    <w:rsid w:val="009D1697"/>
    <w:rsid w:val="009D1DF9"/>
    <w:rsid w:val="009E13BC"/>
    <w:rsid w:val="009E4F80"/>
    <w:rsid w:val="00A014F8"/>
    <w:rsid w:val="00A11DCA"/>
    <w:rsid w:val="00A26C82"/>
    <w:rsid w:val="00A32ED5"/>
    <w:rsid w:val="00A4005D"/>
    <w:rsid w:val="00A5173C"/>
    <w:rsid w:val="00A57624"/>
    <w:rsid w:val="00A60FE3"/>
    <w:rsid w:val="00A61AEF"/>
    <w:rsid w:val="00A9652E"/>
    <w:rsid w:val="00AA1543"/>
    <w:rsid w:val="00AB0FFD"/>
    <w:rsid w:val="00AB3819"/>
    <w:rsid w:val="00AD7192"/>
    <w:rsid w:val="00AE0C3A"/>
    <w:rsid w:val="00AF10F1"/>
    <w:rsid w:val="00AF173A"/>
    <w:rsid w:val="00B066A4"/>
    <w:rsid w:val="00B07A13"/>
    <w:rsid w:val="00B143E2"/>
    <w:rsid w:val="00B2077E"/>
    <w:rsid w:val="00B3088B"/>
    <w:rsid w:val="00B357DD"/>
    <w:rsid w:val="00B4279B"/>
    <w:rsid w:val="00B45FC9"/>
    <w:rsid w:val="00B64F48"/>
    <w:rsid w:val="00B83461"/>
    <w:rsid w:val="00B8350C"/>
    <w:rsid w:val="00BB4274"/>
    <w:rsid w:val="00BC7CCF"/>
    <w:rsid w:val="00BE470B"/>
    <w:rsid w:val="00C018E7"/>
    <w:rsid w:val="00C04887"/>
    <w:rsid w:val="00C11EB9"/>
    <w:rsid w:val="00C57A91"/>
    <w:rsid w:val="00C740E1"/>
    <w:rsid w:val="00C802AA"/>
    <w:rsid w:val="00CA2AA1"/>
    <w:rsid w:val="00CA4D9F"/>
    <w:rsid w:val="00CB2D0E"/>
    <w:rsid w:val="00CB43AF"/>
    <w:rsid w:val="00CC01C2"/>
    <w:rsid w:val="00CD5771"/>
    <w:rsid w:val="00CF141F"/>
    <w:rsid w:val="00CF21F2"/>
    <w:rsid w:val="00CF6A6C"/>
    <w:rsid w:val="00D02712"/>
    <w:rsid w:val="00D064DD"/>
    <w:rsid w:val="00D214D0"/>
    <w:rsid w:val="00D25CAC"/>
    <w:rsid w:val="00D53632"/>
    <w:rsid w:val="00D6546B"/>
    <w:rsid w:val="00D90539"/>
    <w:rsid w:val="00D95505"/>
    <w:rsid w:val="00DC36AC"/>
    <w:rsid w:val="00DC4133"/>
    <w:rsid w:val="00DC79B0"/>
    <w:rsid w:val="00DD142A"/>
    <w:rsid w:val="00DD41B3"/>
    <w:rsid w:val="00DD4BED"/>
    <w:rsid w:val="00DE39F0"/>
    <w:rsid w:val="00DF0AF3"/>
    <w:rsid w:val="00E06CA9"/>
    <w:rsid w:val="00E17CCC"/>
    <w:rsid w:val="00E21FE2"/>
    <w:rsid w:val="00E23BAB"/>
    <w:rsid w:val="00E27D7E"/>
    <w:rsid w:val="00E305CF"/>
    <w:rsid w:val="00E34935"/>
    <w:rsid w:val="00E42E13"/>
    <w:rsid w:val="00E6257C"/>
    <w:rsid w:val="00E63C59"/>
    <w:rsid w:val="00EA3292"/>
    <w:rsid w:val="00EA7A04"/>
    <w:rsid w:val="00ED1DF4"/>
    <w:rsid w:val="00ED5CDF"/>
    <w:rsid w:val="00ED6A9E"/>
    <w:rsid w:val="00EE32F5"/>
    <w:rsid w:val="00F12348"/>
    <w:rsid w:val="00F27F8E"/>
    <w:rsid w:val="00F37A69"/>
    <w:rsid w:val="00F44452"/>
    <w:rsid w:val="00F54DF5"/>
    <w:rsid w:val="00F55C07"/>
    <w:rsid w:val="00F75AEF"/>
    <w:rsid w:val="00F85826"/>
    <w:rsid w:val="00FA124A"/>
    <w:rsid w:val="00FA21D2"/>
    <w:rsid w:val="00FC08DD"/>
    <w:rsid w:val="00FC2316"/>
    <w:rsid w:val="00FC2CFD"/>
    <w:rsid w:val="00FD041B"/>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D4CC672-F20B-43C7-8BAF-EA44BACE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0A36D4"/>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13sg17rgafr@lists.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D6C3-52AB-412B-9C61-D9DFB118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4</Pages>
  <Words>872</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TSBCirc151-E.docx  For: _x000d_Document date: _x000d_Saved by ITU51006837 at 10:45:36 on 13/05/15</dc:description>
  <cp:lastModifiedBy>Bettini, Nadine</cp:lastModifiedBy>
  <cp:revision>2</cp:revision>
  <cp:lastPrinted>2015-05-13T10:02:00Z</cp:lastPrinted>
  <dcterms:created xsi:type="dcterms:W3CDTF">2015-05-13T10:20:00Z</dcterms:created>
  <dcterms:modified xsi:type="dcterms:W3CDTF">2015-05-13T10:20:00Z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TSBCirc151-E.docx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