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tblLook w:val="0000" w:firstRow="0" w:lastRow="0" w:firstColumn="0" w:lastColumn="0" w:noHBand="0" w:noVBand="0"/>
      </w:tblPr>
      <w:tblGrid>
        <w:gridCol w:w="1236"/>
        <w:gridCol w:w="6222"/>
        <w:gridCol w:w="2181"/>
      </w:tblGrid>
      <w:tr w:rsidR="007C5DC6" w:rsidRPr="007C5DC6" w:rsidTr="002445FE">
        <w:trPr>
          <w:cantSplit/>
          <w:trHeight w:val="1418"/>
        </w:trPr>
        <w:tc>
          <w:tcPr>
            <w:tcW w:w="641" w:type="pct"/>
          </w:tcPr>
          <w:p w:rsidR="007C5DC6" w:rsidRPr="007C5DC6" w:rsidRDefault="007C5DC6" w:rsidP="002445FE">
            <w:pPr>
              <w:rPr>
                <w:b/>
                <w:bCs/>
                <w:rtl/>
              </w:rPr>
            </w:pPr>
            <w:r w:rsidRPr="007C5DC6">
              <w:rPr>
                <w:noProof/>
              </w:rPr>
              <w:drawing>
                <wp:inline distT="0" distB="0" distL="0" distR="0" wp14:anchorId="5A704FB0" wp14:editId="21ADF3F9">
                  <wp:extent cx="648000" cy="720000"/>
                  <wp:effectExtent l="0" t="0" r="0" b="4445"/>
                  <wp:docPr id="29" name="Picture 29"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228" w:type="pct"/>
          </w:tcPr>
          <w:p w:rsidR="007C5DC6" w:rsidRPr="007C5DC6" w:rsidRDefault="007C5DC6" w:rsidP="002445F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left"/>
              <w:rPr>
                <w:rFonts w:eastAsia="Times New Roman"/>
                <w:b/>
                <w:bCs/>
                <w:w w:val="120"/>
                <w:sz w:val="44"/>
                <w:szCs w:val="44"/>
                <w:rtl/>
                <w:lang w:eastAsia="en-US"/>
              </w:rPr>
            </w:pPr>
            <w:r w:rsidRPr="007C5DC6">
              <w:rPr>
                <w:rFonts w:eastAsia="Times New Roman" w:hint="cs"/>
                <w:b/>
                <w:bCs/>
                <w:w w:val="120"/>
                <w:sz w:val="44"/>
                <w:szCs w:val="44"/>
                <w:rtl/>
                <w:lang w:eastAsia="en-US"/>
              </w:rPr>
              <w:t>الاتحـاد الدولـي للاتصـالات</w:t>
            </w:r>
          </w:p>
          <w:p w:rsidR="007C5DC6" w:rsidRPr="007C5DC6" w:rsidRDefault="007C5DC6" w:rsidP="002445F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7C5DC6">
              <w:rPr>
                <w:rFonts w:eastAsia="Times New Roman" w:hint="cs"/>
                <w:b/>
                <w:bCs/>
                <w:sz w:val="26"/>
                <w:szCs w:val="36"/>
                <w:rtl/>
                <w:lang w:eastAsia="en-US"/>
              </w:rPr>
              <w:t>مكتب تقييس الاتصالات</w:t>
            </w:r>
          </w:p>
        </w:tc>
        <w:tc>
          <w:tcPr>
            <w:tcW w:w="1131" w:type="pct"/>
          </w:tcPr>
          <w:p w:rsidR="007C5DC6" w:rsidRPr="007C5DC6" w:rsidRDefault="007C5DC6" w:rsidP="002445FE">
            <w:pPr>
              <w:rPr>
                <w:b/>
                <w:bCs/>
                <w:rtl/>
              </w:rPr>
            </w:pPr>
            <w:r w:rsidRPr="007C5DC6">
              <w:rPr>
                <w:noProof/>
              </w:rPr>
              <w:drawing>
                <wp:inline distT="0" distB="0" distL="0" distR="0" wp14:anchorId="2975538D" wp14:editId="151315A0">
                  <wp:extent cx="1247775" cy="935831"/>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bl>
    <w:p w:rsidR="007C5DC6" w:rsidRPr="007C5DC6" w:rsidRDefault="007C5DC6" w:rsidP="004007A9">
      <w:pPr>
        <w:rPr>
          <w:rtl/>
        </w:rPr>
      </w:pPr>
    </w:p>
    <w:tbl>
      <w:tblPr>
        <w:tblpPr w:leftFromText="180" w:rightFromText="180" w:vertAnchor="text" w:tblpXSpec="center" w:tblpY="1"/>
        <w:tblOverlap w:val="never"/>
        <w:bidiVisual/>
        <w:tblW w:w="5000" w:type="pct"/>
        <w:tblCellMar>
          <w:left w:w="0" w:type="dxa"/>
          <w:right w:w="0" w:type="dxa"/>
        </w:tblCellMar>
        <w:tblLook w:val="0000" w:firstRow="0" w:lastRow="0" w:firstColumn="0" w:lastColumn="0" w:noHBand="0" w:noVBand="0"/>
      </w:tblPr>
      <w:tblGrid>
        <w:gridCol w:w="1534"/>
        <w:gridCol w:w="3343"/>
        <w:gridCol w:w="4762"/>
      </w:tblGrid>
      <w:tr w:rsidR="007C5DC6" w:rsidRPr="007C5DC6" w:rsidTr="00826E64">
        <w:trPr>
          <w:cantSplit/>
          <w:trHeight w:val="340"/>
        </w:trPr>
        <w:tc>
          <w:tcPr>
            <w:tcW w:w="796" w:type="pct"/>
          </w:tcPr>
          <w:p w:rsidR="007C5DC6" w:rsidRPr="00826E64" w:rsidRDefault="007C5DC6" w:rsidP="00826E64">
            <w:pPr>
              <w:spacing w:before="60" w:after="60" w:line="300" w:lineRule="exact"/>
              <w:jc w:val="left"/>
              <w:rPr>
                <w:b/>
              </w:rPr>
            </w:pPr>
          </w:p>
        </w:tc>
        <w:tc>
          <w:tcPr>
            <w:tcW w:w="1734" w:type="pct"/>
          </w:tcPr>
          <w:p w:rsidR="007C5DC6" w:rsidRPr="007C5DC6" w:rsidRDefault="007C5DC6" w:rsidP="00826E64">
            <w:pPr>
              <w:spacing w:before="60" w:after="60" w:line="300" w:lineRule="exact"/>
              <w:jc w:val="left"/>
              <w:rPr>
                <w:b/>
                <w:lang w:bidi="ar-SY"/>
              </w:rPr>
            </w:pPr>
          </w:p>
        </w:tc>
        <w:tc>
          <w:tcPr>
            <w:tcW w:w="2471" w:type="pct"/>
          </w:tcPr>
          <w:p w:rsidR="007C5DC6" w:rsidRPr="007C5DC6" w:rsidRDefault="0072482B" w:rsidP="00301D3C">
            <w:pPr>
              <w:spacing w:before="60" w:after="60" w:line="300" w:lineRule="exact"/>
              <w:jc w:val="left"/>
              <w:rPr>
                <w:lang w:bidi="ar-SY"/>
              </w:rPr>
            </w:pPr>
            <w:r>
              <w:rPr>
                <w:rFonts w:hint="cs"/>
                <w:rtl/>
              </w:rPr>
              <w:t xml:space="preserve">جنيف، </w:t>
            </w:r>
            <w:r>
              <w:t>13</w:t>
            </w:r>
            <w:r>
              <w:rPr>
                <w:rFonts w:hint="cs"/>
                <w:rtl/>
                <w:lang w:bidi="ar-EG"/>
              </w:rPr>
              <w:t xml:space="preserve"> مايو </w:t>
            </w:r>
            <w:r>
              <w:rPr>
                <w:lang w:bidi="ar-EG"/>
              </w:rPr>
              <w:t>2015</w:t>
            </w:r>
          </w:p>
        </w:tc>
      </w:tr>
      <w:tr w:rsidR="007C5DC6" w:rsidRPr="007C5DC6" w:rsidTr="00826E64">
        <w:trPr>
          <w:cantSplit/>
          <w:trHeight w:val="340"/>
        </w:trPr>
        <w:tc>
          <w:tcPr>
            <w:tcW w:w="796" w:type="pct"/>
          </w:tcPr>
          <w:p w:rsidR="007C5DC6" w:rsidRPr="007C5DC6" w:rsidRDefault="007C5DC6" w:rsidP="00826E64">
            <w:pPr>
              <w:spacing w:before="60" w:after="60" w:line="300" w:lineRule="exact"/>
              <w:jc w:val="left"/>
              <w:rPr>
                <w:lang w:bidi="ar-SY"/>
              </w:rPr>
            </w:pPr>
            <w:r w:rsidRPr="007C5DC6">
              <w:rPr>
                <w:rFonts w:hint="cs"/>
                <w:rtl/>
              </w:rPr>
              <w:t>المرجع:</w:t>
            </w:r>
          </w:p>
        </w:tc>
        <w:tc>
          <w:tcPr>
            <w:tcW w:w="1734" w:type="pct"/>
          </w:tcPr>
          <w:p w:rsidR="007C5DC6" w:rsidRPr="007C5DC6" w:rsidRDefault="007C5DC6" w:rsidP="0072482B">
            <w:pPr>
              <w:spacing w:before="60" w:after="60" w:line="300" w:lineRule="exact"/>
              <w:jc w:val="left"/>
              <w:rPr>
                <w:bCs/>
                <w:rtl/>
                <w:lang w:bidi="ar-EG"/>
              </w:rPr>
            </w:pPr>
            <w:r w:rsidRPr="007C5DC6">
              <w:rPr>
                <w:b/>
                <w:lang w:bidi="ar-SY"/>
              </w:rPr>
              <w:t xml:space="preserve">TSB Circular </w:t>
            </w:r>
            <w:r w:rsidR="0072482B">
              <w:rPr>
                <w:b/>
                <w:lang w:bidi="ar-SY"/>
              </w:rPr>
              <w:t>151</w:t>
            </w:r>
            <w:r w:rsidRPr="007C5DC6">
              <w:rPr>
                <w:b/>
                <w:lang w:bidi="ar-SY"/>
              </w:rPr>
              <w:br/>
            </w:r>
            <w:r w:rsidRPr="007C5DC6">
              <w:rPr>
                <w:bCs/>
                <w:lang w:bidi="ar-SY"/>
              </w:rPr>
              <w:t>COM</w:t>
            </w:r>
            <w:r w:rsidR="0072482B">
              <w:rPr>
                <w:bCs/>
                <w:lang w:bidi="ar-SY"/>
              </w:rPr>
              <w:t xml:space="preserve"> </w:t>
            </w:r>
            <w:r w:rsidR="0072482B" w:rsidRPr="00BB4274">
              <w:rPr>
                <w:bCs/>
              </w:rPr>
              <w:t>17/MEU</w:t>
            </w:r>
          </w:p>
        </w:tc>
        <w:tc>
          <w:tcPr>
            <w:tcW w:w="2471" w:type="pct"/>
            <w:vMerge w:val="restart"/>
          </w:tcPr>
          <w:p w:rsidR="007C5DC6" w:rsidRPr="007C5DC6" w:rsidRDefault="007C5DC6" w:rsidP="00301D3C">
            <w:pPr>
              <w:tabs>
                <w:tab w:val="clear" w:pos="794"/>
                <w:tab w:val="clear" w:pos="1361"/>
                <w:tab w:val="clear" w:pos="1928"/>
                <w:tab w:val="clear" w:pos="2495"/>
                <w:tab w:val="clear" w:pos="3062"/>
                <w:tab w:val="left" w:pos="365"/>
              </w:tabs>
              <w:spacing w:before="60" w:after="60" w:line="300" w:lineRule="exact"/>
              <w:ind w:left="365" w:hanging="365"/>
              <w:jc w:val="left"/>
            </w:pPr>
            <w:r w:rsidRPr="007C5DC6">
              <w:rPr>
                <w:rFonts w:hint="cs"/>
                <w:rtl/>
              </w:rPr>
              <w:t>-</w:t>
            </w:r>
            <w:r w:rsidRPr="007C5DC6">
              <w:rPr>
                <w:rtl/>
              </w:rPr>
              <w:tab/>
            </w:r>
            <w:r w:rsidRPr="007C5DC6">
              <w:rPr>
                <w:rFonts w:hint="cs"/>
                <w:rtl/>
              </w:rPr>
              <w:t>إلى إدارات الدول الأعضاء في الات‍حاد</w:t>
            </w:r>
            <w:r w:rsidR="00301D3C">
              <w:rPr>
                <w:rFonts w:hint="cs"/>
                <w:rtl/>
              </w:rPr>
              <w:t xml:space="preserve"> وأعضاء قطاع تقييس الاتصالات والمنتسبين إليه والهيئات الأكاديمية المنضمة إليه من منطقة إفريقيا</w:t>
            </w:r>
          </w:p>
        </w:tc>
      </w:tr>
      <w:tr w:rsidR="007C5DC6" w:rsidRPr="007C5DC6" w:rsidTr="00826E64">
        <w:trPr>
          <w:cantSplit/>
          <w:trHeight w:val="340"/>
        </w:trPr>
        <w:tc>
          <w:tcPr>
            <w:tcW w:w="796" w:type="pct"/>
          </w:tcPr>
          <w:p w:rsidR="007C5DC6" w:rsidRPr="007C5DC6" w:rsidRDefault="007C5DC6" w:rsidP="00826E64">
            <w:pPr>
              <w:spacing w:before="60" w:after="60" w:line="300" w:lineRule="exact"/>
              <w:jc w:val="left"/>
              <w:rPr>
                <w:rtl/>
                <w:lang w:bidi="ar-EG"/>
              </w:rPr>
            </w:pPr>
            <w:r w:rsidRPr="007C5DC6">
              <w:rPr>
                <w:rFonts w:hint="cs"/>
                <w:rtl/>
                <w:lang w:bidi="ar-SY"/>
              </w:rPr>
              <w:t>الهاتف</w:t>
            </w:r>
            <w:r w:rsidRPr="007C5DC6">
              <w:rPr>
                <w:rFonts w:hint="cs"/>
                <w:rtl/>
              </w:rPr>
              <w:t>:</w:t>
            </w:r>
          </w:p>
        </w:tc>
        <w:tc>
          <w:tcPr>
            <w:tcW w:w="1734" w:type="pct"/>
          </w:tcPr>
          <w:p w:rsidR="007C5DC6" w:rsidRPr="007C5DC6" w:rsidRDefault="0072482B" w:rsidP="00826E64">
            <w:pPr>
              <w:spacing w:before="60" w:after="60" w:line="300" w:lineRule="exact"/>
              <w:jc w:val="left"/>
              <w:rPr>
                <w:b/>
                <w:lang w:bidi="ar-SY"/>
              </w:rPr>
            </w:pPr>
            <w:r w:rsidRPr="00F36AC4">
              <w:t>+41 22 730</w:t>
            </w:r>
            <w:r>
              <w:t xml:space="preserve"> 5866</w:t>
            </w:r>
          </w:p>
        </w:tc>
        <w:tc>
          <w:tcPr>
            <w:tcW w:w="2471" w:type="pct"/>
            <w:vMerge/>
          </w:tcPr>
          <w:p w:rsidR="007C5DC6" w:rsidRPr="007C5DC6" w:rsidRDefault="007C5DC6" w:rsidP="00826E64">
            <w:pPr>
              <w:tabs>
                <w:tab w:val="clear" w:pos="794"/>
                <w:tab w:val="clear" w:pos="1361"/>
                <w:tab w:val="clear" w:pos="1928"/>
                <w:tab w:val="clear" w:pos="2495"/>
                <w:tab w:val="clear" w:pos="3062"/>
                <w:tab w:val="left" w:pos="365"/>
              </w:tabs>
              <w:spacing w:before="60" w:after="60" w:line="300" w:lineRule="exact"/>
              <w:ind w:left="365" w:hanging="365"/>
              <w:jc w:val="left"/>
              <w:rPr>
                <w:rtl/>
              </w:rPr>
            </w:pPr>
          </w:p>
        </w:tc>
      </w:tr>
      <w:tr w:rsidR="007C5DC6" w:rsidRPr="007C5DC6" w:rsidTr="00826E64">
        <w:trPr>
          <w:cantSplit/>
          <w:trHeight w:val="340"/>
        </w:trPr>
        <w:tc>
          <w:tcPr>
            <w:tcW w:w="796" w:type="pct"/>
          </w:tcPr>
          <w:p w:rsidR="007C5DC6" w:rsidRPr="007C5DC6" w:rsidRDefault="007C5DC6" w:rsidP="00826E64">
            <w:pPr>
              <w:spacing w:before="60" w:after="60" w:line="300" w:lineRule="exact"/>
              <w:jc w:val="left"/>
              <w:rPr>
                <w:rtl/>
              </w:rPr>
            </w:pPr>
            <w:r w:rsidRPr="007C5DC6">
              <w:rPr>
                <w:rFonts w:hint="cs"/>
                <w:rtl/>
              </w:rPr>
              <w:t>الفاكس:</w:t>
            </w:r>
          </w:p>
        </w:tc>
        <w:tc>
          <w:tcPr>
            <w:tcW w:w="1734" w:type="pct"/>
          </w:tcPr>
          <w:p w:rsidR="007C5DC6" w:rsidRPr="007C5DC6" w:rsidRDefault="0072482B" w:rsidP="00826E64">
            <w:pPr>
              <w:spacing w:before="60" w:after="60" w:line="300" w:lineRule="exact"/>
              <w:jc w:val="left"/>
              <w:rPr>
                <w:b/>
                <w:lang w:bidi="ar-SY"/>
              </w:rPr>
            </w:pPr>
            <w:r w:rsidRPr="00F36AC4">
              <w:t>+41 22 730 5853</w:t>
            </w:r>
          </w:p>
        </w:tc>
        <w:tc>
          <w:tcPr>
            <w:tcW w:w="2471" w:type="pct"/>
            <w:vMerge/>
          </w:tcPr>
          <w:p w:rsidR="007C5DC6" w:rsidRPr="007C5DC6" w:rsidRDefault="007C5DC6" w:rsidP="00826E64">
            <w:pPr>
              <w:tabs>
                <w:tab w:val="clear" w:pos="794"/>
                <w:tab w:val="clear" w:pos="1361"/>
                <w:tab w:val="clear" w:pos="1928"/>
                <w:tab w:val="clear" w:pos="2495"/>
                <w:tab w:val="clear" w:pos="3062"/>
                <w:tab w:val="left" w:pos="365"/>
              </w:tabs>
              <w:spacing w:before="60" w:after="60" w:line="300" w:lineRule="exact"/>
              <w:ind w:left="365" w:hanging="365"/>
              <w:jc w:val="left"/>
              <w:rPr>
                <w:rtl/>
              </w:rPr>
            </w:pPr>
          </w:p>
        </w:tc>
      </w:tr>
      <w:tr w:rsidR="007C5DC6" w:rsidRPr="007C5DC6" w:rsidTr="00826E64">
        <w:trPr>
          <w:cantSplit/>
        </w:trPr>
        <w:tc>
          <w:tcPr>
            <w:tcW w:w="796" w:type="pct"/>
          </w:tcPr>
          <w:p w:rsidR="007C5DC6" w:rsidRPr="007C5DC6" w:rsidRDefault="007C5DC6" w:rsidP="00FA5C5A">
            <w:pPr>
              <w:spacing w:before="60" w:after="60" w:line="300" w:lineRule="exact"/>
              <w:jc w:val="left"/>
              <w:rPr>
                <w:lang w:bidi="ar-SY"/>
              </w:rPr>
            </w:pPr>
            <w:r w:rsidRPr="007C5DC6">
              <w:rPr>
                <w:rFonts w:hint="cs"/>
                <w:rtl/>
              </w:rPr>
              <w:t>البريد الإلكتروني:</w:t>
            </w:r>
          </w:p>
        </w:tc>
        <w:tc>
          <w:tcPr>
            <w:tcW w:w="1734" w:type="pct"/>
          </w:tcPr>
          <w:p w:rsidR="007C5DC6" w:rsidRPr="007C5DC6" w:rsidRDefault="00A45007" w:rsidP="00826E64">
            <w:pPr>
              <w:spacing w:before="60" w:after="60" w:line="300" w:lineRule="exact"/>
              <w:jc w:val="left"/>
              <w:rPr>
                <w:lang w:bidi="ar-SY"/>
              </w:rPr>
            </w:pPr>
            <w:hyperlink r:id="rId10" w:history="1">
              <w:r w:rsidR="00301D3C" w:rsidRPr="00B56BC3">
                <w:rPr>
                  <w:rStyle w:val="Hyperlink"/>
                  <w:szCs w:val="22"/>
                </w:rPr>
                <w:t>tsbsg17@itu.int</w:t>
              </w:r>
            </w:hyperlink>
          </w:p>
        </w:tc>
        <w:tc>
          <w:tcPr>
            <w:tcW w:w="2471" w:type="pct"/>
          </w:tcPr>
          <w:p w:rsidR="007C5DC6" w:rsidRPr="007C5DC6" w:rsidRDefault="007C5DC6" w:rsidP="00301D3C">
            <w:pPr>
              <w:tabs>
                <w:tab w:val="clear" w:pos="794"/>
                <w:tab w:val="clear" w:pos="1361"/>
                <w:tab w:val="clear" w:pos="1928"/>
                <w:tab w:val="clear" w:pos="2495"/>
                <w:tab w:val="clear" w:pos="3062"/>
                <w:tab w:val="left" w:pos="365"/>
              </w:tabs>
              <w:spacing w:before="60" w:after="60" w:line="300" w:lineRule="exact"/>
              <w:ind w:left="365" w:hanging="365"/>
              <w:jc w:val="left"/>
              <w:rPr>
                <w:b/>
                <w:bCs/>
                <w:rtl/>
              </w:rPr>
            </w:pPr>
            <w:r w:rsidRPr="007C5DC6">
              <w:rPr>
                <w:rFonts w:hint="cs"/>
                <w:b/>
                <w:bCs/>
                <w:rtl/>
              </w:rPr>
              <w:t>نسخة</w:t>
            </w:r>
            <w:r w:rsidR="00301D3C">
              <w:rPr>
                <w:rFonts w:hint="cs"/>
                <w:b/>
                <w:bCs/>
                <w:rtl/>
              </w:rPr>
              <w:t xml:space="preserve"> إلى</w:t>
            </w:r>
            <w:r w:rsidRPr="007C5DC6">
              <w:rPr>
                <w:rFonts w:hint="cs"/>
                <w:b/>
                <w:bCs/>
                <w:rtl/>
              </w:rPr>
              <w:t>:</w:t>
            </w:r>
          </w:p>
          <w:p w:rsidR="007C5DC6" w:rsidRPr="00301D3C" w:rsidRDefault="007C5DC6" w:rsidP="00301D3C">
            <w:pPr>
              <w:tabs>
                <w:tab w:val="clear" w:pos="794"/>
                <w:tab w:val="clear" w:pos="1361"/>
                <w:tab w:val="clear" w:pos="1928"/>
                <w:tab w:val="clear" w:pos="2495"/>
                <w:tab w:val="clear" w:pos="3062"/>
                <w:tab w:val="left" w:pos="365"/>
              </w:tabs>
              <w:spacing w:before="60" w:after="60" w:line="300" w:lineRule="exact"/>
              <w:ind w:left="365" w:hanging="365"/>
              <w:jc w:val="left"/>
              <w:rPr>
                <w:rtl/>
              </w:rPr>
            </w:pPr>
            <w:r w:rsidRPr="00301D3C">
              <w:rPr>
                <w:rFonts w:hint="cs"/>
                <w:rtl/>
              </w:rPr>
              <w:t>-</w:t>
            </w:r>
            <w:r w:rsidRPr="00301D3C">
              <w:rPr>
                <w:rtl/>
              </w:rPr>
              <w:tab/>
            </w:r>
            <w:r w:rsidR="00301D3C" w:rsidRPr="00301D3C">
              <w:rPr>
                <w:rFonts w:hint="cs"/>
                <w:rtl/>
              </w:rPr>
              <w:t>الات</w:t>
            </w:r>
            <w:r w:rsidR="000D51C5">
              <w:rPr>
                <w:rFonts w:hint="cs"/>
                <w:rtl/>
              </w:rPr>
              <w:t>‍</w:t>
            </w:r>
            <w:r w:rsidR="00301D3C" w:rsidRPr="00301D3C">
              <w:rPr>
                <w:rFonts w:hint="cs"/>
                <w:rtl/>
              </w:rPr>
              <w:t xml:space="preserve">حاد الإفريقي للاتصالات </w:t>
            </w:r>
            <w:r w:rsidR="00301D3C" w:rsidRPr="00301D3C">
              <w:t>(ATU)</w:t>
            </w:r>
            <w:r w:rsidRPr="00301D3C">
              <w:rPr>
                <w:rFonts w:hint="cs"/>
                <w:rtl/>
              </w:rPr>
              <w:t>؛</w:t>
            </w:r>
          </w:p>
          <w:p w:rsidR="007C5DC6" w:rsidRPr="007C5DC6" w:rsidRDefault="007C5DC6" w:rsidP="00301D3C">
            <w:pPr>
              <w:tabs>
                <w:tab w:val="clear" w:pos="794"/>
                <w:tab w:val="clear" w:pos="1361"/>
                <w:tab w:val="clear" w:pos="1928"/>
                <w:tab w:val="clear" w:pos="2495"/>
                <w:tab w:val="clear" w:pos="3062"/>
                <w:tab w:val="left" w:pos="365"/>
              </w:tabs>
              <w:spacing w:before="60" w:after="60" w:line="300" w:lineRule="exact"/>
              <w:ind w:left="365" w:hanging="365"/>
              <w:jc w:val="left"/>
              <w:rPr>
                <w:rtl/>
              </w:rPr>
            </w:pPr>
            <w:r w:rsidRPr="007C5DC6">
              <w:rPr>
                <w:rFonts w:hint="cs"/>
                <w:rtl/>
              </w:rPr>
              <w:t>-</w:t>
            </w:r>
            <w:r w:rsidRPr="007C5DC6">
              <w:rPr>
                <w:rtl/>
              </w:rPr>
              <w:tab/>
            </w:r>
            <w:r w:rsidR="00301D3C">
              <w:rPr>
                <w:rFonts w:hint="cs"/>
                <w:rtl/>
              </w:rPr>
              <w:t>الشبكة الإفريقية ل</w:t>
            </w:r>
            <w:r w:rsidR="000D51C5">
              <w:rPr>
                <w:rFonts w:hint="cs"/>
                <w:rtl/>
              </w:rPr>
              <w:t>‍</w:t>
            </w:r>
            <w:r w:rsidR="00301D3C">
              <w:rPr>
                <w:rFonts w:hint="cs"/>
                <w:rtl/>
              </w:rPr>
              <w:t>مستهلكي تكنولوجيا ال</w:t>
            </w:r>
            <w:r w:rsidR="000D51C5">
              <w:rPr>
                <w:rFonts w:hint="cs"/>
                <w:rtl/>
              </w:rPr>
              <w:t>‍</w:t>
            </w:r>
            <w:r w:rsidR="00301D3C">
              <w:rPr>
                <w:rFonts w:hint="cs"/>
                <w:rtl/>
              </w:rPr>
              <w:t xml:space="preserve">معلومات </w:t>
            </w:r>
            <w:r w:rsidR="00301D3C" w:rsidRPr="00301D3C">
              <w:rPr>
                <w:rFonts w:hint="cs"/>
                <w:rtl/>
              </w:rPr>
              <w:t xml:space="preserve">والاتصالات </w:t>
            </w:r>
            <w:r w:rsidR="00301D3C" w:rsidRPr="00301D3C">
              <w:t>(AICN)</w:t>
            </w:r>
            <w:r w:rsidRPr="007C5DC6">
              <w:rPr>
                <w:rFonts w:hint="cs"/>
                <w:rtl/>
              </w:rPr>
              <w:t>؛</w:t>
            </w:r>
          </w:p>
          <w:p w:rsidR="007C5DC6" w:rsidRDefault="007C5DC6" w:rsidP="00301D3C">
            <w:pPr>
              <w:tabs>
                <w:tab w:val="clear" w:pos="794"/>
                <w:tab w:val="clear" w:pos="1361"/>
                <w:tab w:val="clear" w:pos="1928"/>
                <w:tab w:val="clear" w:pos="2495"/>
                <w:tab w:val="clear" w:pos="3062"/>
                <w:tab w:val="left" w:pos="365"/>
              </w:tabs>
              <w:spacing w:before="60" w:after="60" w:line="300" w:lineRule="exact"/>
              <w:ind w:left="365" w:hanging="365"/>
              <w:jc w:val="left"/>
              <w:rPr>
                <w:rtl/>
              </w:rPr>
            </w:pPr>
            <w:r w:rsidRPr="00301D3C">
              <w:rPr>
                <w:rFonts w:hint="cs"/>
                <w:rtl/>
              </w:rPr>
              <w:t>-</w:t>
            </w:r>
            <w:r w:rsidRPr="00301D3C">
              <w:rPr>
                <w:rtl/>
              </w:rPr>
              <w:tab/>
            </w:r>
            <w:r w:rsidR="00301D3C" w:rsidRPr="00301D3C">
              <w:rPr>
                <w:rFonts w:hint="cs"/>
                <w:rtl/>
              </w:rPr>
              <w:t>ال</w:t>
            </w:r>
            <w:r w:rsidR="000D51C5">
              <w:rPr>
                <w:rFonts w:hint="cs"/>
                <w:rtl/>
              </w:rPr>
              <w:t>‍</w:t>
            </w:r>
            <w:r w:rsidR="00301D3C" w:rsidRPr="00301D3C">
              <w:rPr>
                <w:rFonts w:hint="cs"/>
                <w:rtl/>
              </w:rPr>
              <w:t xml:space="preserve">جماعة الاقتصادية لدول غرب إفريقيا </w:t>
            </w:r>
            <w:r w:rsidR="00301D3C" w:rsidRPr="00301D3C">
              <w:t>(ECOWAS)</w:t>
            </w:r>
            <w:r w:rsidRPr="007C5DC6">
              <w:rPr>
                <w:rFonts w:hint="cs"/>
                <w:rtl/>
              </w:rPr>
              <w:t>؛</w:t>
            </w:r>
          </w:p>
          <w:p w:rsidR="00301D3C" w:rsidRDefault="00301D3C" w:rsidP="00301D3C">
            <w:pPr>
              <w:tabs>
                <w:tab w:val="clear" w:pos="794"/>
                <w:tab w:val="clear" w:pos="1361"/>
                <w:tab w:val="clear" w:pos="1928"/>
                <w:tab w:val="clear" w:pos="2495"/>
                <w:tab w:val="clear" w:pos="3062"/>
                <w:tab w:val="left" w:pos="365"/>
              </w:tabs>
              <w:spacing w:before="60" w:after="60" w:line="300" w:lineRule="exact"/>
              <w:ind w:left="365" w:hanging="365"/>
              <w:jc w:val="left"/>
              <w:rPr>
                <w:rtl/>
                <w:lang w:bidi="ar-EG"/>
              </w:rPr>
            </w:pPr>
            <w:r>
              <w:rPr>
                <w:rFonts w:hint="cs"/>
                <w:rtl/>
              </w:rPr>
              <w:t>-</w:t>
            </w:r>
            <w:r>
              <w:rPr>
                <w:rtl/>
              </w:rPr>
              <w:tab/>
            </w:r>
            <w:r>
              <w:rPr>
                <w:rFonts w:hint="cs"/>
                <w:rtl/>
              </w:rPr>
              <w:t xml:space="preserve">منظمة اتصالات شرق إفريقيا </w:t>
            </w:r>
            <w:r>
              <w:t>(EACO)</w:t>
            </w:r>
            <w:r>
              <w:rPr>
                <w:rFonts w:hint="cs"/>
                <w:rtl/>
                <w:lang w:bidi="ar-EG"/>
              </w:rPr>
              <w:t>؛</w:t>
            </w:r>
          </w:p>
          <w:p w:rsidR="00301D3C" w:rsidRDefault="00301D3C" w:rsidP="00301D3C">
            <w:pPr>
              <w:tabs>
                <w:tab w:val="clear" w:pos="794"/>
                <w:tab w:val="clear" w:pos="1361"/>
                <w:tab w:val="clear" w:pos="1928"/>
                <w:tab w:val="clear" w:pos="2495"/>
                <w:tab w:val="clear" w:pos="3062"/>
                <w:tab w:val="left" w:pos="365"/>
              </w:tabs>
              <w:spacing w:before="60" w:after="60" w:line="300" w:lineRule="exact"/>
              <w:ind w:left="365" w:hanging="365"/>
              <w:jc w:val="left"/>
              <w:rPr>
                <w:rtl/>
                <w:lang w:bidi="ar-EG"/>
              </w:rPr>
            </w:pPr>
            <w:r>
              <w:rPr>
                <w:rFonts w:hint="cs"/>
                <w:rtl/>
                <w:lang w:bidi="ar-EG"/>
              </w:rPr>
              <w:t>-</w:t>
            </w:r>
            <w:r>
              <w:rPr>
                <w:rtl/>
                <w:lang w:bidi="ar-EG"/>
              </w:rPr>
              <w:tab/>
            </w:r>
            <w:r>
              <w:rPr>
                <w:rFonts w:hint="cs"/>
                <w:rtl/>
                <w:lang w:bidi="ar-EG"/>
              </w:rPr>
              <w:t>جامعة الدول العربية؛</w:t>
            </w:r>
          </w:p>
          <w:p w:rsidR="00301D3C" w:rsidRDefault="00301D3C" w:rsidP="00301D3C">
            <w:pPr>
              <w:tabs>
                <w:tab w:val="clear" w:pos="794"/>
                <w:tab w:val="clear" w:pos="1361"/>
                <w:tab w:val="clear" w:pos="1928"/>
                <w:tab w:val="clear" w:pos="2495"/>
                <w:tab w:val="clear" w:pos="3062"/>
                <w:tab w:val="left" w:pos="365"/>
              </w:tabs>
              <w:spacing w:before="60" w:after="60" w:line="300" w:lineRule="exact"/>
              <w:ind w:left="365" w:hanging="365"/>
              <w:jc w:val="left"/>
              <w:rPr>
                <w:rtl/>
                <w:lang w:bidi="ar-EG"/>
              </w:rPr>
            </w:pPr>
            <w:r>
              <w:rPr>
                <w:rFonts w:hint="cs"/>
                <w:rtl/>
                <w:lang w:bidi="ar-EG"/>
              </w:rPr>
              <w:t>-</w:t>
            </w:r>
            <w:r>
              <w:rPr>
                <w:rtl/>
                <w:lang w:bidi="ar-EG"/>
              </w:rPr>
              <w:tab/>
            </w:r>
            <w:r>
              <w:rPr>
                <w:rFonts w:hint="cs"/>
                <w:rtl/>
                <w:lang w:bidi="ar-EG"/>
              </w:rPr>
              <w:t>ال</w:t>
            </w:r>
            <w:r w:rsidR="000D51C5">
              <w:rPr>
                <w:rFonts w:hint="cs"/>
                <w:rtl/>
                <w:lang w:bidi="ar-EG"/>
              </w:rPr>
              <w:t>‍</w:t>
            </w:r>
            <w:r>
              <w:rPr>
                <w:rFonts w:hint="cs"/>
                <w:rtl/>
                <w:lang w:bidi="ar-EG"/>
              </w:rPr>
              <w:t>مكتب الإقليمي للات</w:t>
            </w:r>
            <w:r w:rsidR="000D51C5">
              <w:rPr>
                <w:rFonts w:hint="cs"/>
                <w:rtl/>
                <w:lang w:bidi="ar-EG"/>
              </w:rPr>
              <w:t>‍</w:t>
            </w:r>
            <w:r>
              <w:rPr>
                <w:rFonts w:hint="cs"/>
                <w:rtl/>
                <w:lang w:bidi="ar-EG"/>
              </w:rPr>
              <w:t>حاد ل</w:t>
            </w:r>
            <w:r w:rsidR="000D51C5">
              <w:rPr>
                <w:rFonts w:hint="cs"/>
                <w:rtl/>
                <w:lang w:bidi="ar-EG"/>
              </w:rPr>
              <w:t>‍</w:t>
            </w:r>
            <w:r>
              <w:rPr>
                <w:rFonts w:hint="cs"/>
                <w:rtl/>
                <w:lang w:bidi="ar-EG"/>
              </w:rPr>
              <w:t>منطقة إفريقيا؛</w:t>
            </w:r>
          </w:p>
          <w:p w:rsidR="00301D3C" w:rsidRPr="00301D3C" w:rsidRDefault="00301D3C" w:rsidP="00301D3C">
            <w:pPr>
              <w:tabs>
                <w:tab w:val="clear" w:pos="794"/>
                <w:tab w:val="clear" w:pos="1361"/>
                <w:tab w:val="clear" w:pos="1928"/>
                <w:tab w:val="clear" w:pos="2495"/>
                <w:tab w:val="clear" w:pos="3062"/>
                <w:tab w:val="left" w:pos="365"/>
              </w:tabs>
              <w:spacing w:before="60" w:after="60" w:line="300" w:lineRule="exact"/>
              <w:ind w:left="365" w:hanging="365"/>
              <w:jc w:val="left"/>
              <w:rPr>
                <w:rtl/>
                <w:lang w:bidi="ar-EG"/>
              </w:rPr>
            </w:pPr>
            <w:r>
              <w:rPr>
                <w:rFonts w:hint="cs"/>
                <w:rtl/>
                <w:lang w:bidi="ar-EG"/>
              </w:rPr>
              <w:t>-</w:t>
            </w:r>
            <w:r>
              <w:rPr>
                <w:rtl/>
                <w:lang w:bidi="ar-EG"/>
              </w:rPr>
              <w:tab/>
            </w:r>
            <w:r>
              <w:rPr>
                <w:rFonts w:hint="cs"/>
                <w:rtl/>
                <w:lang w:bidi="ar-EG"/>
              </w:rPr>
              <w:t>مكاتب مناطق الات</w:t>
            </w:r>
            <w:r w:rsidR="000D51C5">
              <w:rPr>
                <w:rFonts w:hint="cs"/>
                <w:rtl/>
                <w:lang w:bidi="ar-EG"/>
              </w:rPr>
              <w:t>‍</w:t>
            </w:r>
            <w:r>
              <w:rPr>
                <w:rFonts w:hint="cs"/>
                <w:rtl/>
                <w:lang w:bidi="ar-EG"/>
              </w:rPr>
              <w:t>حاد لمنطقة إفريقيا؛</w:t>
            </w:r>
          </w:p>
          <w:p w:rsidR="007C5DC6" w:rsidRDefault="007C5DC6" w:rsidP="00301D3C">
            <w:pPr>
              <w:tabs>
                <w:tab w:val="clear" w:pos="794"/>
                <w:tab w:val="clear" w:pos="1361"/>
                <w:tab w:val="clear" w:pos="1928"/>
                <w:tab w:val="clear" w:pos="2495"/>
                <w:tab w:val="clear" w:pos="3062"/>
                <w:tab w:val="left" w:pos="365"/>
              </w:tabs>
              <w:spacing w:before="60" w:after="60" w:line="300" w:lineRule="exact"/>
              <w:ind w:left="365" w:hanging="365"/>
              <w:jc w:val="left"/>
              <w:rPr>
                <w:rtl/>
                <w:lang w:bidi="ar-EG"/>
              </w:rPr>
            </w:pPr>
            <w:r w:rsidRPr="00301D3C">
              <w:rPr>
                <w:rFonts w:hint="cs"/>
                <w:rtl/>
              </w:rPr>
              <w:t>-</w:t>
            </w:r>
            <w:r w:rsidRPr="00301D3C">
              <w:rPr>
                <w:rtl/>
              </w:rPr>
              <w:tab/>
            </w:r>
            <w:r w:rsidRPr="00301D3C">
              <w:rPr>
                <w:rFonts w:hint="cs"/>
                <w:rtl/>
              </w:rPr>
              <w:t xml:space="preserve">رئيس ل‍جنة الدراسات </w:t>
            </w:r>
            <w:r w:rsidR="00301D3C" w:rsidRPr="00301D3C">
              <w:t>17</w:t>
            </w:r>
            <w:r w:rsidRPr="007C5DC6">
              <w:rPr>
                <w:rFonts w:hint="cs"/>
                <w:rtl/>
                <w:lang w:bidi="ar-EG"/>
              </w:rPr>
              <w:t xml:space="preserve"> ونوابه؛</w:t>
            </w:r>
          </w:p>
          <w:p w:rsidR="00DD35FC" w:rsidRPr="007C5DC6" w:rsidRDefault="00DD35FC" w:rsidP="000D51C5">
            <w:pPr>
              <w:tabs>
                <w:tab w:val="clear" w:pos="794"/>
                <w:tab w:val="clear" w:pos="1361"/>
                <w:tab w:val="clear" w:pos="1928"/>
                <w:tab w:val="clear" w:pos="2495"/>
                <w:tab w:val="clear" w:pos="3062"/>
                <w:tab w:val="left" w:pos="365"/>
              </w:tabs>
              <w:spacing w:before="60" w:after="60" w:line="300" w:lineRule="exact"/>
              <w:ind w:left="365" w:hanging="365"/>
              <w:jc w:val="left"/>
              <w:rPr>
                <w:rtl/>
                <w:lang w:bidi="ar-EG"/>
              </w:rPr>
            </w:pPr>
            <w:r>
              <w:rPr>
                <w:rFonts w:hint="cs"/>
                <w:rtl/>
                <w:lang w:bidi="ar-EG"/>
              </w:rPr>
              <w:t>-</w:t>
            </w:r>
            <w:r>
              <w:rPr>
                <w:rtl/>
                <w:lang w:bidi="ar-EG"/>
              </w:rPr>
              <w:tab/>
            </w:r>
            <w:r>
              <w:rPr>
                <w:rFonts w:hint="cs"/>
                <w:rtl/>
                <w:lang w:bidi="ar-EG"/>
              </w:rPr>
              <w:t xml:space="preserve">رئيس الفريق الإقليمي التابع </w:t>
            </w:r>
            <w:r>
              <w:rPr>
                <w:rFonts w:hint="cs"/>
                <w:rtl/>
              </w:rPr>
              <w:t>ل</w:t>
            </w:r>
            <w:r w:rsidRPr="00301D3C">
              <w:rPr>
                <w:rFonts w:hint="cs"/>
                <w:rtl/>
              </w:rPr>
              <w:t>ل‍جنة الدراسات</w:t>
            </w:r>
            <w:r w:rsidR="000D51C5">
              <w:rPr>
                <w:rFonts w:hint="eastAsia"/>
                <w:rtl/>
              </w:rPr>
              <w:t> </w:t>
            </w:r>
            <w:r w:rsidRPr="00301D3C">
              <w:t>17</w:t>
            </w:r>
            <w:r w:rsidRPr="007C5DC6">
              <w:rPr>
                <w:rFonts w:hint="cs"/>
                <w:rtl/>
                <w:lang w:bidi="ar-EG"/>
              </w:rPr>
              <w:t xml:space="preserve"> </w:t>
            </w:r>
            <w:r>
              <w:rPr>
                <w:rFonts w:hint="cs"/>
                <w:rtl/>
                <w:lang w:bidi="ar-EG"/>
              </w:rPr>
              <w:t xml:space="preserve">لمنطقة إفريقيا </w:t>
            </w:r>
            <w:r w:rsidRPr="007C5DC6">
              <w:rPr>
                <w:rFonts w:hint="cs"/>
                <w:rtl/>
                <w:lang w:bidi="ar-EG"/>
              </w:rPr>
              <w:t>ونوابه</w:t>
            </w:r>
            <w:r w:rsidR="00DE18C6">
              <w:rPr>
                <w:rFonts w:hint="cs"/>
                <w:rtl/>
                <w:lang w:bidi="ar-EG"/>
              </w:rPr>
              <w:t>؛</w:t>
            </w:r>
          </w:p>
          <w:p w:rsidR="007C5DC6" w:rsidRPr="007C5DC6" w:rsidRDefault="007C5DC6" w:rsidP="00826E64">
            <w:pPr>
              <w:tabs>
                <w:tab w:val="clear" w:pos="794"/>
                <w:tab w:val="clear" w:pos="1361"/>
                <w:tab w:val="clear" w:pos="1928"/>
                <w:tab w:val="clear" w:pos="2495"/>
                <w:tab w:val="clear" w:pos="3062"/>
                <w:tab w:val="left" w:pos="365"/>
              </w:tabs>
              <w:spacing w:before="60" w:after="60" w:line="300" w:lineRule="exact"/>
              <w:ind w:left="365" w:hanging="365"/>
              <w:jc w:val="left"/>
              <w:rPr>
                <w:rtl/>
              </w:rPr>
            </w:pPr>
            <w:r w:rsidRPr="007C5DC6">
              <w:rPr>
                <w:rFonts w:hint="cs"/>
                <w:rtl/>
              </w:rPr>
              <w:t>-</w:t>
            </w:r>
            <w:r w:rsidRPr="007C5DC6">
              <w:rPr>
                <w:rtl/>
              </w:rPr>
              <w:tab/>
              <w:t>مدير مكتب تنمية الاتصالات</w:t>
            </w:r>
            <w:r w:rsidRPr="007C5DC6">
              <w:rPr>
                <w:rFonts w:hint="cs"/>
                <w:rtl/>
              </w:rPr>
              <w:t>؛</w:t>
            </w:r>
          </w:p>
          <w:p w:rsidR="007C5DC6" w:rsidRPr="007C5DC6" w:rsidRDefault="007C5DC6" w:rsidP="00826E64">
            <w:pPr>
              <w:tabs>
                <w:tab w:val="clear" w:pos="794"/>
                <w:tab w:val="clear" w:pos="1361"/>
                <w:tab w:val="clear" w:pos="1928"/>
                <w:tab w:val="clear" w:pos="2495"/>
                <w:tab w:val="clear" w:pos="3062"/>
                <w:tab w:val="left" w:pos="365"/>
              </w:tabs>
              <w:spacing w:before="60" w:after="60" w:line="300" w:lineRule="exact"/>
              <w:ind w:left="365" w:hanging="365"/>
              <w:jc w:val="left"/>
              <w:rPr>
                <w:rtl/>
                <w:lang w:bidi="ar-EG"/>
              </w:rPr>
            </w:pPr>
            <w:r w:rsidRPr="007C5DC6">
              <w:rPr>
                <w:rFonts w:hint="cs"/>
                <w:rtl/>
              </w:rPr>
              <w:t>-</w:t>
            </w:r>
            <w:r w:rsidRPr="007C5DC6">
              <w:rPr>
                <w:rtl/>
              </w:rPr>
              <w:tab/>
              <w:t>مدير مكتب الاتصالات الراديوية</w:t>
            </w:r>
          </w:p>
        </w:tc>
      </w:tr>
      <w:tr w:rsidR="007C5DC6" w:rsidRPr="007C5DC6" w:rsidTr="00826E64">
        <w:trPr>
          <w:cantSplit/>
        </w:trPr>
        <w:tc>
          <w:tcPr>
            <w:tcW w:w="796" w:type="pct"/>
          </w:tcPr>
          <w:p w:rsidR="007C5DC6" w:rsidRPr="007C5DC6" w:rsidRDefault="007C5DC6" w:rsidP="00826E64">
            <w:pPr>
              <w:spacing w:before="60" w:after="60" w:line="300" w:lineRule="exact"/>
              <w:jc w:val="left"/>
              <w:rPr>
                <w:rtl/>
                <w:lang w:bidi="ar-SY"/>
              </w:rPr>
            </w:pPr>
          </w:p>
        </w:tc>
        <w:tc>
          <w:tcPr>
            <w:tcW w:w="1734" w:type="pct"/>
          </w:tcPr>
          <w:p w:rsidR="007C5DC6" w:rsidRPr="007C5DC6" w:rsidRDefault="007C5DC6" w:rsidP="00826E64">
            <w:pPr>
              <w:spacing w:before="60" w:after="60" w:line="300" w:lineRule="exact"/>
              <w:jc w:val="left"/>
              <w:rPr>
                <w:lang w:bidi="ar-SY"/>
              </w:rPr>
            </w:pPr>
          </w:p>
        </w:tc>
        <w:tc>
          <w:tcPr>
            <w:tcW w:w="2471" w:type="pct"/>
          </w:tcPr>
          <w:p w:rsidR="007C5DC6" w:rsidRPr="007C5DC6" w:rsidRDefault="007C5DC6" w:rsidP="00826E64">
            <w:pPr>
              <w:spacing w:before="60" w:after="60" w:line="300" w:lineRule="exact"/>
              <w:jc w:val="left"/>
              <w:rPr>
                <w:b/>
                <w:bCs/>
                <w:rtl/>
              </w:rPr>
            </w:pPr>
          </w:p>
        </w:tc>
      </w:tr>
      <w:tr w:rsidR="007C5DC6" w:rsidRPr="007C5DC6" w:rsidTr="00826E64">
        <w:trPr>
          <w:cantSplit/>
        </w:trPr>
        <w:tc>
          <w:tcPr>
            <w:tcW w:w="796" w:type="pct"/>
          </w:tcPr>
          <w:p w:rsidR="007C5DC6" w:rsidRPr="007C5DC6" w:rsidRDefault="007C5DC6" w:rsidP="00826E64">
            <w:pPr>
              <w:spacing w:before="60" w:after="60" w:line="340" w:lineRule="exact"/>
              <w:jc w:val="left"/>
              <w:rPr>
                <w:rtl/>
                <w:lang w:bidi="ar-SY"/>
              </w:rPr>
            </w:pPr>
            <w:r w:rsidRPr="007C5DC6">
              <w:rPr>
                <w:rFonts w:hint="cs"/>
                <w:rtl/>
              </w:rPr>
              <w:t>الموضوع:</w:t>
            </w:r>
          </w:p>
        </w:tc>
        <w:tc>
          <w:tcPr>
            <w:tcW w:w="4204" w:type="pct"/>
            <w:gridSpan w:val="2"/>
          </w:tcPr>
          <w:p w:rsidR="007C5DC6" w:rsidRPr="00DD35FC" w:rsidRDefault="00DD35FC" w:rsidP="00AE1EF0">
            <w:pPr>
              <w:spacing w:before="60" w:after="60" w:line="340" w:lineRule="exact"/>
              <w:jc w:val="left"/>
              <w:rPr>
                <w:b/>
                <w:bCs/>
                <w:spacing w:val="-4"/>
                <w:rtl/>
                <w:lang w:bidi="ar-EG"/>
              </w:rPr>
            </w:pPr>
            <w:r w:rsidRPr="00DD35FC">
              <w:rPr>
                <w:rFonts w:hint="cs"/>
                <w:b/>
                <w:bCs/>
                <w:spacing w:val="-4"/>
                <w:rtl/>
              </w:rPr>
              <w:t xml:space="preserve">إنشاء فريق إقليمي تابع للجنة الدراسات </w:t>
            </w:r>
            <w:r w:rsidRPr="00DD35FC">
              <w:rPr>
                <w:b/>
                <w:bCs/>
                <w:spacing w:val="-4"/>
              </w:rPr>
              <w:t>17</w:t>
            </w:r>
            <w:r w:rsidRPr="00DD35FC">
              <w:rPr>
                <w:rFonts w:hint="cs"/>
                <w:b/>
                <w:bCs/>
                <w:spacing w:val="-4"/>
                <w:rtl/>
              </w:rPr>
              <w:t xml:space="preserve"> لقطاع تقييس الاتصالات لمنطقة إفريقيا </w:t>
            </w:r>
            <w:r w:rsidRPr="00DD35FC">
              <w:rPr>
                <w:b/>
                <w:bCs/>
                <w:spacing w:val="-4"/>
              </w:rPr>
              <w:t>(SG17</w:t>
            </w:r>
            <w:r w:rsidR="00AE1EF0">
              <w:rPr>
                <w:b/>
                <w:bCs/>
                <w:spacing w:val="-4"/>
              </w:rPr>
              <w:t> </w:t>
            </w:r>
            <w:r w:rsidRPr="00DD35FC">
              <w:rPr>
                <w:b/>
                <w:bCs/>
                <w:spacing w:val="-4"/>
              </w:rPr>
              <w:t>RG</w:t>
            </w:r>
            <w:r w:rsidR="00AE1EF0">
              <w:rPr>
                <w:b/>
                <w:bCs/>
                <w:spacing w:val="-4"/>
              </w:rPr>
              <w:noBreakHyphen/>
            </w:r>
            <w:r w:rsidRPr="00DD35FC">
              <w:rPr>
                <w:b/>
                <w:bCs/>
                <w:spacing w:val="-4"/>
              </w:rPr>
              <w:t>AFR)</w:t>
            </w:r>
          </w:p>
        </w:tc>
      </w:tr>
    </w:tbl>
    <w:p w:rsidR="007C5DC6" w:rsidRPr="007C5DC6" w:rsidRDefault="007C5DC6" w:rsidP="000F7064">
      <w:pPr>
        <w:pStyle w:val="Normalaftertitle"/>
        <w:spacing w:before="600"/>
        <w:rPr>
          <w:rtl/>
          <w:lang w:bidi="ar-EG"/>
        </w:rPr>
      </w:pPr>
      <w:r w:rsidRPr="007C5DC6">
        <w:rPr>
          <w:rFonts w:hint="cs"/>
          <w:rtl/>
        </w:rPr>
        <w:t>حضرات السادة والسيدات،</w:t>
      </w:r>
    </w:p>
    <w:p w:rsidR="007C5DC6" w:rsidRPr="007C5DC6" w:rsidRDefault="007C5DC6" w:rsidP="007C5DC6">
      <w:pPr>
        <w:rPr>
          <w:rtl/>
        </w:rPr>
      </w:pPr>
      <w:r w:rsidRPr="007C5DC6">
        <w:rPr>
          <w:rFonts w:hint="cs"/>
          <w:rtl/>
        </w:rPr>
        <w:t>ت</w:t>
      </w:r>
      <w:r w:rsidRPr="007C5DC6">
        <w:rPr>
          <w:rFonts w:hint="cs"/>
          <w:rtl/>
          <w:lang w:bidi="ar-EG"/>
        </w:rPr>
        <w:t>‍</w:t>
      </w:r>
      <w:r w:rsidRPr="007C5DC6">
        <w:rPr>
          <w:rFonts w:hint="cs"/>
          <w:rtl/>
        </w:rPr>
        <w:t>حية طيبة وبعد،</w:t>
      </w:r>
    </w:p>
    <w:p w:rsidR="00107CBA" w:rsidRDefault="00107CBA" w:rsidP="00AE1EF0">
      <w:pPr>
        <w:rPr>
          <w:rtl/>
          <w:lang w:bidi="ar-EG"/>
        </w:rPr>
      </w:pPr>
      <w:r w:rsidRPr="00107CBA">
        <w:rPr>
          <w:rFonts w:hint="cs"/>
          <w:rtl/>
        </w:rPr>
        <w:t xml:space="preserve">يسرني أن أبلغكم أن لجنة الدراسات </w:t>
      </w:r>
      <w:r w:rsidRPr="00107CBA">
        <w:t>17</w:t>
      </w:r>
      <w:r w:rsidRPr="00107CBA">
        <w:rPr>
          <w:rFonts w:hint="cs"/>
          <w:rtl/>
        </w:rPr>
        <w:t xml:space="preserve"> لقطاع تقييس الاتصالات، </w:t>
      </w:r>
      <w:r w:rsidRPr="00DE18C6">
        <w:rPr>
          <w:rFonts w:hint="cs"/>
          <w:i/>
          <w:iCs/>
          <w:rtl/>
        </w:rPr>
        <w:t>الأمن</w:t>
      </w:r>
      <w:r w:rsidRPr="00107CBA">
        <w:rPr>
          <w:rFonts w:hint="cs"/>
          <w:rtl/>
        </w:rPr>
        <w:t xml:space="preserve">، قررت في جلستها العامة الختامية بتاريخ </w:t>
      </w:r>
      <w:r w:rsidRPr="00107CBA">
        <w:t>17</w:t>
      </w:r>
      <w:r w:rsidRPr="00107CBA">
        <w:rPr>
          <w:rFonts w:hint="cs"/>
          <w:rtl/>
        </w:rPr>
        <w:t xml:space="preserve"> أبريل </w:t>
      </w:r>
      <w:r w:rsidRPr="00107CBA">
        <w:t>2015</w:t>
      </w:r>
      <w:r w:rsidRPr="00107CBA">
        <w:rPr>
          <w:rFonts w:hint="cs"/>
          <w:rtl/>
        </w:rPr>
        <w:t xml:space="preserve"> إنشاء فريق إقليمي تابع للجنة الدراسات </w:t>
      </w:r>
      <w:r w:rsidRPr="00107CBA">
        <w:t>17</w:t>
      </w:r>
      <w:r w:rsidRPr="00107CBA">
        <w:rPr>
          <w:rFonts w:hint="cs"/>
          <w:rtl/>
        </w:rPr>
        <w:t xml:space="preserve"> لقطاع تقييس الاتصالات لمنطقة إفريقيا </w:t>
      </w:r>
      <w:r w:rsidRPr="00107CBA">
        <w:t>(SG17</w:t>
      </w:r>
      <w:r w:rsidR="00AE1EF0">
        <w:t> </w:t>
      </w:r>
      <w:r w:rsidRPr="00107CBA">
        <w:t>RG</w:t>
      </w:r>
      <w:r w:rsidR="00AE1EF0">
        <w:noBreakHyphen/>
      </w:r>
      <w:r w:rsidRPr="00107CBA">
        <w:t>AFR)</w:t>
      </w:r>
      <w:r>
        <w:rPr>
          <w:rFonts w:hint="cs"/>
          <w:rtl/>
        </w:rPr>
        <w:t>، كما هو محدد في القرار</w:t>
      </w:r>
      <w:r>
        <w:rPr>
          <w:rFonts w:hint="eastAsia"/>
          <w:rtl/>
        </w:rPr>
        <w:t> </w:t>
      </w:r>
      <w:r>
        <w:t>54</w:t>
      </w:r>
      <w:r>
        <w:rPr>
          <w:rFonts w:hint="cs"/>
          <w:rtl/>
          <w:lang w:bidi="ar-EG"/>
        </w:rPr>
        <w:t xml:space="preserve"> الصادر عن الجمعية العالمية لتقييس الاتصالات لعام </w:t>
      </w:r>
      <w:r>
        <w:rPr>
          <w:lang w:bidi="ar-EG"/>
        </w:rPr>
        <w:t>2012</w:t>
      </w:r>
      <w:r>
        <w:rPr>
          <w:rFonts w:hint="cs"/>
          <w:rtl/>
          <w:lang w:bidi="ar-EG"/>
        </w:rPr>
        <w:t>.</w:t>
      </w:r>
    </w:p>
    <w:p w:rsidR="00107CBA" w:rsidRDefault="00107CBA" w:rsidP="00107CBA">
      <w:pPr>
        <w:rPr>
          <w:rtl/>
          <w:lang w:bidi="ar-EG"/>
        </w:rPr>
      </w:pPr>
      <w:r>
        <w:rPr>
          <w:rFonts w:hint="cs"/>
          <w:rtl/>
          <w:lang w:bidi="ar-EG"/>
        </w:rPr>
        <w:t>ويترأس هذا الفريق السيد ميخائيل كاتوندو (كينيا) ونواب الرئيس هم السيد محمد الحاج (السودان) والسيد باتريك مويسيغوا</w:t>
      </w:r>
      <w:r>
        <w:rPr>
          <w:rFonts w:hint="eastAsia"/>
          <w:rtl/>
          <w:lang w:bidi="ar-EG"/>
        </w:rPr>
        <w:t> </w:t>
      </w:r>
      <w:r>
        <w:rPr>
          <w:rFonts w:hint="cs"/>
          <w:rtl/>
          <w:lang w:bidi="ar-EG"/>
        </w:rPr>
        <w:t>(أوغندا) والسيد محمد توريه (غينيا).</w:t>
      </w:r>
    </w:p>
    <w:p w:rsidR="00107CBA" w:rsidRDefault="00107CBA" w:rsidP="00107CBA">
      <w:pPr>
        <w:rPr>
          <w:rtl/>
          <w:lang w:bidi="ar-EG"/>
        </w:rPr>
      </w:pPr>
      <w:r>
        <w:rPr>
          <w:rFonts w:hint="cs"/>
          <w:rtl/>
          <w:lang w:bidi="ar-EG"/>
        </w:rPr>
        <w:lastRenderedPageBreak/>
        <w:t>وكان للأفرقة الإقليمية وما زال دور بالغ الفعالية في تنسيق المساهمات الإقليمية في عملنا وكانت أدوات ممتازة لتنظيم الاجتماعات القريبة من مناطقها. كما تساهم الأفرقة الإقليمية في تحقيق الشمول لعملية التقييس التي يضطلع بها قطاع تقييس الاتصالات.</w:t>
      </w:r>
    </w:p>
    <w:p w:rsidR="00107CBA" w:rsidRPr="00F4745E" w:rsidRDefault="00107CBA" w:rsidP="005B4794">
      <w:pPr>
        <w:rPr>
          <w:spacing w:val="-2"/>
          <w:rtl/>
        </w:rPr>
      </w:pPr>
      <w:r w:rsidRPr="00F4745E">
        <w:rPr>
          <w:rFonts w:hint="cs"/>
          <w:spacing w:val="-2"/>
          <w:rtl/>
          <w:lang w:bidi="ar-EG"/>
        </w:rPr>
        <w:t xml:space="preserve">وترد في </w:t>
      </w:r>
      <w:r w:rsidRPr="00F4745E">
        <w:rPr>
          <w:rFonts w:hint="cs"/>
          <w:b/>
          <w:bCs/>
          <w:spacing w:val="-2"/>
          <w:rtl/>
          <w:lang w:bidi="ar-EG"/>
        </w:rPr>
        <w:t xml:space="preserve">الملحق </w:t>
      </w:r>
      <w:r w:rsidRPr="00F4745E">
        <w:rPr>
          <w:b/>
          <w:bCs/>
          <w:spacing w:val="-2"/>
          <w:lang w:bidi="ar-EG"/>
        </w:rPr>
        <w:t>A</w:t>
      </w:r>
      <w:r w:rsidRPr="00F4745E">
        <w:rPr>
          <w:rFonts w:hint="cs"/>
          <w:spacing w:val="-2"/>
          <w:rtl/>
          <w:lang w:bidi="ar-EG"/>
        </w:rPr>
        <w:t xml:space="preserve"> اختصاصات </w:t>
      </w:r>
      <w:r w:rsidRPr="00F4745E">
        <w:rPr>
          <w:rFonts w:hint="cs"/>
          <w:spacing w:val="-2"/>
          <w:rtl/>
        </w:rPr>
        <w:t xml:space="preserve">الفريق الإقليمي التابع للجنة الدراسات </w:t>
      </w:r>
      <w:r w:rsidRPr="00F4745E">
        <w:rPr>
          <w:spacing w:val="-2"/>
        </w:rPr>
        <w:t>17</w:t>
      </w:r>
      <w:r w:rsidRPr="00F4745E">
        <w:rPr>
          <w:rFonts w:hint="cs"/>
          <w:spacing w:val="-2"/>
          <w:rtl/>
        </w:rPr>
        <w:t xml:space="preserve"> </w:t>
      </w:r>
      <w:r w:rsidR="00DE18C6" w:rsidRPr="00F4745E">
        <w:rPr>
          <w:rFonts w:hint="cs"/>
          <w:spacing w:val="-2"/>
          <w:rtl/>
        </w:rPr>
        <w:t xml:space="preserve">لقطاع تقييس الاتصالات </w:t>
      </w:r>
      <w:r w:rsidRPr="00F4745E">
        <w:rPr>
          <w:rFonts w:hint="cs"/>
          <w:spacing w:val="-2"/>
          <w:rtl/>
        </w:rPr>
        <w:t xml:space="preserve">لمنطقة إفريقيا </w:t>
      </w:r>
      <w:r w:rsidRPr="00F4745E">
        <w:rPr>
          <w:spacing w:val="-2"/>
        </w:rPr>
        <w:t>(SG17</w:t>
      </w:r>
      <w:r w:rsidR="005B4794">
        <w:rPr>
          <w:spacing w:val="-2"/>
        </w:rPr>
        <w:t> </w:t>
      </w:r>
      <w:r w:rsidRPr="00F4745E">
        <w:rPr>
          <w:spacing w:val="-2"/>
        </w:rPr>
        <w:t>RG</w:t>
      </w:r>
      <w:r w:rsidR="00F4745E" w:rsidRPr="00F4745E">
        <w:rPr>
          <w:spacing w:val="-2"/>
        </w:rPr>
        <w:noBreakHyphen/>
      </w:r>
      <w:r w:rsidRPr="00F4745E">
        <w:rPr>
          <w:spacing w:val="-2"/>
        </w:rPr>
        <w:t>AFR)</w:t>
      </w:r>
      <w:r w:rsidRPr="00F4745E">
        <w:rPr>
          <w:rFonts w:hint="cs"/>
          <w:spacing w:val="-2"/>
          <w:rtl/>
        </w:rPr>
        <w:t>.</w:t>
      </w:r>
    </w:p>
    <w:p w:rsidR="00107CBA" w:rsidRDefault="00107CBA" w:rsidP="00107CBA">
      <w:pPr>
        <w:rPr>
          <w:rtl/>
          <w:lang w:bidi="ar-EG"/>
        </w:rPr>
      </w:pPr>
      <w:r>
        <w:rPr>
          <w:rFonts w:hint="cs"/>
          <w:rtl/>
          <w:lang w:bidi="ar-EG"/>
        </w:rPr>
        <w:t>وهناك صفحة ويب متاحة على:</w:t>
      </w:r>
      <w:r w:rsidRPr="00B66D27">
        <w:rPr>
          <w:rFonts w:hint="cs"/>
          <w:color w:val="0000FF"/>
          <w:rtl/>
          <w:lang w:bidi="ar-EG"/>
        </w:rPr>
        <w:t xml:space="preserve"> </w:t>
      </w:r>
      <w:hyperlink r:id="rId11" w:history="1">
        <w:r w:rsidRPr="00B66D27">
          <w:rPr>
            <w:rStyle w:val="Hyperlink"/>
            <w:color w:val="0000FF"/>
          </w:rPr>
          <w:t>http://www.itu.int/en/ITU-T/studygroups/2013-2016/17/sg17rgafr</w:t>
        </w:r>
      </w:hyperlink>
      <w:r w:rsidRPr="00107CBA">
        <w:rPr>
          <w:rFonts w:hint="cs"/>
          <w:rtl/>
        </w:rPr>
        <w:t>.</w:t>
      </w:r>
    </w:p>
    <w:p w:rsidR="00107CBA" w:rsidRPr="00107CBA" w:rsidRDefault="00107CBA" w:rsidP="00107CBA">
      <w:pPr>
        <w:rPr>
          <w:rtl/>
          <w:lang w:bidi="ar-EG"/>
        </w:rPr>
      </w:pPr>
      <w:r>
        <w:rPr>
          <w:rFonts w:hint="cs"/>
          <w:rtl/>
          <w:lang w:bidi="ar-EG"/>
        </w:rPr>
        <w:t xml:space="preserve">كما أن هناك قائمة بريدية متاحة على: </w:t>
      </w:r>
      <w:hyperlink r:id="rId12" w:history="1">
        <w:r w:rsidRPr="00B66D27">
          <w:rPr>
            <w:rStyle w:val="Hyperlink"/>
            <w:color w:val="0000FF"/>
          </w:rPr>
          <w:t>t13sg17rgafr@lists.itu.int</w:t>
        </w:r>
      </w:hyperlink>
      <w:r w:rsidRPr="00107CBA">
        <w:rPr>
          <w:rFonts w:hint="cs"/>
          <w:rtl/>
        </w:rPr>
        <w:t>.</w:t>
      </w:r>
    </w:p>
    <w:p w:rsidR="007C5DC6" w:rsidRPr="00107CBA" w:rsidRDefault="00107CBA" w:rsidP="00717A93">
      <w:pPr>
        <w:spacing w:before="240"/>
        <w:rPr>
          <w:rtl/>
          <w:lang w:bidi="ar-EG"/>
        </w:rPr>
      </w:pPr>
      <w:r w:rsidRPr="00107CBA">
        <w:rPr>
          <w:rFonts w:hint="cs"/>
          <w:rtl/>
        </w:rPr>
        <w:t>ونتط</w:t>
      </w:r>
      <w:r>
        <w:rPr>
          <w:rFonts w:hint="cs"/>
          <w:rtl/>
        </w:rPr>
        <w:t>لع إلى تعاون مثمر ونرحب بدعمكم ومشاركتكم في هذا الفريق.</w:t>
      </w:r>
    </w:p>
    <w:p w:rsidR="00706D7A" w:rsidRDefault="007C5DC6" w:rsidP="00717A93">
      <w:pPr>
        <w:spacing w:before="240"/>
        <w:rPr>
          <w:rtl/>
          <w:lang w:bidi="ar-EG"/>
        </w:rPr>
      </w:pPr>
      <w:r w:rsidRPr="007C5DC6">
        <w:rPr>
          <w:rFonts w:hint="cs"/>
          <w:rtl/>
          <w:lang w:bidi="ar-EG"/>
        </w:rPr>
        <w:t>وتفضلوا بقبول فائق التقدير والاحترام.</w:t>
      </w:r>
    </w:p>
    <w:p w:rsidR="007C5DC6" w:rsidRDefault="007C5DC6" w:rsidP="007C5DC6">
      <w:pPr>
        <w:spacing w:before="1440"/>
        <w:jc w:val="left"/>
        <w:rPr>
          <w:rtl/>
          <w:lang w:bidi="ar-SY"/>
        </w:rPr>
      </w:pPr>
      <w:bookmarkStart w:id="0" w:name="_GoBack"/>
      <w:bookmarkEnd w:id="0"/>
      <w:r>
        <w:rPr>
          <w:rFonts w:hint="cs"/>
          <w:rtl/>
          <w:lang w:bidi="ar-SY"/>
        </w:rPr>
        <w:t>تشيساب</w:t>
      </w:r>
      <w:r>
        <w:rPr>
          <w:rtl/>
          <w:lang w:bidi="ar-SY"/>
        </w:rPr>
        <w:t xml:space="preserve"> </w:t>
      </w:r>
      <w:r>
        <w:rPr>
          <w:rFonts w:hint="cs"/>
          <w:rtl/>
          <w:lang w:bidi="ar-SY"/>
        </w:rPr>
        <w:t>لي</w:t>
      </w:r>
      <w:r>
        <w:rPr>
          <w:rtl/>
          <w:lang w:bidi="ar-SY"/>
        </w:rPr>
        <w:br/>
      </w:r>
      <w:r>
        <w:rPr>
          <w:rFonts w:hint="cs"/>
          <w:rtl/>
          <w:lang w:bidi="ar-SY"/>
        </w:rPr>
        <w:t>مدير</w:t>
      </w:r>
      <w:r>
        <w:rPr>
          <w:rtl/>
          <w:lang w:bidi="ar-SY"/>
        </w:rPr>
        <w:t xml:space="preserve"> </w:t>
      </w:r>
      <w:r>
        <w:rPr>
          <w:rFonts w:hint="cs"/>
          <w:rtl/>
          <w:lang w:bidi="ar-SY"/>
        </w:rPr>
        <w:t>مكتب</w:t>
      </w:r>
      <w:r>
        <w:rPr>
          <w:rtl/>
          <w:lang w:bidi="ar-SY"/>
        </w:rPr>
        <w:t xml:space="preserve"> </w:t>
      </w:r>
      <w:r>
        <w:rPr>
          <w:rFonts w:hint="cs"/>
          <w:rtl/>
          <w:lang w:bidi="ar-SY"/>
        </w:rPr>
        <w:t>تقييس</w:t>
      </w:r>
      <w:r>
        <w:rPr>
          <w:rtl/>
          <w:lang w:bidi="ar-SY"/>
        </w:rPr>
        <w:t xml:space="preserve"> </w:t>
      </w:r>
      <w:r>
        <w:rPr>
          <w:rFonts w:hint="cs"/>
          <w:rtl/>
          <w:lang w:bidi="ar-SY"/>
        </w:rPr>
        <w:t>الاتصالات</w:t>
      </w:r>
    </w:p>
    <w:p w:rsidR="00107CBA" w:rsidRDefault="00107CBA" w:rsidP="007C5DC6">
      <w:pPr>
        <w:spacing w:before="1440"/>
        <w:jc w:val="left"/>
        <w:rPr>
          <w:rtl/>
          <w:lang w:bidi="ar-SY"/>
        </w:rPr>
      </w:pPr>
    </w:p>
    <w:p w:rsidR="00107CBA" w:rsidRDefault="00107CBA" w:rsidP="007C5DC6">
      <w:pPr>
        <w:spacing w:before="1440"/>
        <w:jc w:val="left"/>
        <w:rPr>
          <w:rtl/>
          <w:lang w:bidi="ar-SY"/>
        </w:rPr>
      </w:pPr>
    </w:p>
    <w:p w:rsidR="00107CBA" w:rsidRPr="00107CBA" w:rsidRDefault="00107CBA" w:rsidP="00DE18C6">
      <w:pPr>
        <w:spacing w:before="1440"/>
        <w:jc w:val="left"/>
        <w:rPr>
          <w:lang w:bidi="ar-EG"/>
        </w:rPr>
      </w:pPr>
      <w:r>
        <w:rPr>
          <w:rFonts w:hint="cs"/>
          <w:b/>
          <w:bCs/>
          <w:rtl/>
          <w:lang w:bidi="ar-SY"/>
        </w:rPr>
        <w:t>الملح</w:t>
      </w:r>
      <w:r w:rsidR="00DE18C6">
        <w:rPr>
          <w:rFonts w:hint="cs"/>
          <w:b/>
          <w:bCs/>
          <w:rtl/>
          <w:lang w:bidi="ar-SY"/>
        </w:rPr>
        <w:t>قات</w:t>
      </w:r>
      <w:r>
        <w:rPr>
          <w:rFonts w:hint="cs"/>
          <w:b/>
          <w:bCs/>
          <w:rtl/>
          <w:lang w:bidi="ar-EG"/>
        </w:rPr>
        <w:t xml:space="preserve">: </w:t>
      </w:r>
      <w:r>
        <w:rPr>
          <w:lang w:bidi="ar-EG"/>
        </w:rPr>
        <w:t>1</w:t>
      </w:r>
    </w:p>
    <w:p w:rsidR="007C5DC6" w:rsidRDefault="007C5DC6" w:rsidP="007C5DC6">
      <w:pPr>
        <w:rPr>
          <w:rtl/>
          <w:lang w:bidi="ar-SY"/>
        </w:rPr>
      </w:pPr>
      <w:r>
        <w:rPr>
          <w:rtl/>
          <w:lang w:bidi="ar-SY"/>
        </w:rPr>
        <w:br w:type="page"/>
      </w:r>
    </w:p>
    <w:p w:rsidR="00DE18C6" w:rsidRDefault="00107CBA" w:rsidP="00DE18C6">
      <w:pPr>
        <w:pStyle w:val="Annextitle"/>
        <w:spacing w:after="0"/>
        <w:rPr>
          <w:rtl/>
        </w:rPr>
      </w:pPr>
      <w:r>
        <w:rPr>
          <w:rFonts w:hint="cs"/>
          <w:rtl/>
        </w:rPr>
        <w:lastRenderedPageBreak/>
        <w:t xml:space="preserve">الملحق </w:t>
      </w:r>
      <w:r>
        <w:t>A</w:t>
      </w:r>
    </w:p>
    <w:p w:rsidR="00107CBA" w:rsidRPr="002445FE" w:rsidRDefault="00107CBA" w:rsidP="00DE18C6">
      <w:pPr>
        <w:jc w:val="center"/>
        <w:rPr>
          <w:b/>
          <w:bCs/>
          <w:rtl/>
        </w:rPr>
      </w:pPr>
      <w:r w:rsidRPr="002445FE">
        <w:rPr>
          <w:rFonts w:hint="cs"/>
          <w:b/>
          <w:bCs/>
          <w:rtl/>
        </w:rPr>
        <w:t xml:space="preserve">(بالرسالة المعممة </w:t>
      </w:r>
      <w:r w:rsidRPr="002445FE">
        <w:rPr>
          <w:b/>
          <w:bCs/>
        </w:rPr>
        <w:t>151</w:t>
      </w:r>
      <w:r w:rsidRPr="002445FE">
        <w:rPr>
          <w:rFonts w:hint="cs"/>
          <w:b/>
          <w:bCs/>
          <w:rtl/>
        </w:rPr>
        <w:t>)</w:t>
      </w:r>
    </w:p>
    <w:p w:rsidR="007C5DC6" w:rsidRPr="00FA5C5A" w:rsidRDefault="002365A9" w:rsidP="00DE18C6">
      <w:pPr>
        <w:pStyle w:val="Annextitle"/>
        <w:rPr>
          <w:sz w:val="22"/>
          <w:szCs w:val="32"/>
          <w:rtl/>
        </w:rPr>
      </w:pPr>
      <w:r w:rsidRPr="00FA5C5A">
        <w:rPr>
          <w:rFonts w:hint="cs"/>
          <w:sz w:val="22"/>
          <w:szCs w:val="32"/>
          <w:rtl/>
        </w:rPr>
        <w:t xml:space="preserve">اختصاصات </w:t>
      </w:r>
      <w:r w:rsidR="00107CBA" w:rsidRPr="00FA5C5A">
        <w:rPr>
          <w:rFonts w:hint="cs"/>
          <w:sz w:val="22"/>
          <w:szCs w:val="32"/>
          <w:rtl/>
        </w:rPr>
        <w:t xml:space="preserve">الفريق الإقليمي التابع للجنة الدراسات </w:t>
      </w:r>
      <w:r w:rsidR="00107CBA" w:rsidRPr="00FA5C5A">
        <w:rPr>
          <w:sz w:val="22"/>
          <w:szCs w:val="32"/>
        </w:rPr>
        <w:t>17</w:t>
      </w:r>
      <w:r w:rsidR="00107CBA" w:rsidRPr="00FA5C5A">
        <w:rPr>
          <w:rFonts w:hint="cs"/>
          <w:sz w:val="22"/>
          <w:szCs w:val="32"/>
          <w:rtl/>
        </w:rPr>
        <w:t xml:space="preserve"> </w:t>
      </w:r>
      <w:r w:rsidR="00DE18C6" w:rsidRPr="00FA5C5A">
        <w:rPr>
          <w:rFonts w:hint="cs"/>
          <w:sz w:val="22"/>
          <w:szCs w:val="32"/>
          <w:rtl/>
        </w:rPr>
        <w:t>لقطاع تقييس الاتصالات</w:t>
      </w:r>
      <w:r w:rsidR="00DE18C6" w:rsidRPr="00FA5C5A">
        <w:rPr>
          <w:sz w:val="22"/>
          <w:szCs w:val="32"/>
          <w:rtl/>
        </w:rPr>
        <w:br/>
      </w:r>
      <w:r w:rsidR="00107CBA" w:rsidRPr="00FA5C5A">
        <w:rPr>
          <w:rFonts w:hint="cs"/>
          <w:sz w:val="22"/>
          <w:szCs w:val="32"/>
          <w:rtl/>
        </w:rPr>
        <w:t xml:space="preserve">لمنطقة إفريقيا </w:t>
      </w:r>
      <w:r w:rsidR="00107CBA" w:rsidRPr="00FA5C5A">
        <w:rPr>
          <w:sz w:val="22"/>
          <w:szCs w:val="32"/>
        </w:rPr>
        <w:t>(SG17 RG-AFR)</w:t>
      </w:r>
    </w:p>
    <w:p w:rsidR="00107CBA" w:rsidRDefault="00107CBA" w:rsidP="00107CBA">
      <w:pPr>
        <w:rPr>
          <w:rtl/>
        </w:rPr>
      </w:pPr>
      <w:r>
        <w:rPr>
          <w:rFonts w:hint="cs"/>
          <w:rtl/>
        </w:rPr>
        <w:t>يُعد أمن تكنولوجيا المعلومات والاتصالات أحد التحديات الرئيسية التي تواجهها البلدان النامية والمتقدمة على السواء. ولتحقيق هدفه المتمثل في بناء الثقة والأمن في استعمال تكنولوجيا المعلومات والاتصالات، اعتمد الاتحاد عدداً من القرارات المتعلقة بالأمن:</w:t>
      </w:r>
    </w:p>
    <w:p w:rsidR="00107CBA" w:rsidRDefault="00107CBA" w:rsidP="002365A9">
      <w:pPr>
        <w:pStyle w:val="enumlev1"/>
        <w:rPr>
          <w:rtl/>
          <w:lang w:bidi="ar-EG"/>
        </w:rPr>
      </w:pPr>
      <w:r w:rsidRPr="002365A9">
        <w:sym w:font="Symbol" w:char="F0B7"/>
      </w:r>
      <w:r w:rsidRPr="002365A9">
        <w:rPr>
          <w:rtl/>
        </w:rPr>
        <w:tab/>
      </w:r>
      <w:r w:rsidRPr="002365A9">
        <w:rPr>
          <w:rFonts w:hint="cs"/>
          <w:rtl/>
        </w:rPr>
        <w:t xml:space="preserve">القرار </w:t>
      </w:r>
      <w:r w:rsidR="002365A9" w:rsidRPr="002365A9">
        <w:t>181</w:t>
      </w:r>
      <w:r w:rsidR="002365A9" w:rsidRPr="002365A9">
        <w:rPr>
          <w:rFonts w:hint="cs"/>
          <w:rtl/>
        </w:rPr>
        <w:t xml:space="preserve"> (غوادالاخارا، </w:t>
      </w:r>
      <w:r w:rsidR="002365A9" w:rsidRPr="002365A9">
        <w:t>2010</w:t>
      </w:r>
      <w:r w:rsidR="002365A9" w:rsidRPr="002365A9">
        <w:rPr>
          <w:rFonts w:hint="cs"/>
          <w:rtl/>
        </w:rPr>
        <w:t xml:space="preserve">) والقرارات </w:t>
      </w:r>
      <w:r w:rsidR="002365A9" w:rsidRPr="002365A9">
        <w:t>130</w:t>
      </w:r>
      <w:r w:rsidR="002365A9" w:rsidRPr="002365A9">
        <w:rPr>
          <w:rFonts w:hint="cs"/>
          <w:rtl/>
        </w:rPr>
        <w:t xml:space="preserve">، </w:t>
      </w:r>
      <w:r w:rsidR="002365A9" w:rsidRPr="002365A9">
        <w:t>174</w:t>
      </w:r>
      <w:r w:rsidR="002365A9" w:rsidRPr="002365A9">
        <w:rPr>
          <w:rFonts w:hint="cs"/>
          <w:rtl/>
        </w:rPr>
        <w:t xml:space="preserve">، </w:t>
      </w:r>
      <w:r w:rsidR="002365A9" w:rsidRPr="002365A9">
        <w:t>179</w:t>
      </w:r>
      <w:r w:rsidR="002365A9" w:rsidRPr="002365A9">
        <w:rPr>
          <w:rFonts w:hint="cs"/>
          <w:rtl/>
        </w:rPr>
        <w:t xml:space="preserve">، </w:t>
      </w:r>
      <w:r w:rsidR="002365A9" w:rsidRPr="002365A9">
        <w:t>188</w:t>
      </w:r>
      <w:r w:rsidR="002365A9" w:rsidRPr="002365A9">
        <w:rPr>
          <w:rFonts w:hint="cs"/>
          <w:rtl/>
        </w:rPr>
        <w:t xml:space="preserve">، </w:t>
      </w:r>
      <w:r w:rsidR="002365A9" w:rsidRPr="002365A9">
        <w:t>189</w:t>
      </w:r>
      <w:r w:rsidR="002365A9" w:rsidRPr="002365A9">
        <w:rPr>
          <w:rFonts w:hint="cs"/>
          <w:rtl/>
        </w:rPr>
        <w:t xml:space="preserve">، </w:t>
      </w:r>
      <w:r w:rsidR="002365A9" w:rsidRPr="002365A9">
        <w:t>198</w:t>
      </w:r>
      <w:r w:rsidR="002365A9" w:rsidRPr="002365A9">
        <w:rPr>
          <w:rFonts w:hint="cs"/>
          <w:rtl/>
        </w:rPr>
        <w:t xml:space="preserve">، </w:t>
      </w:r>
      <w:r w:rsidR="002365A9" w:rsidRPr="002365A9">
        <w:t>199</w:t>
      </w:r>
      <w:r w:rsidR="002365A9" w:rsidRPr="002365A9">
        <w:rPr>
          <w:rFonts w:hint="cs"/>
          <w:rtl/>
        </w:rPr>
        <w:t xml:space="preserve">، </w:t>
      </w:r>
      <w:r w:rsidR="002365A9" w:rsidRPr="002365A9">
        <w:t>200</w:t>
      </w:r>
      <w:r w:rsidR="002365A9" w:rsidRPr="002365A9">
        <w:rPr>
          <w:rFonts w:hint="cs"/>
          <w:rtl/>
        </w:rPr>
        <w:t xml:space="preserve">، </w:t>
      </w:r>
      <w:r w:rsidR="002365A9" w:rsidRPr="002365A9">
        <w:t>201</w:t>
      </w:r>
      <w:r w:rsidR="002365A9" w:rsidRPr="002365A9">
        <w:rPr>
          <w:rFonts w:hint="cs"/>
          <w:rtl/>
        </w:rPr>
        <w:t xml:space="preserve"> (بوسان، </w:t>
      </w:r>
      <w:r w:rsidR="002365A9" w:rsidRPr="002365A9">
        <w:t>2014</w:t>
      </w:r>
      <w:r w:rsidR="002365A9" w:rsidRPr="002365A9">
        <w:rPr>
          <w:rFonts w:hint="cs"/>
          <w:rtl/>
        </w:rPr>
        <w:t>)</w:t>
      </w:r>
      <w:r w:rsidR="002365A9">
        <w:rPr>
          <w:rFonts w:hint="cs"/>
          <w:rtl/>
          <w:lang w:bidi="ar-EG"/>
        </w:rPr>
        <w:t xml:space="preserve"> الصادرة عن مؤتمر المندوبين المفوضين للاتحاد؛</w:t>
      </w:r>
    </w:p>
    <w:p w:rsidR="002365A9" w:rsidRDefault="002365A9" w:rsidP="00DE18C6">
      <w:pPr>
        <w:pStyle w:val="enumlev1"/>
        <w:rPr>
          <w:rtl/>
          <w:lang w:bidi="ar-EG"/>
        </w:rPr>
      </w:pPr>
      <w:r w:rsidRPr="002365A9">
        <w:sym w:font="Symbol" w:char="F0B7"/>
      </w:r>
      <w:r w:rsidRPr="002365A9">
        <w:rPr>
          <w:rtl/>
        </w:rPr>
        <w:tab/>
      </w:r>
      <w:r w:rsidRPr="002365A9">
        <w:rPr>
          <w:rFonts w:hint="cs"/>
          <w:rtl/>
        </w:rPr>
        <w:t xml:space="preserve">القرارات </w:t>
      </w:r>
      <w:r w:rsidRPr="002365A9">
        <w:t>34</w:t>
      </w:r>
      <w:r>
        <w:rPr>
          <w:rFonts w:hint="cs"/>
          <w:rtl/>
        </w:rPr>
        <w:t xml:space="preserve"> و</w:t>
      </w:r>
      <w:r w:rsidRPr="002365A9">
        <w:t>45</w:t>
      </w:r>
      <w:r w:rsidRPr="002365A9">
        <w:rPr>
          <w:rFonts w:hint="cs"/>
          <w:rtl/>
        </w:rPr>
        <w:t xml:space="preserve"> </w:t>
      </w:r>
      <w:r>
        <w:rPr>
          <w:rFonts w:hint="cs"/>
          <w:rtl/>
        </w:rPr>
        <w:t>و</w:t>
      </w:r>
      <w:r w:rsidRPr="002365A9">
        <w:t>67</w:t>
      </w:r>
      <w:r w:rsidRPr="002365A9">
        <w:rPr>
          <w:rFonts w:hint="cs"/>
          <w:rtl/>
        </w:rPr>
        <w:t xml:space="preserve"> </w:t>
      </w:r>
      <w:r>
        <w:rPr>
          <w:rFonts w:hint="cs"/>
          <w:rtl/>
          <w:lang w:bidi="ar-EG"/>
        </w:rPr>
        <w:t>و</w:t>
      </w:r>
      <w:r w:rsidRPr="002365A9">
        <w:t>69</w:t>
      </w:r>
      <w:r w:rsidRPr="002365A9">
        <w:rPr>
          <w:rFonts w:hint="cs"/>
          <w:rtl/>
        </w:rPr>
        <w:t xml:space="preserve"> </w:t>
      </w:r>
      <w:r>
        <w:rPr>
          <w:rFonts w:hint="cs"/>
          <w:rtl/>
          <w:lang w:bidi="ar-EG"/>
        </w:rPr>
        <w:t>و</w:t>
      </w:r>
      <w:r w:rsidRPr="00F27F8E">
        <w:rPr>
          <w:rFonts w:asciiTheme="minorHAnsi" w:hAnsiTheme="minorHAnsi" w:cstheme="majorBidi"/>
          <w:szCs w:val="24"/>
        </w:rPr>
        <w:t>79</w:t>
      </w:r>
      <w:r>
        <w:rPr>
          <w:rFonts w:hint="cs"/>
          <w:rtl/>
          <w:lang w:bidi="ar-EG"/>
        </w:rPr>
        <w:t xml:space="preserve"> (المراجَعة في دبي،</w:t>
      </w:r>
      <w:r w:rsidR="00DE18C6">
        <w:rPr>
          <w:rFonts w:hint="cs"/>
          <w:rtl/>
          <w:lang w:bidi="ar-EG"/>
        </w:rPr>
        <w:t xml:space="preserve"> </w:t>
      </w:r>
      <w:r>
        <w:rPr>
          <w:lang w:bidi="ar-EG"/>
        </w:rPr>
        <w:t>2014</w:t>
      </w:r>
      <w:r>
        <w:rPr>
          <w:rFonts w:hint="cs"/>
          <w:rtl/>
          <w:lang w:bidi="ar-EG"/>
        </w:rPr>
        <w:t>) الصادرة عن المؤتمر العالمي لتنمية الاتصالات</w:t>
      </w:r>
      <w:r w:rsidR="00DE18C6">
        <w:rPr>
          <w:rFonts w:hint="cs"/>
          <w:rtl/>
          <w:lang w:bidi="ar-EG"/>
        </w:rPr>
        <w:t xml:space="preserve"> للاتحاد</w:t>
      </w:r>
      <w:r>
        <w:rPr>
          <w:rFonts w:hint="cs"/>
          <w:rtl/>
          <w:lang w:bidi="ar-EG"/>
        </w:rPr>
        <w:t>؛</w:t>
      </w:r>
    </w:p>
    <w:p w:rsidR="002365A9" w:rsidRDefault="002365A9" w:rsidP="00DE18C6">
      <w:pPr>
        <w:pStyle w:val="enumlev1"/>
        <w:rPr>
          <w:rtl/>
          <w:lang w:bidi="ar-EG"/>
        </w:rPr>
      </w:pPr>
      <w:r w:rsidRPr="002365A9">
        <w:sym w:font="Symbol" w:char="F0B7"/>
      </w:r>
      <w:r w:rsidRPr="002365A9">
        <w:rPr>
          <w:rtl/>
        </w:rPr>
        <w:tab/>
      </w:r>
      <w:r w:rsidRPr="002365A9">
        <w:rPr>
          <w:rFonts w:hint="cs"/>
          <w:rtl/>
        </w:rPr>
        <w:t xml:space="preserve">القرارات </w:t>
      </w:r>
      <w:r>
        <w:t>50</w:t>
      </w:r>
      <w:r>
        <w:rPr>
          <w:rFonts w:hint="cs"/>
          <w:rtl/>
        </w:rPr>
        <w:t xml:space="preserve"> و</w:t>
      </w:r>
      <w:r>
        <w:t>52</w:t>
      </w:r>
      <w:r w:rsidRPr="002365A9">
        <w:rPr>
          <w:rFonts w:hint="cs"/>
          <w:rtl/>
        </w:rPr>
        <w:t xml:space="preserve"> </w:t>
      </w:r>
      <w:r>
        <w:rPr>
          <w:rFonts w:hint="cs"/>
          <w:rtl/>
        </w:rPr>
        <w:t>و</w:t>
      </w:r>
      <w:r>
        <w:t>85</w:t>
      </w:r>
      <w:r>
        <w:rPr>
          <w:rFonts w:hint="cs"/>
          <w:rtl/>
          <w:lang w:bidi="ar-EG"/>
        </w:rPr>
        <w:t xml:space="preserve"> (المراجَعة في دبي،</w:t>
      </w:r>
      <w:r w:rsidR="00DE18C6">
        <w:rPr>
          <w:rFonts w:hint="cs"/>
          <w:rtl/>
          <w:lang w:bidi="ar-EG"/>
        </w:rPr>
        <w:t xml:space="preserve"> </w:t>
      </w:r>
      <w:r>
        <w:rPr>
          <w:lang w:bidi="ar-EG"/>
        </w:rPr>
        <w:t>2012</w:t>
      </w:r>
      <w:r>
        <w:rPr>
          <w:rFonts w:hint="cs"/>
          <w:rtl/>
          <w:lang w:bidi="ar-EG"/>
        </w:rPr>
        <w:t>) الصادرة عن الجمعية العالمية لتقييس الاتصالات</w:t>
      </w:r>
      <w:r w:rsidR="00DE18C6">
        <w:rPr>
          <w:rFonts w:hint="cs"/>
          <w:rtl/>
          <w:lang w:bidi="ar-EG"/>
        </w:rPr>
        <w:t xml:space="preserve"> للاتحاد</w:t>
      </w:r>
      <w:r>
        <w:rPr>
          <w:rFonts w:hint="cs"/>
          <w:rtl/>
          <w:lang w:bidi="ar-EG"/>
        </w:rPr>
        <w:t>.</w:t>
      </w:r>
    </w:p>
    <w:p w:rsidR="002365A9" w:rsidRDefault="002365A9" w:rsidP="00CE50C6">
      <w:pPr>
        <w:rPr>
          <w:rtl/>
          <w:lang w:bidi="ar-EG"/>
        </w:rPr>
      </w:pPr>
      <w:r>
        <w:rPr>
          <w:rFonts w:hint="cs"/>
          <w:rtl/>
          <w:lang w:bidi="ar-EG"/>
        </w:rPr>
        <w:t xml:space="preserve">كما أن تعزيز الأمن وبناء الثقة في استعمال تطبيقات تكنولوجيا المعلومات والاتصالات يُعد أحد مجالات الأولوية للهدف </w:t>
      </w:r>
      <w:r>
        <w:rPr>
          <w:lang w:bidi="ar-EG"/>
        </w:rPr>
        <w:t>3</w:t>
      </w:r>
      <w:r>
        <w:rPr>
          <w:rFonts w:hint="cs"/>
          <w:rtl/>
          <w:lang w:bidi="ar-EG"/>
        </w:rPr>
        <w:t xml:space="preserve"> لخطة عمل دبي التي اعتمدت خلال المؤتمر العالمي لتنمية الاتصالات</w:t>
      </w:r>
      <w:r w:rsidR="00DE18C6">
        <w:rPr>
          <w:rFonts w:hint="cs"/>
          <w:rtl/>
          <w:lang w:bidi="ar-EG"/>
        </w:rPr>
        <w:t xml:space="preserve"> لعام</w:t>
      </w:r>
      <w:r w:rsidR="00CE50C6">
        <w:rPr>
          <w:rFonts w:hint="eastAsia"/>
          <w:rtl/>
          <w:lang w:bidi="ar-EG"/>
        </w:rPr>
        <w:t> </w:t>
      </w:r>
      <w:r w:rsidR="00DE18C6">
        <w:rPr>
          <w:lang w:bidi="ar-EG"/>
        </w:rPr>
        <w:t>2014</w:t>
      </w:r>
      <w:r>
        <w:rPr>
          <w:rFonts w:hint="cs"/>
          <w:rtl/>
          <w:lang w:bidi="ar-EG"/>
        </w:rPr>
        <w:t>.</w:t>
      </w:r>
    </w:p>
    <w:p w:rsidR="002365A9" w:rsidRDefault="002365A9" w:rsidP="00CE50C6">
      <w:pPr>
        <w:rPr>
          <w:rtl/>
          <w:lang w:bidi="ar-EG"/>
        </w:rPr>
      </w:pPr>
      <w:r>
        <w:rPr>
          <w:rFonts w:hint="cs"/>
          <w:rtl/>
          <w:lang w:bidi="ar-EG"/>
        </w:rPr>
        <w:t>وبأخذ القرارات المذكورة أعلاه في الاعتبار والقرار</w:t>
      </w:r>
      <w:r w:rsidR="00DE18C6">
        <w:rPr>
          <w:rFonts w:hint="cs"/>
          <w:rtl/>
          <w:lang w:bidi="ar-EG"/>
        </w:rPr>
        <w:t>ين</w:t>
      </w:r>
      <w:r>
        <w:rPr>
          <w:rFonts w:hint="cs"/>
          <w:rtl/>
          <w:lang w:bidi="ar-EG"/>
        </w:rPr>
        <w:t xml:space="preserve"> </w:t>
      </w:r>
      <w:r>
        <w:rPr>
          <w:lang w:bidi="ar-EG"/>
        </w:rPr>
        <w:t>17</w:t>
      </w:r>
      <w:r>
        <w:rPr>
          <w:rFonts w:hint="cs"/>
          <w:rtl/>
          <w:lang w:bidi="ar-EG"/>
        </w:rPr>
        <w:t xml:space="preserve"> (تقييس الاتصالات وعلاقته بمصالح البلدان النامية) و</w:t>
      </w:r>
      <w:r>
        <w:rPr>
          <w:lang w:bidi="ar-EG"/>
        </w:rPr>
        <w:t>44</w:t>
      </w:r>
      <w:r>
        <w:rPr>
          <w:rFonts w:hint="cs"/>
          <w:rtl/>
          <w:lang w:bidi="ar-EG"/>
        </w:rPr>
        <w:t xml:space="preserve"> (سد الفجوة التقييسية بين البلدان النامية والبلدان المتقدمة) </w:t>
      </w:r>
      <w:r w:rsidR="00976007">
        <w:rPr>
          <w:rFonts w:hint="cs"/>
          <w:rtl/>
          <w:lang w:bidi="ar-EG"/>
        </w:rPr>
        <w:t>الصادرين عن الجمعية</w:t>
      </w:r>
      <w:r w:rsidR="00DE18C6">
        <w:rPr>
          <w:rFonts w:hint="cs"/>
          <w:rtl/>
          <w:lang w:bidi="ar-EG"/>
        </w:rPr>
        <w:t xml:space="preserve"> العالمية لتقييس الاتصالات لعام </w:t>
      </w:r>
      <w:r w:rsidR="00DE18C6">
        <w:rPr>
          <w:lang w:bidi="ar-EG"/>
        </w:rPr>
        <w:t>2012</w:t>
      </w:r>
      <w:r w:rsidR="00DE18C6">
        <w:rPr>
          <w:rFonts w:hint="cs"/>
          <w:rtl/>
          <w:lang w:bidi="ar-EG"/>
        </w:rPr>
        <w:t xml:space="preserve"> </w:t>
      </w:r>
      <w:r>
        <w:rPr>
          <w:rFonts w:hint="cs"/>
          <w:rtl/>
          <w:lang w:bidi="ar-EG"/>
        </w:rPr>
        <w:t>والقرار</w:t>
      </w:r>
      <w:r w:rsidR="00843EBB">
        <w:rPr>
          <w:rFonts w:hint="eastAsia"/>
          <w:rtl/>
          <w:lang w:bidi="ar-EG"/>
        </w:rPr>
        <w:t> </w:t>
      </w:r>
      <w:r>
        <w:rPr>
          <w:lang w:bidi="ar-EG"/>
        </w:rPr>
        <w:t>123</w:t>
      </w:r>
      <w:r>
        <w:rPr>
          <w:rFonts w:hint="cs"/>
          <w:rtl/>
          <w:lang w:bidi="ar-EG"/>
        </w:rPr>
        <w:t xml:space="preserve"> الصادر عن مؤتمر المندوبين ال</w:t>
      </w:r>
      <w:r w:rsidR="00DE18C6">
        <w:rPr>
          <w:rFonts w:hint="cs"/>
          <w:rtl/>
          <w:lang w:bidi="ar-EG"/>
        </w:rPr>
        <w:t>مفوضين</w:t>
      </w:r>
      <w:r>
        <w:rPr>
          <w:rFonts w:hint="cs"/>
          <w:rtl/>
          <w:lang w:bidi="ar-EG"/>
        </w:rPr>
        <w:t xml:space="preserve">، أنشأت الجلسة العامة الختامية للجنة الدراسات </w:t>
      </w:r>
      <w:r>
        <w:rPr>
          <w:lang w:bidi="ar-EG"/>
        </w:rPr>
        <w:t>17</w:t>
      </w:r>
      <w:r>
        <w:rPr>
          <w:rFonts w:hint="cs"/>
          <w:rtl/>
          <w:lang w:bidi="ar-EG"/>
        </w:rPr>
        <w:t xml:space="preserve"> (</w:t>
      </w:r>
      <w:r>
        <w:rPr>
          <w:lang w:bidi="ar-EG"/>
        </w:rPr>
        <w:t>17</w:t>
      </w:r>
      <w:r>
        <w:rPr>
          <w:rFonts w:hint="cs"/>
          <w:rtl/>
          <w:lang w:bidi="ar-EG"/>
        </w:rPr>
        <w:t xml:space="preserve"> أبريل </w:t>
      </w:r>
      <w:r>
        <w:rPr>
          <w:lang w:bidi="ar-EG"/>
        </w:rPr>
        <w:t>2015</w:t>
      </w:r>
      <w:r>
        <w:rPr>
          <w:rFonts w:hint="cs"/>
          <w:rtl/>
          <w:lang w:bidi="ar-EG"/>
        </w:rPr>
        <w:t xml:space="preserve">) </w:t>
      </w:r>
      <w:r>
        <w:rPr>
          <w:rFonts w:hint="cs"/>
          <w:rtl/>
        </w:rPr>
        <w:t>ال</w:t>
      </w:r>
      <w:r w:rsidRPr="00107CBA">
        <w:rPr>
          <w:rFonts w:hint="cs"/>
          <w:rtl/>
        </w:rPr>
        <w:t xml:space="preserve">فريق </w:t>
      </w:r>
      <w:r>
        <w:rPr>
          <w:rFonts w:hint="cs"/>
          <w:rtl/>
        </w:rPr>
        <w:t>ال</w:t>
      </w:r>
      <w:r w:rsidRPr="00107CBA">
        <w:rPr>
          <w:rFonts w:hint="cs"/>
          <w:rtl/>
        </w:rPr>
        <w:t xml:space="preserve">إقليمي </w:t>
      </w:r>
      <w:r>
        <w:rPr>
          <w:rFonts w:hint="cs"/>
          <w:rtl/>
        </w:rPr>
        <w:t>ال</w:t>
      </w:r>
      <w:r w:rsidRPr="00107CBA">
        <w:rPr>
          <w:rFonts w:hint="cs"/>
          <w:rtl/>
        </w:rPr>
        <w:t>تابع للجنة الدراسات</w:t>
      </w:r>
      <w:r w:rsidR="00CE50C6">
        <w:rPr>
          <w:rFonts w:hint="eastAsia"/>
          <w:rtl/>
        </w:rPr>
        <w:t> </w:t>
      </w:r>
      <w:r w:rsidRPr="00107CBA">
        <w:t>17</w:t>
      </w:r>
      <w:r w:rsidRPr="00107CBA">
        <w:rPr>
          <w:rFonts w:hint="cs"/>
          <w:rtl/>
        </w:rPr>
        <w:t xml:space="preserve"> لمنطقة إفريقيا </w:t>
      </w:r>
      <w:r w:rsidRPr="00107CBA">
        <w:t>(SG17 RG-AFR)</w:t>
      </w:r>
      <w:r>
        <w:rPr>
          <w:rFonts w:hint="cs"/>
          <w:rtl/>
          <w:lang w:bidi="ar-EG"/>
        </w:rPr>
        <w:t xml:space="preserve"> طبقاً لما ورد في القرار </w:t>
      </w:r>
      <w:r>
        <w:rPr>
          <w:lang w:bidi="ar-EG"/>
        </w:rPr>
        <w:t>54</w:t>
      </w:r>
      <w:r>
        <w:rPr>
          <w:rFonts w:hint="cs"/>
          <w:rtl/>
          <w:lang w:bidi="ar-EG"/>
        </w:rPr>
        <w:t xml:space="preserve"> الصادر عن الجمعية العالمية لتقييس الاتصالات لعام</w:t>
      </w:r>
      <w:r w:rsidR="00843EBB">
        <w:rPr>
          <w:rFonts w:hint="eastAsia"/>
          <w:rtl/>
          <w:lang w:bidi="ar-EG"/>
        </w:rPr>
        <w:t> </w:t>
      </w:r>
      <w:r>
        <w:rPr>
          <w:lang w:bidi="ar-EG"/>
        </w:rPr>
        <w:t>2012</w:t>
      </w:r>
      <w:r>
        <w:rPr>
          <w:rFonts w:hint="cs"/>
          <w:rtl/>
          <w:lang w:bidi="ar-EG"/>
        </w:rPr>
        <w:t>.</w:t>
      </w:r>
    </w:p>
    <w:p w:rsidR="002365A9" w:rsidRPr="002365A9" w:rsidRDefault="002365A9" w:rsidP="002365A9">
      <w:pPr>
        <w:pStyle w:val="Headingb"/>
      </w:pPr>
      <w:r>
        <w:rPr>
          <w:rFonts w:hint="cs"/>
          <w:rtl/>
        </w:rPr>
        <w:t>الأهداف</w:t>
      </w:r>
    </w:p>
    <w:p w:rsidR="002365A9" w:rsidRDefault="002365A9" w:rsidP="00843EBB">
      <w:pPr>
        <w:rPr>
          <w:rtl/>
          <w:lang w:bidi="ar-EG"/>
        </w:rPr>
      </w:pPr>
      <w:r>
        <w:rPr>
          <w:rFonts w:hint="cs"/>
          <w:rtl/>
          <w:lang w:bidi="ar-EG"/>
        </w:rPr>
        <w:t>سيكون الهدف الرئيسي للفريق الإقليمي تشجيع السلطات وشركات التشغيل الوطنية بالبلدان الإفريقية</w:t>
      </w:r>
      <w:r w:rsidR="00DE18C6">
        <w:rPr>
          <w:rFonts w:hint="cs"/>
          <w:rtl/>
          <w:lang w:bidi="ar-EG"/>
        </w:rPr>
        <w:t xml:space="preserve"> على العمل معاً والمساهمة بشكل أ</w:t>
      </w:r>
      <w:r>
        <w:rPr>
          <w:rFonts w:hint="cs"/>
          <w:rtl/>
          <w:lang w:bidi="ar-EG"/>
        </w:rPr>
        <w:t xml:space="preserve">فضل في أنشطة لجنة الدراسات </w:t>
      </w:r>
      <w:r>
        <w:rPr>
          <w:lang w:bidi="ar-EG"/>
        </w:rPr>
        <w:t>17</w:t>
      </w:r>
      <w:r>
        <w:rPr>
          <w:rFonts w:hint="cs"/>
          <w:rtl/>
          <w:lang w:bidi="ar-EG"/>
        </w:rPr>
        <w:t xml:space="preserve"> لقطاع تقييس الاتصالات بوجه عام وبما يتماشى مع ولاية لجنة الدراسات</w:t>
      </w:r>
      <w:r w:rsidR="00843EBB">
        <w:rPr>
          <w:rFonts w:hint="eastAsia"/>
          <w:rtl/>
          <w:lang w:bidi="ar-EG"/>
        </w:rPr>
        <w:t> </w:t>
      </w:r>
      <w:r>
        <w:rPr>
          <w:lang w:bidi="ar-EG"/>
        </w:rPr>
        <w:t>17</w:t>
      </w:r>
      <w:r>
        <w:rPr>
          <w:rFonts w:hint="cs"/>
          <w:rtl/>
          <w:lang w:bidi="ar-EG"/>
        </w:rPr>
        <w:t xml:space="preserve"> بوجه خاص.</w:t>
      </w:r>
    </w:p>
    <w:p w:rsidR="002365A9" w:rsidRDefault="002365A9" w:rsidP="002365A9">
      <w:pPr>
        <w:pStyle w:val="Headingb"/>
        <w:rPr>
          <w:rtl/>
        </w:rPr>
      </w:pPr>
      <w:r>
        <w:rPr>
          <w:rFonts w:hint="cs"/>
          <w:rtl/>
        </w:rPr>
        <w:t>الاختصاصات</w:t>
      </w:r>
    </w:p>
    <w:p w:rsidR="002365A9" w:rsidRDefault="002365A9" w:rsidP="00843EBB">
      <w:pPr>
        <w:pStyle w:val="enumlev1"/>
        <w:rPr>
          <w:rtl/>
          <w:lang w:bidi="ar-EG"/>
        </w:rPr>
      </w:pPr>
      <w:r>
        <w:rPr>
          <w:rFonts w:hint="cs"/>
          <w:rtl/>
          <w:lang w:bidi="ar-EG"/>
        </w:rPr>
        <w:t xml:space="preserve"> أ )</w:t>
      </w:r>
      <w:r>
        <w:rPr>
          <w:rFonts w:hint="cs"/>
          <w:rtl/>
          <w:lang w:bidi="ar-EG"/>
        </w:rPr>
        <w:tab/>
      </w:r>
      <w:r w:rsidR="00A9295B">
        <w:rPr>
          <w:rFonts w:hint="cs"/>
          <w:rtl/>
          <w:lang w:bidi="ar-EG"/>
        </w:rPr>
        <w:t>تشجيع المشاركة النشطة من جانب الإدارات وهيئات التنظيم وشركات التشغيل الإفريقية في أعمال لجنة الدراسات</w:t>
      </w:r>
      <w:r w:rsidR="00843EBB">
        <w:rPr>
          <w:rFonts w:hint="eastAsia"/>
          <w:rtl/>
          <w:lang w:bidi="ar-EG"/>
        </w:rPr>
        <w:t> </w:t>
      </w:r>
      <w:r w:rsidR="00A9295B">
        <w:rPr>
          <w:lang w:bidi="ar-EG"/>
        </w:rPr>
        <w:t>17</w:t>
      </w:r>
      <w:r w:rsidR="00A9295B">
        <w:rPr>
          <w:rFonts w:hint="cs"/>
          <w:rtl/>
          <w:lang w:bidi="ar-EG"/>
        </w:rPr>
        <w:t xml:space="preserve"> لقطاع تقييس الاتصالات مع رفع تقارير دورية بالنتائج والمخرجات؛</w:t>
      </w:r>
    </w:p>
    <w:p w:rsidR="00A9295B" w:rsidRDefault="00A9295B" w:rsidP="00A9295B">
      <w:pPr>
        <w:pStyle w:val="enumlev1"/>
        <w:rPr>
          <w:rtl/>
          <w:lang w:bidi="ar-EG"/>
        </w:rPr>
      </w:pPr>
      <w:r>
        <w:rPr>
          <w:rFonts w:hint="cs"/>
          <w:rtl/>
          <w:lang w:bidi="ar-EG"/>
        </w:rPr>
        <w:t>ب)</w:t>
      </w:r>
      <w:r>
        <w:rPr>
          <w:rFonts w:hint="cs"/>
          <w:rtl/>
          <w:lang w:bidi="ar-EG"/>
        </w:rPr>
        <w:tab/>
        <w:t>تسهيل مشاركة الدول الأعضاء وأعضاء القطاع من منطقة إفريقيا في اجتماعات قطاع تقييس الاتصالات ذات الصلة بأمن تكنولوجيا المعلومات والاتصالات؛</w:t>
      </w:r>
    </w:p>
    <w:p w:rsidR="00A9295B" w:rsidRDefault="00A9295B" w:rsidP="00A9295B">
      <w:pPr>
        <w:pStyle w:val="enumlev1"/>
        <w:rPr>
          <w:rtl/>
          <w:lang w:bidi="ar-EG"/>
        </w:rPr>
      </w:pPr>
      <w:r>
        <w:rPr>
          <w:rFonts w:hint="cs"/>
          <w:rtl/>
          <w:lang w:bidi="ar-EG"/>
        </w:rPr>
        <w:t>ج)</w:t>
      </w:r>
      <w:r>
        <w:rPr>
          <w:rFonts w:hint="cs"/>
          <w:rtl/>
          <w:lang w:bidi="ar-EG"/>
        </w:rPr>
        <w:tab/>
        <w:t>تحديد، مع أصحاب المصلحة الآخرين، أولويات المنطقة ذات الصلة في مجال الأمن؛</w:t>
      </w:r>
    </w:p>
    <w:p w:rsidR="00A9295B" w:rsidRDefault="00A9295B" w:rsidP="00A9295B">
      <w:pPr>
        <w:pStyle w:val="enumlev1"/>
        <w:rPr>
          <w:rtl/>
          <w:lang w:bidi="ar-EG"/>
        </w:rPr>
      </w:pPr>
      <w:r>
        <w:rPr>
          <w:rFonts w:hint="cs"/>
          <w:rtl/>
          <w:lang w:bidi="ar-EG"/>
        </w:rPr>
        <w:t>د )</w:t>
      </w:r>
      <w:r>
        <w:rPr>
          <w:rFonts w:hint="cs"/>
          <w:rtl/>
          <w:lang w:bidi="ar-EG"/>
        </w:rPr>
        <w:tab/>
        <w:t xml:space="preserve">تعزيز قدرات وضع المعايير في منطقة إفريقيا طبقاً للقرار </w:t>
      </w:r>
      <w:r>
        <w:rPr>
          <w:lang w:bidi="ar-EG"/>
        </w:rPr>
        <w:t>44</w:t>
      </w:r>
      <w:r>
        <w:rPr>
          <w:rFonts w:hint="cs"/>
          <w:rtl/>
          <w:lang w:bidi="ar-EG"/>
        </w:rPr>
        <w:t xml:space="preserve"> (المراجَع في دبي، </w:t>
      </w:r>
      <w:r>
        <w:rPr>
          <w:lang w:bidi="ar-EG"/>
        </w:rPr>
        <w:t>2012</w:t>
      </w:r>
      <w:r>
        <w:rPr>
          <w:rFonts w:hint="cs"/>
          <w:rtl/>
          <w:lang w:bidi="ar-EG"/>
        </w:rPr>
        <w:t xml:space="preserve">) الصادر عن الجمعية العالمية لتقييس الاتصالات لعام </w:t>
      </w:r>
      <w:r>
        <w:rPr>
          <w:lang w:bidi="ar-EG"/>
        </w:rPr>
        <w:t>2012</w:t>
      </w:r>
      <w:r>
        <w:rPr>
          <w:rFonts w:hint="cs"/>
          <w:rtl/>
          <w:lang w:bidi="ar-EG"/>
        </w:rPr>
        <w:t xml:space="preserve"> بشأن "سد الفجوة التقييسية"؛</w:t>
      </w:r>
    </w:p>
    <w:p w:rsidR="00A9295B" w:rsidRDefault="00A9295B" w:rsidP="00A9295B">
      <w:pPr>
        <w:pStyle w:val="enumlev1"/>
        <w:rPr>
          <w:rtl/>
          <w:lang w:bidi="ar-EG"/>
        </w:rPr>
      </w:pPr>
      <w:r>
        <w:rPr>
          <w:rFonts w:hint="cs"/>
          <w:rtl/>
          <w:lang w:bidi="ar-EG"/>
        </w:rPr>
        <w:t>ه‍ )</w:t>
      </w:r>
      <w:r>
        <w:rPr>
          <w:rFonts w:hint="cs"/>
          <w:rtl/>
          <w:lang w:bidi="ar-EG"/>
        </w:rPr>
        <w:tab/>
        <w:t>تشجيع البلدان الإفريقية على المساهمة بفعالية في الأعمال المتعلقة بوضع التوصيات الخاصة بالأمن لقطاع تقييس</w:t>
      </w:r>
      <w:r>
        <w:rPr>
          <w:rFonts w:hint="eastAsia"/>
          <w:rtl/>
          <w:lang w:bidi="ar-EG"/>
        </w:rPr>
        <w:t> </w:t>
      </w:r>
      <w:r>
        <w:rPr>
          <w:rFonts w:hint="cs"/>
          <w:rtl/>
          <w:lang w:bidi="ar-EG"/>
        </w:rPr>
        <w:t>الاتصالات؛</w:t>
      </w:r>
    </w:p>
    <w:p w:rsidR="00A9295B" w:rsidRDefault="00A9295B" w:rsidP="00CE50C6">
      <w:pPr>
        <w:pStyle w:val="enumlev1"/>
        <w:rPr>
          <w:rtl/>
          <w:lang w:bidi="ar-EG"/>
        </w:rPr>
      </w:pPr>
      <w:r>
        <w:rPr>
          <w:rFonts w:hint="cs"/>
          <w:rtl/>
          <w:lang w:bidi="ar-EG"/>
        </w:rPr>
        <w:t>و )</w:t>
      </w:r>
      <w:r>
        <w:rPr>
          <w:rFonts w:hint="cs"/>
          <w:rtl/>
          <w:lang w:bidi="ar-EG"/>
        </w:rPr>
        <w:tab/>
        <w:t>نشر وتبادل المعلومات ذات الصلة بشأن المسائل الأمنية المقدمة من لجنة الدراسات</w:t>
      </w:r>
      <w:r w:rsidR="00CE50C6">
        <w:rPr>
          <w:rFonts w:hint="eastAsia"/>
          <w:rtl/>
          <w:lang w:bidi="ar-EG"/>
        </w:rPr>
        <w:t> </w:t>
      </w:r>
      <w:r>
        <w:rPr>
          <w:lang w:bidi="ar-EG"/>
        </w:rPr>
        <w:t>17</w:t>
      </w:r>
      <w:r>
        <w:rPr>
          <w:rFonts w:hint="cs"/>
          <w:rtl/>
          <w:lang w:bidi="ar-EG"/>
        </w:rPr>
        <w:t xml:space="preserve"> لقطاع تقييس الاتصالات والهيئات التقنية المماثلة؛</w:t>
      </w:r>
    </w:p>
    <w:p w:rsidR="00A9295B" w:rsidRDefault="00A9295B" w:rsidP="00A9295B">
      <w:pPr>
        <w:pStyle w:val="enumlev1"/>
        <w:rPr>
          <w:rtl/>
          <w:lang w:bidi="ar-EG"/>
        </w:rPr>
      </w:pPr>
      <w:r>
        <w:rPr>
          <w:rFonts w:hint="cs"/>
          <w:rtl/>
          <w:lang w:bidi="ar-EG"/>
        </w:rPr>
        <w:lastRenderedPageBreak/>
        <w:t>ز )</w:t>
      </w:r>
      <w:r>
        <w:rPr>
          <w:rFonts w:hint="cs"/>
          <w:rtl/>
          <w:lang w:bidi="ar-EG"/>
        </w:rPr>
        <w:tab/>
        <w:t>مساعدة الإدارات وهيئات التنظيم وشركات التشغيل الإفريقية على تنفيذ توصيات قطاع تقييس الاتصالات؛</w:t>
      </w:r>
    </w:p>
    <w:p w:rsidR="00A9295B" w:rsidRDefault="00A9295B" w:rsidP="00843EBB">
      <w:pPr>
        <w:pStyle w:val="enumlev1"/>
        <w:rPr>
          <w:rtl/>
          <w:lang w:bidi="ar-EG"/>
        </w:rPr>
      </w:pPr>
      <w:r>
        <w:rPr>
          <w:rFonts w:hint="cs"/>
          <w:rtl/>
          <w:lang w:bidi="ar-EG"/>
        </w:rPr>
        <w:t>ح)</w:t>
      </w:r>
      <w:r>
        <w:rPr>
          <w:rFonts w:hint="cs"/>
          <w:rtl/>
          <w:lang w:bidi="ar-EG"/>
        </w:rPr>
        <w:tab/>
        <w:t>تحديد الاحتياجات من التدريب على الأمن بالنسبة لشركات التشغيل والهيئات التنظيمية في إفريقيا وتنسيق تنظيم الحلقات التعليم</w:t>
      </w:r>
      <w:r w:rsidR="00DE18C6">
        <w:rPr>
          <w:rFonts w:hint="cs"/>
          <w:rtl/>
          <w:lang w:bidi="ar-EG"/>
        </w:rPr>
        <w:t>ي</w:t>
      </w:r>
      <w:r>
        <w:rPr>
          <w:rFonts w:hint="cs"/>
          <w:rtl/>
          <w:lang w:bidi="ar-EG"/>
        </w:rPr>
        <w:t>ة التقنية في المنطقة ذات الصلة بهذه الموضوعات وذلك بالاشتراك مع لجنة الدراسات</w:t>
      </w:r>
      <w:r w:rsidR="00843EBB">
        <w:rPr>
          <w:rFonts w:hint="eastAsia"/>
          <w:rtl/>
          <w:lang w:bidi="ar-EG"/>
        </w:rPr>
        <w:t> </w:t>
      </w:r>
      <w:r>
        <w:rPr>
          <w:lang w:bidi="ar-EG"/>
        </w:rPr>
        <w:t>17</w:t>
      </w:r>
      <w:r w:rsidR="00DE18C6">
        <w:rPr>
          <w:rFonts w:hint="cs"/>
          <w:rtl/>
          <w:lang w:bidi="ar-EG"/>
        </w:rPr>
        <w:t xml:space="preserve"> لقطاع تقييس</w:t>
      </w:r>
      <w:r w:rsidR="00DE18C6">
        <w:rPr>
          <w:rFonts w:hint="eastAsia"/>
          <w:rtl/>
          <w:lang w:bidi="ar-EG"/>
        </w:rPr>
        <w:t> </w:t>
      </w:r>
      <w:r w:rsidR="00DE18C6">
        <w:rPr>
          <w:rFonts w:hint="cs"/>
          <w:rtl/>
          <w:lang w:bidi="ar-EG"/>
        </w:rPr>
        <w:t>الاتصالات</w:t>
      </w:r>
      <w:r>
        <w:rPr>
          <w:rFonts w:hint="cs"/>
          <w:rtl/>
          <w:lang w:bidi="ar-EG"/>
        </w:rPr>
        <w:t>؛</w:t>
      </w:r>
    </w:p>
    <w:p w:rsidR="00A9295B" w:rsidRDefault="00A9295B" w:rsidP="00A9295B">
      <w:pPr>
        <w:pStyle w:val="enumlev1"/>
        <w:rPr>
          <w:rtl/>
          <w:lang w:bidi="ar-EG"/>
        </w:rPr>
      </w:pPr>
      <w:r>
        <w:rPr>
          <w:rFonts w:hint="cs"/>
          <w:rtl/>
          <w:lang w:bidi="ar-EG"/>
        </w:rPr>
        <w:t>ط)</w:t>
      </w:r>
      <w:r>
        <w:rPr>
          <w:rFonts w:hint="cs"/>
          <w:rtl/>
          <w:lang w:bidi="ar-EG"/>
        </w:rPr>
        <w:tab/>
        <w:t>العمل كجهة اتصال بين الإدارات/شركات التشغيل/هيئات التنظيم الإفريقية وقطاع تقييس الاتصالات في المسائل المتعلقة بمعايير أمن تكنولوجيا المعلومات والاتصالات؛</w:t>
      </w:r>
    </w:p>
    <w:p w:rsidR="00A9295B" w:rsidRDefault="00A9295B" w:rsidP="00A9295B">
      <w:pPr>
        <w:pStyle w:val="enumlev1"/>
        <w:rPr>
          <w:rtl/>
          <w:lang w:bidi="ar-EG"/>
        </w:rPr>
      </w:pPr>
      <w:r>
        <w:rPr>
          <w:rFonts w:hint="cs"/>
          <w:rtl/>
          <w:lang w:bidi="ar-EG"/>
        </w:rPr>
        <w:t>ي)</w:t>
      </w:r>
      <w:r>
        <w:rPr>
          <w:rFonts w:hint="cs"/>
          <w:rtl/>
          <w:lang w:bidi="ar-EG"/>
        </w:rPr>
        <w:tab/>
        <w:t xml:space="preserve">التعاون مع الاتحاد الإفريقي للاتصالات </w:t>
      </w:r>
      <w:r>
        <w:rPr>
          <w:lang w:bidi="ar-EG"/>
        </w:rPr>
        <w:t>(ATU)</w:t>
      </w:r>
      <w:r>
        <w:rPr>
          <w:rFonts w:hint="cs"/>
          <w:rtl/>
          <w:lang w:bidi="ar-EG"/>
        </w:rPr>
        <w:t xml:space="preserve"> ومع المنظمات الإقليمية الأخرى في إفريقيا؛</w:t>
      </w:r>
    </w:p>
    <w:p w:rsidR="00A9295B" w:rsidRDefault="00A9295B" w:rsidP="00A9295B">
      <w:pPr>
        <w:pStyle w:val="enumlev1"/>
        <w:rPr>
          <w:rtl/>
          <w:lang w:bidi="ar-EG"/>
        </w:rPr>
      </w:pPr>
      <w:r>
        <w:rPr>
          <w:rFonts w:hint="cs"/>
          <w:rtl/>
          <w:lang w:bidi="ar-EG"/>
        </w:rPr>
        <w:t>ك)</w:t>
      </w:r>
      <w:r>
        <w:rPr>
          <w:rFonts w:hint="cs"/>
          <w:rtl/>
          <w:lang w:bidi="ar-EG"/>
        </w:rPr>
        <w:tab/>
        <w:t>تشجيع المناقشات بشأن التحديات التي تواجهها الدول الأعضاء في القارة فيما يتعلق بأمن تكنولوجيا المعلومات</w:t>
      </w:r>
      <w:r>
        <w:rPr>
          <w:rFonts w:hint="eastAsia"/>
          <w:rtl/>
          <w:lang w:bidi="ar-EG"/>
        </w:rPr>
        <w:t> </w:t>
      </w:r>
      <w:r>
        <w:rPr>
          <w:rFonts w:hint="cs"/>
          <w:rtl/>
          <w:lang w:bidi="ar-EG"/>
        </w:rPr>
        <w:t>والاتصالات؛</w:t>
      </w:r>
    </w:p>
    <w:p w:rsidR="00A9295B" w:rsidRDefault="00A9295B" w:rsidP="00843EBB">
      <w:pPr>
        <w:pStyle w:val="enumlev1"/>
        <w:rPr>
          <w:rtl/>
          <w:lang w:bidi="ar-EG"/>
        </w:rPr>
      </w:pPr>
      <w:r>
        <w:rPr>
          <w:rFonts w:hint="cs"/>
          <w:rtl/>
          <w:lang w:bidi="ar-EG"/>
        </w:rPr>
        <w:t>ل)</w:t>
      </w:r>
      <w:r>
        <w:rPr>
          <w:rFonts w:hint="cs"/>
          <w:rtl/>
          <w:lang w:bidi="ar-EG"/>
        </w:rPr>
        <w:tab/>
        <w:t>تشجيع مشاركة البلدان الإ</w:t>
      </w:r>
      <w:r w:rsidR="00B86672">
        <w:rPr>
          <w:rFonts w:hint="cs"/>
          <w:rtl/>
          <w:lang w:bidi="ar-EG"/>
        </w:rPr>
        <w:t>ف</w:t>
      </w:r>
      <w:r>
        <w:rPr>
          <w:rFonts w:hint="cs"/>
          <w:rtl/>
          <w:lang w:bidi="ar-EG"/>
        </w:rPr>
        <w:t>ريقية في اجتماعات المقررين وورش العمل والأحداث الأخرى للجنة ال</w:t>
      </w:r>
      <w:r w:rsidR="00B86672">
        <w:rPr>
          <w:rFonts w:hint="cs"/>
          <w:rtl/>
          <w:lang w:bidi="ar-EG"/>
        </w:rPr>
        <w:t>دراسات</w:t>
      </w:r>
      <w:r w:rsidR="00843EBB">
        <w:rPr>
          <w:rFonts w:hint="eastAsia"/>
          <w:rtl/>
          <w:lang w:bidi="ar-EG"/>
        </w:rPr>
        <w:t> </w:t>
      </w:r>
      <w:r w:rsidR="00B86672">
        <w:rPr>
          <w:lang w:bidi="ar-EG"/>
        </w:rPr>
        <w:t>17</w:t>
      </w:r>
      <w:r w:rsidR="00B86672">
        <w:rPr>
          <w:rFonts w:hint="cs"/>
          <w:rtl/>
          <w:lang w:bidi="ar-EG"/>
        </w:rPr>
        <w:t xml:space="preserve"> لقطاع تقييس الاتصالات؛</w:t>
      </w:r>
    </w:p>
    <w:p w:rsidR="00B86672" w:rsidRDefault="00B86672" w:rsidP="00843EBB">
      <w:pPr>
        <w:pStyle w:val="enumlev1"/>
        <w:rPr>
          <w:rtl/>
          <w:lang w:bidi="ar-EG"/>
        </w:rPr>
      </w:pPr>
      <w:r>
        <w:rPr>
          <w:rFonts w:hint="cs"/>
          <w:rtl/>
          <w:lang w:bidi="ar-EG"/>
        </w:rPr>
        <w:t>م )</w:t>
      </w:r>
      <w:r>
        <w:rPr>
          <w:rFonts w:hint="cs"/>
          <w:rtl/>
          <w:lang w:bidi="ar-EG"/>
        </w:rPr>
        <w:tab/>
        <w:t xml:space="preserve">إبراز المشاكل والاحتياجات الإفريقية الحقيقية فيما يتعلق بأمن تكنولوجيا المعلومات والاتصالات وذلك بالتعاون الوثيق مع الهيئات الإقليمية مثل فريق الاستجابة للطوارئ الحاسوبية لمنطقة إفريقيا </w:t>
      </w:r>
      <w:r>
        <w:rPr>
          <w:lang w:bidi="ar-EG"/>
        </w:rPr>
        <w:t>(</w:t>
      </w:r>
      <w:r w:rsidRPr="00F27F8E">
        <w:rPr>
          <w:rFonts w:asciiTheme="minorHAnsi" w:hAnsiTheme="minorHAnsi" w:cstheme="majorBidi"/>
          <w:szCs w:val="24"/>
        </w:rPr>
        <w:t>Africa</w:t>
      </w:r>
      <w:r w:rsidR="00843EBB">
        <w:rPr>
          <w:rFonts w:asciiTheme="minorHAnsi" w:hAnsiTheme="minorHAnsi" w:cstheme="majorBidi"/>
          <w:szCs w:val="24"/>
        </w:rPr>
        <w:noBreakHyphen/>
      </w:r>
      <w:r w:rsidRPr="00F27F8E">
        <w:rPr>
          <w:rFonts w:asciiTheme="minorHAnsi" w:hAnsiTheme="minorHAnsi" w:cstheme="majorBidi"/>
          <w:szCs w:val="24"/>
        </w:rPr>
        <w:t>CERT</w:t>
      </w:r>
      <w:r>
        <w:rPr>
          <w:lang w:bidi="ar-EG"/>
        </w:rPr>
        <w:t>)</w:t>
      </w:r>
      <w:r>
        <w:rPr>
          <w:rFonts w:hint="cs"/>
          <w:rtl/>
          <w:lang w:bidi="ar-EG"/>
        </w:rPr>
        <w:t>؛</w:t>
      </w:r>
    </w:p>
    <w:p w:rsidR="00B86672" w:rsidRPr="00B86672" w:rsidRDefault="00B86672" w:rsidP="00843EBB">
      <w:pPr>
        <w:pStyle w:val="enumlev1"/>
        <w:rPr>
          <w:rtl/>
          <w:lang w:bidi="ar-EG"/>
        </w:rPr>
      </w:pPr>
      <w:r>
        <w:rPr>
          <w:rFonts w:hint="cs"/>
          <w:rtl/>
          <w:lang w:bidi="ar-EG"/>
        </w:rPr>
        <w:t>ن)</w:t>
      </w:r>
      <w:r>
        <w:rPr>
          <w:rFonts w:hint="cs"/>
          <w:rtl/>
          <w:lang w:bidi="ar-EG"/>
        </w:rPr>
        <w:tab/>
        <w:t>رفع تقرير مرحلي بأنشطته إلى كل اجتماع للجنة الدراسات</w:t>
      </w:r>
      <w:r w:rsidR="00843EBB">
        <w:rPr>
          <w:rFonts w:hint="eastAsia"/>
          <w:rtl/>
          <w:lang w:bidi="ar-EG"/>
        </w:rPr>
        <w:t> </w:t>
      </w:r>
      <w:r>
        <w:rPr>
          <w:lang w:bidi="ar-EG"/>
        </w:rPr>
        <w:t>17</w:t>
      </w:r>
      <w:r>
        <w:rPr>
          <w:rFonts w:hint="cs"/>
          <w:rtl/>
          <w:lang w:bidi="ar-EG"/>
        </w:rPr>
        <w:t>.</w:t>
      </w:r>
    </w:p>
    <w:p w:rsidR="00B86672" w:rsidRDefault="00B86672" w:rsidP="00B86672">
      <w:pPr>
        <w:pStyle w:val="Headingb"/>
        <w:rPr>
          <w:rtl/>
        </w:rPr>
      </w:pPr>
      <w:r>
        <w:rPr>
          <w:rFonts w:hint="cs"/>
          <w:rtl/>
        </w:rPr>
        <w:t>أساليب العمل</w:t>
      </w:r>
    </w:p>
    <w:p w:rsidR="007C5DC6" w:rsidRDefault="00B86672" w:rsidP="00DE18C6">
      <w:pPr>
        <w:rPr>
          <w:rtl/>
          <w:lang w:bidi="ar-SY"/>
        </w:rPr>
      </w:pPr>
      <w:r>
        <w:rPr>
          <w:rFonts w:hint="cs"/>
          <w:rtl/>
          <w:lang w:bidi="ar-EG"/>
        </w:rPr>
        <w:t>يعمل الفريق الإقليمي بشكل أساسي إلكترونياً وبالمراسلة عن طريق جهات الاتصال المعي</w:t>
      </w:r>
      <w:r w:rsidR="00DE18C6">
        <w:rPr>
          <w:rFonts w:hint="cs"/>
          <w:rtl/>
          <w:lang w:bidi="ar-EG"/>
        </w:rPr>
        <w:t>ن</w:t>
      </w:r>
      <w:r>
        <w:rPr>
          <w:rFonts w:hint="cs"/>
          <w:rtl/>
          <w:lang w:bidi="ar-EG"/>
        </w:rPr>
        <w:t>ة، مع النظر في عقد اجتماعات فعلية، إن أمكن.</w:t>
      </w:r>
    </w:p>
    <w:p w:rsidR="00173AE2" w:rsidRDefault="0086624B" w:rsidP="00B86672">
      <w:pPr>
        <w:spacing w:before="600"/>
        <w:jc w:val="center"/>
        <w:rPr>
          <w:rtl/>
          <w:lang w:bidi="ar-SY"/>
        </w:rPr>
      </w:pPr>
      <w:r>
        <w:rPr>
          <w:rFonts w:hint="cs"/>
          <w:rtl/>
          <w:lang w:bidi="ar-SY"/>
        </w:rPr>
        <w:t>___________</w:t>
      </w:r>
    </w:p>
    <w:sectPr w:rsidR="00173AE2" w:rsidSect="007C5DC6">
      <w:headerReference w:type="default" r:id="rId13"/>
      <w:footerReference w:type="default" r:id="rId14"/>
      <w:footerReference w:type="first" r:id="rId1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DAA" w:rsidRDefault="00AC6DAA" w:rsidP="007C5DC6">
      <w:pPr>
        <w:spacing w:before="0" w:line="240" w:lineRule="auto"/>
      </w:pPr>
      <w:r>
        <w:separator/>
      </w:r>
    </w:p>
  </w:endnote>
  <w:endnote w:type="continuationSeparator" w:id="0">
    <w:p w:rsidR="00AC6DAA" w:rsidRDefault="00AC6DAA" w:rsidP="007C5DC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5FE" w:rsidRPr="002445FE" w:rsidRDefault="002445FE" w:rsidP="002445F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5954"/>
        <w:tab w:val="right" w:pos="9639"/>
      </w:tabs>
      <w:overflowPunct w:val="0"/>
      <w:autoSpaceDE w:val="0"/>
      <w:autoSpaceDN w:val="0"/>
      <w:bidi w:val="0"/>
      <w:adjustRightInd w:val="0"/>
      <w:spacing w:before="0" w:line="240" w:lineRule="auto"/>
      <w:jc w:val="left"/>
      <w:textAlignment w:val="baseline"/>
      <w:rPr>
        <w:rFonts w:eastAsia="Times New Roman" w:cs="Times New Roman"/>
        <w:caps/>
        <w:noProof/>
        <w:sz w:val="16"/>
        <w:szCs w:val="20"/>
        <w:lang w:val="fr-CH" w:eastAsia="en-US"/>
      </w:rPr>
    </w:pPr>
    <w:r>
      <w:rPr>
        <w:rFonts w:eastAsia="Times New Roman" w:cs="Times New Roman"/>
        <w:caps/>
        <w:noProof/>
        <w:sz w:val="16"/>
        <w:szCs w:val="20"/>
        <w:lang w:val="fr-CH" w:eastAsia="en-US"/>
      </w:rPr>
      <w:t>ITU-T\BUREAU\CIRC\151A</w:t>
    </w:r>
    <w:r w:rsidRPr="002445FE">
      <w:rPr>
        <w:rFonts w:eastAsia="Times New Roman" w:cs="Times New Roman"/>
        <w:caps/>
        <w:noProof/>
        <w:sz w:val="16"/>
        <w:szCs w:val="20"/>
        <w:lang w:val="fr-CH" w:eastAsia="en-US"/>
      </w:rPr>
      <w:t>.DOC</w:t>
    </w:r>
  </w:p>
  <w:p w:rsidR="007C5DC6" w:rsidRPr="002445FE" w:rsidRDefault="007C5DC6" w:rsidP="002445FE">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DC6" w:rsidRDefault="007C5DC6" w:rsidP="007C5DC6">
    <w:pPr>
      <w:pStyle w:val="Footer"/>
      <w:spacing w:before="120"/>
      <w:jc w:val="center"/>
      <w:rPr>
        <w:rFonts w:ascii="Calibri" w:hAnsi="Calibri" w:cs="Calibri"/>
        <w:color w:val="0070C0"/>
        <w:sz w:val="18"/>
        <w:szCs w:val="18"/>
        <w:rtl/>
        <w:lang w:val="fr-CH"/>
      </w:rPr>
    </w:pPr>
    <w:r w:rsidRPr="002B4680">
      <w:rPr>
        <w:rFonts w:ascii="Calibri" w:hAnsi="Calibri" w:cs="Calibri"/>
        <w:color w:val="0070C0"/>
        <w:sz w:val="18"/>
        <w:szCs w:val="18"/>
        <w:lang w:val="fr-CH"/>
      </w:rPr>
      <w:t xml:space="preserve">International </w:t>
    </w:r>
    <w:proofErr w:type="spellStart"/>
    <w:r w:rsidRPr="002B4680">
      <w:rPr>
        <w:rFonts w:ascii="Calibri" w:hAnsi="Calibri" w:cs="Calibri"/>
        <w:color w:val="0070C0"/>
        <w:sz w:val="18"/>
        <w:szCs w:val="18"/>
        <w:lang w:val="fr-CH"/>
      </w:rPr>
      <w:t>Telecommunication</w:t>
    </w:r>
    <w:proofErr w:type="spellEnd"/>
    <w:r w:rsidRPr="002B4680">
      <w:rPr>
        <w:rFonts w:ascii="Calibri" w:hAnsi="Calibri" w:cs="Calibri"/>
        <w:color w:val="0070C0"/>
        <w:sz w:val="18"/>
        <w:szCs w:val="18"/>
        <w:lang w:val="fr-CH"/>
      </w:rPr>
      <w:t xml:space="preserve"> Union • Place des Nations, CH</w:t>
    </w:r>
    <w:r w:rsidRPr="002B4680">
      <w:rPr>
        <w:rFonts w:ascii="Calibri" w:hAnsi="Calibri" w:cs="Calibri"/>
        <w:color w:val="0070C0"/>
        <w:sz w:val="18"/>
        <w:szCs w:val="18"/>
        <w:lang w:val="fr-CH"/>
      </w:rPr>
      <w:noBreakHyphen/>
      <w:t xml:space="preserve">1211 Geneva 20, Switzerland </w:t>
    </w:r>
    <w:r w:rsidRPr="002B4680">
      <w:rPr>
        <w:rFonts w:ascii="Calibri" w:hAnsi="Calibri" w:cs="Calibri"/>
        <w:color w:val="0070C0"/>
        <w:sz w:val="18"/>
        <w:szCs w:val="18"/>
        <w:lang w:val="fr-CH"/>
      </w:rPr>
      <w:br/>
      <w:t>Tel: +41 22 730 5111 • Fax: +41 22 733 7256 •</w:t>
    </w:r>
    <w:r w:rsidRPr="002B4680">
      <w:rPr>
        <w:rFonts w:ascii="Calibri" w:hAnsi="Calibri" w:cs="Calibri"/>
        <w:color w:val="0070C0"/>
        <w:sz w:val="18"/>
        <w:szCs w:val="18"/>
        <w:rtl/>
      </w:rPr>
      <w:br/>
    </w:r>
    <w:r w:rsidRPr="002B4680">
      <w:rPr>
        <w:rFonts w:ascii="Calibri" w:hAnsi="Calibri" w:cs="Calibri"/>
        <w:color w:val="0070C0"/>
        <w:sz w:val="18"/>
        <w:szCs w:val="18"/>
        <w:lang w:val="fr-CH"/>
      </w:rPr>
      <w:t xml:space="preserve">E-mail: </w:t>
    </w:r>
    <w:hyperlink r:id="rId1" w:history="1">
      <w:r w:rsidRPr="002B4680">
        <w:rPr>
          <w:rStyle w:val="Hyperlink"/>
          <w:rFonts w:ascii="Calibri" w:hAnsi="Calibri" w:cs="Calibri"/>
          <w:color w:val="0070C0"/>
          <w:sz w:val="18"/>
          <w:szCs w:val="18"/>
          <w:lang w:val="fr-CH"/>
        </w:rPr>
        <w:t>itumail@itu.int</w:t>
      </w:r>
    </w:hyperlink>
    <w:r w:rsidRPr="002B4680">
      <w:rPr>
        <w:rFonts w:ascii="Calibri" w:hAnsi="Calibri" w:cs="Calibri"/>
        <w:color w:val="0070C0"/>
        <w:sz w:val="18"/>
        <w:szCs w:val="18"/>
        <w:lang w:val="fr-CH"/>
      </w:rPr>
      <w:t xml:space="preserve"> • </w:t>
    </w:r>
    <w:hyperlink r:id="rId2" w:history="1">
      <w:r w:rsidRPr="002B4680">
        <w:rPr>
          <w:rStyle w:val="Hyperlink"/>
          <w:rFonts w:ascii="Calibri" w:hAnsi="Calibri" w:cs="Calibri"/>
          <w:color w:val="0070C0"/>
          <w:sz w:val="18"/>
          <w:szCs w:val="18"/>
          <w:lang w:val="fr-CH"/>
        </w:rPr>
        <w:t>www.itu.int</w:t>
      </w:r>
    </w:hyperlink>
    <w:r w:rsidRPr="002B4680">
      <w:rPr>
        <w:rFonts w:ascii="Calibri" w:hAnsi="Calibri" w:cs="Calibri"/>
        <w:color w:val="0070C0"/>
        <w:sz w:val="18"/>
        <w:szCs w:val="18"/>
        <w:lang w:val="fr-CH"/>
      </w:rPr>
      <w:t xml:space="preserve"> • </w:t>
    </w:r>
    <w:hyperlink r:id="rId3" w:history="1">
      <w:r w:rsidRPr="004967CE">
        <w:rPr>
          <w:rStyle w:val="Hyperlink"/>
          <w:rFonts w:ascii="Calibri" w:hAnsi="Calibri" w:cs="Calibri"/>
          <w:sz w:val="18"/>
          <w:szCs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DAA" w:rsidRDefault="00AC6DAA" w:rsidP="007C5DC6">
      <w:pPr>
        <w:spacing w:before="0" w:line="240" w:lineRule="auto"/>
      </w:pPr>
      <w:r>
        <w:separator/>
      </w:r>
    </w:p>
  </w:footnote>
  <w:footnote w:type="continuationSeparator" w:id="0">
    <w:p w:rsidR="00AC6DAA" w:rsidRDefault="00AC6DAA" w:rsidP="007C5DC6">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DC6" w:rsidRPr="00E76837" w:rsidRDefault="007C5DC6" w:rsidP="007C5DC6">
    <w:pPr>
      <w:pStyle w:val="Header"/>
      <w:spacing w:before="120" w:after="120"/>
      <w:jc w:val="center"/>
      <w:rPr>
        <w:rFonts w:cs="Calibri"/>
        <w:sz w:val="20"/>
        <w:szCs w:val="20"/>
      </w:rPr>
    </w:pPr>
    <w:r>
      <w:rPr>
        <w:rFonts w:cs="Calibri"/>
        <w:sz w:val="20"/>
        <w:szCs w:val="20"/>
      </w:rPr>
      <w:t xml:space="preserve"> </w:t>
    </w:r>
    <w:r w:rsidRPr="00E76837">
      <w:rPr>
        <w:rFonts w:cs="Calibri"/>
        <w:sz w:val="20"/>
        <w:szCs w:val="20"/>
      </w:rPr>
      <w:t>-</w:t>
    </w:r>
    <w:r w:rsidRPr="00E76837">
      <w:rPr>
        <w:rFonts w:cs="Calibri"/>
        <w:sz w:val="20"/>
        <w:szCs w:val="20"/>
      </w:rPr>
      <w:fldChar w:fldCharType="begin"/>
    </w:r>
    <w:r w:rsidRPr="00E76837">
      <w:rPr>
        <w:rFonts w:cs="Calibri"/>
        <w:sz w:val="20"/>
        <w:szCs w:val="20"/>
      </w:rPr>
      <w:instrText xml:space="preserve"> PAGE </w:instrText>
    </w:r>
    <w:r w:rsidRPr="00E76837">
      <w:rPr>
        <w:rFonts w:cs="Calibri"/>
        <w:sz w:val="20"/>
        <w:szCs w:val="20"/>
      </w:rPr>
      <w:fldChar w:fldCharType="separate"/>
    </w:r>
    <w:r w:rsidR="00A45007">
      <w:rPr>
        <w:rFonts w:cs="Times New Roman"/>
        <w:noProof/>
        <w:sz w:val="20"/>
        <w:szCs w:val="20"/>
        <w:rtl/>
      </w:rPr>
      <w:t>2</w:t>
    </w:r>
    <w:r w:rsidRPr="00E76837">
      <w:rPr>
        <w:rFonts w:cs="Calibri"/>
        <w:sz w:val="20"/>
        <w:szCs w:val="20"/>
      </w:rPr>
      <w:fldChar w:fldCharType="end"/>
    </w:r>
    <w:r w:rsidRPr="00E76837">
      <w:rPr>
        <w:rFonts w:cs="Calibri"/>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BCC4D5A"/>
    <w:lvl w:ilvl="0">
      <w:start w:val="1"/>
      <w:numFmt w:val="decimal"/>
      <w:lvlText w:val="%1."/>
      <w:lvlJc w:val="left"/>
      <w:pPr>
        <w:tabs>
          <w:tab w:val="num" w:pos="1492"/>
        </w:tabs>
        <w:ind w:left="1492" w:hanging="360"/>
      </w:pPr>
    </w:lvl>
  </w:abstractNum>
  <w:abstractNum w:abstractNumId="1">
    <w:nsid w:val="FFFFFF7D"/>
    <w:multiLevelType w:val="singleLevel"/>
    <w:tmpl w:val="678CC198"/>
    <w:lvl w:ilvl="0">
      <w:start w:val="1"/>
      <w:numFmt w:val="decimal"/>
      <w:lvlText w:val="%1."/>
      <w:lvlJc w:val="left"/>
      <w:pPr>
        <w:tabs>
          <w:tab w:val="num" w:pos="1209"/>
        </w:tabs>
        <w:ind w:left="1209" w:hanging="360"/>
      </w:pPr>
    </w:lvl>
  </w:abstractNum>
  <w:abstractNum w:abstractNumId="2">
    <w:nsid w:val="FFFFFF7E"/>
    <w:multiLevelType w:val="singleLevel"/>
    <w:tmpl w:val="DE8648CE"/>
    <w:lvl w:ilvl="0">
      <w:start w:val="1"/>
      <w:numFmt w:val="decimal"/>
      <w:lvlText w:val="%1."/>
      <w:lvlJc w:val="left"/>
      <w:pPr>
        <w:tabs>
          <w:tab w:val="num" w:pos="926"/>
        </w:tabs>
        <w:ind w:left="926" w:hanging="360"/>
      </w:pPr>
    </w:lvl>
  </w:abstractNum>
  <w:abstractNum w:abstractNumId="3">
    <w:nsid w:val="FFFFFF7F"/>
    <w:multiLevelType w:val="singleLevel"/>
    <w:tmpl w:val="08866A6A"/>
    <w:lvl w:ilvl="0">
      <w:start w:val="1"/>
      <w:numFmt w:val="decimal"/>
      <w:lvlText w:val="%1."/>
      <w:lvlJc w:val="left"/>
      <w:pPr>
        <w:tabs>
          <w:tab w:val="num" w:pos="643"/>
        </w:tabs>
        <w:ind w:left="643" w:hanging="360"/>
      </w:pPr>
    </w:lvl>
  </w:abstractNum>
  <w:abstractNum w:abstractNumId="4">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3C27FB6"/>
    <w:lvl w:ilvl="0">
      <w:start w:val="1"/>
      <w:numFmt w:val="decimal"/>
      <w:lvlText w:val="%1."/>
      <w:lvlJc w:val="left"/>
      <w:pPr>
        <w:tabs>
          <w:tab w:val="num" w:pos="360"/>
        </w:tabs>
        <w:ind w:left="360" w:hanging="360"/>
      </w:pPr>
    </w:lvl>
  </w:abstractNum>
  <w:abstractNum w:abstractNumId="9">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BE6"/>
    <w:rsid w:val="00013851"/>
    <w:rsid w:val="00090574"/>
    <w:rsid w:val="000A29AA"/>
    <w:rsid w:val="000D51C5"/>
    <w:rsid w:val="000F7064"/>
    <w:rsid w:val="00107CBA"/>
    <w:rsid w:val="00160DC1"/>
    <w:rsid w:val="00173915"/>
    <w:rsid w:val="00173AE2"/>
    <w:rsid w:val="0023283D"/>
    <w:rsid w:val="002365A9"/>
    <w:rsid w:val="002445FE"/>
    <w:rsid w:val="002978F4"/>
    <w:rsid w:val="002B028D"/>
    <w:rsid w:val="002B483A"/>
    <w:rsid w:val="002E6541"/>
    <w:rsid w:val="00301D3C"/>
    <w:rsid w:val="003069A7"/>
    <w:rsid w:val="00357185"/>
    <w:rsid w:val="003F678F"/>
    <w:rsid w:val="004007A9"/>
    <w:rsid w:val="0042686F"/>
    <w:rsid w:val="00443869"/>
    <w:rsid w:val="00501E0E"/>
    <w:rsid w:val="00522B6A"/>
    <w:rsid w:val="0055516A"/>
    <w:rsid w:val="005B4794"/>
    <w:rsid w:val="006F63F7"/>
    <w:rsid w:val="00706D7A"/>
    <w:rsid w:val="00717A93"/>
    <w:rsid w:val="0072482B"/>
    <w:rsid w:val="00730BE6"/>
    <w:rsid w:val="0073223C"/>
    <w:rsid w:val="007A0E1D"/>
    <w:rsid w:val="007C5DC6"/>
    <w:rsid w:val="00803F08"/>
    <w:rsid w:val="008235CD"/>
    <w:rsid w:val="00826E64"/>
    <w:rsid w:val="00843EBB"/>
    <w:rsid w:val="008513CB"/>
    <w:rsid w:val="0086624B"/>
    <w:rsid w:val="00976007"/>
    <w:rsid w:val="00982B28"/>
    <w:rsid w:val="00A45007"/>
    <w:rsid w:val="00A74888"/>
    <w:rsid w:val="00A9295B"/>
    <w:rsid w:val="00A97F94"/>
    <w:rsid w:val="00AC6DAA"/>
    <w:rsid w:val="00AE1EF0"/>
    <w:rsid w:val="00B66D27"/>
    <w:rsid w:val="00B86672"/>
    <w:rsid w:val="00C674FE"/>
    <w:rsid w:val="00C75633"/>
    <w:rsid w:val="00CE2EE1"/>
    <w:rsid w:val="00CE50C6"/>
    <w:rsid w:val="00CF3FFD"/>
    <w:rsid w:val="00D221D7"/>
    <w:rsid w:val="00D77D0F"/>
    <w:rsid w:val="00DA1CF0"/>
    <w:rsid w:val="00DC24B4"/>
    <w:rsid w:val="00DD35FC"/>
    <w:rsid w:val="00DE18C6"/>
    <w:rsid w:val="00DF16DC"/>
    <w:rsid w:val="00E17033"/>
    <w:rsid w:val="00E45211"/>
    <w:rsid w:val="00EC6592"/>
    <w:rsid w:val="00EE5A64"/>
    <w:rsid w:val="00F401D0"/>
    <w:rsid w:val="00F4745E"/>
    <w:rsid w:val="00F84366"/>
    <w:rsid w:val="00F85089"/>
    <w:rsid w:val="00FA5C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C9C85A-2B79-4D79-ADCB-9A06CA311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23C"/>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173915"/>
    <w:pPr>
      <w:keepNext/>
      <w:keepLines/>
      <w:spacing w:before="360"/>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501E0E"/>
    <w:pPr>
      <w:keepNext/>
      <w:keepLines/>
      <w:spacing w:before="300"/>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501E0E"/>
    <w:pPr>
      <w:keepNext/>
      <w:keepLines/>
      <w:spacing w:before="240"/>
      <w:outlineLvl w:val="2"/>
    </w:pPr>
    <w:rPr>
      <w:rFonts w:eastAsiaTheme="majorEastAsia"/>
      <w:b/>
      <w:bCs/>
    </w:rPr>
  </w:style>
  <w:style w:type="paragraph" w:styleId="Heading4">
    <w:name w:val="heading 4"/>
    <w:basedOn w:val="Normal"/>
    <w:next w:val="Normal"/>
    <w:link w:val="Heading4Char"/>
    <w:uiPriority w:val="9"/>
    <w:unhideWhenUsed/>
    <w:qFormat/>
    <w:rsid w:val="00501E0E"/>
    <w:pPr>
      <w:keepNext/>
      <w:keepLines/>
      <w:spacing w:before="160"/>
      <w:outlineLvl w:val="3"/>
    </w:pPr>
    <w:rPr>
      <w:rFonts w:eastAsiaTheme="majorEastAsia"/>
      <w:b/>
      <w:bCs/>
    </w:rPr>
  </w:style>
  <w:style w:type="paragraph" w:styleId="Heading5">
    <w:name w:val="heading 5"/>
    <w:basedOn w:val="Normal"/>
    <w:next w:val="Normal"/>
    <w:link w:val="Heading5Char"/>
    <w:uiPriority w:val="9"/>
    <w:unhideWhenUsed/>
    <w:qFormat/>
    <w:rsid w:val="00501E0E"/>
    <w:pPr>
      <w:keepNext/>
      <w:keepLines/>
      <w:outlineLvl w:val="4"/>
    </w:pPr>
    <w:rPr>
      <w:rFonts w:eastAsiaTheme="majorEastAsia"/>
      <w:b/>
      <w:bCs/>
    </w:rPr>
  </w:style>
  <w:style w:type="paragraph" w:styleId="Heading6">
    <w:name w:val="heading 6"/>
    <w:basedOn w:val="Normal"/>
    <w:next w:val="Normal"/>
    <w:link w:val="Heading6Char"/>
    <w:uiPriority w:val="9"/>
    <w:unhideWhenUsed/>
    <w:qFormat/>
    <w:rsid w:val="00501E0E"/>
    <w:pPr>
      <w:keepNext/>
      <w:keepLines/>
      <w:spacing w:before="160"/>
      <w:outlineLvl w:val="5"/>
    </w:pPr>
    <w:rPr>
      <w:rFonts w:eastAsiaTheme="majorEastAsia"/>
      <w:b/>
      <w:bCs/>
    </w:rPr>
  </w:style>
  <w:style w:type="paragraph" w:styleId="Heading7">
    <w:name w:val="heading 7"/>
    <w:basedOn w:val="Normal"/>
    <w:next w:val="Normal"/>
    <w:link w:val="Heading7Char"/>
    <w:uiPriority w:val="9"/>
    <w:unhideWhenUsed/>
    <w:qFormat/>
    <w:rsid w:val="00501E0E"/>
    <w:pPr>
      <w:keepNext/>
      <w:keepLines/>
      <w:spacing w:before="160"/>
      <w:outlineLvl w:val="6"/>
    </w:pPr>
    <w:rPr>
      <w:rFonts w:eastAsiaTheme="majorEastAsia"/>
      <w:b/>
      <w:bCs/>
    </w:rPr>
  </w:style>
  <w:style w:type="paragraph" w:styleId="Heading8">
    <w:name w:val="heading 8"/>
    <w:basedOn w:val="Normal"/>
    <w:next w:val="Normal"/>
    <w:link w:val="Heading8Char"/>
    <w:uiPriority w:val="9"/>
    <w:unhideWhenUsed/>
    <w:qFormat/>
    <w:rsid w:val="00501E0E"/>
    <w:pPr>
      <w:keepNext/>
      <w:keepLines/>
      <w:spacing w:before="160"/>
      <w:outlineLvl w:val="7"/>
    </w:pPr>
    <w:rPr>
      <w:rFonts w:eastAsiaTheme="majorEastAsia"/>
      <w:b/>
      <w:bCs/>
    </w:rPr>
  </w:style>
  <w:style w:type="paragraph" w:styleId="Heading9">
    <w:name w:val="heading 9"/>
    <w:basedOn w:val="Normal"/>
    <w:next w:val="Normal"/>
    <w:link w:val="Heading9Char"/>
    <w:uiPriority w:val="9"/>
    <w:unhideWhenUsed/>
    <w:qFormat/>
    <w:rsid w:val="00501E0E"/>
    <w:pPr>
      <w:keepNext/>
      <w:keepLines/>
      <w:spacing w:before="160"/>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826E64"/>
    <w:pPr>
      <w:spacing w:after="0" w:line="240" w:lineRule="auto"/>
    </w:pPr>
    <w:rPr>
      <w:color w:val="FF0000"/>
    </w:rPr>
  </w:style>
  <w:style w:type="character" w:customStyle="1" w:styleId="Heading1Char">
    <w:name w:val="Heading 1 Char"/>
    <w:basedOn w:val="DefaultParagraphFont"/>
    <w:link w:val="Heading1"/>
    <w:uiPriority w:val="9"/>
    <w:rsid w:val="00173915"/>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501E0E"/>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501E0E"/>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501E0E"/>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501E0E"/>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501E0E"/>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501E0E"/>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501E0E"/>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501E0E"/>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826E64"/>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730BE6"/>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501E0E"/>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501E0E"/>
    <w:pPr>
      <w:pBdr>
        <w:top w:val="single" w:sz="4" w:space="1" w:color="auto"/>
        <w:left w:val="single" w:sz="4" w:space="4" w:color="auto"/>
        <w:bottom w:val="single" w:sz="4" w:space="1" w:color="auto"/>
        <w:right w:val="single" w:sz="4" w:space="4" w:color="auto"/>
      </w:pBdr>
      <w:spacing w:before="60" w:after="60" w:line="260" w:lineRule="exact"/>
    </w:pPr>
    <w:rPr>
      <w:sz w:val="20"/>
      <w:szCs w:val="26"/>
      <w:lang w:bidi="ar-SY"/>
    </w:rPr>
  </w:style>
  <w:style w:type="paragraph" w:customStyle="1" w:styleId="Title1">
    <w:name w:val="Title 1"/>
    <w:basedOn w:val="Normal"/>
    <w:qFormat/>
    <w:rsid w:val="00826E64"/>
    <w:pPr>
      <w:keepNext/>
      <w:spacing w:before="480" w:after="240"/>
      <w:jc w:val="center"/>
    </w:pPr>
    <w:rPr>
      <w:w w:val="110"/>
      <w:sz w:val="28"/>
      <w:szCs w:val="40"/>
    </w:rPr>
  </w:style>
  <w:style w:type="paragraph" w:customStyle="1" w:styleId="Title2">
    <w:name w:val="Title 2"/>
    <w:basedOn w:val="Normal"/>
    <w:qFormat/>
    <w:rsid w:val="00826E64"/>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826E64"/>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826E64"/>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basedOn w:val="DefaultParagraphFont"/>
    <w:uiPriority w:val="99"/>
    <w:unhideWhenUsed/>
    <w:rsid w:val="007C5DC6"/>
    <w:rPr>
      <w:color w:val="0563C1" w:themeColor="hyperlink"/>
      <w:u w:val="single"/>
    </w:rPr>
  </w:style>
  <w:style w:type="paragraph" w:styleId="Header">
    <w:name w:val="header"/>
    <w:basedOn w:val="Normal"/>
    <w:link w:val="HeaderChar"/>
    <w:uiPriority w:val="99"/>
    <w:unhideWhenUsed/>
    <w:rsid w:val="007C5DC6"/>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7C5DC6"/>
    <w:rPr>
      <w:rFonts w:ascii="Calibri" w:hAnsi="Calibri" w:cs="Traditional Arabic"/>
      <w:szCs w:val="30"/>
    </w:rPr>
  </w:style>
  <w:style w:type="character" w:styleId="BookTitle">
    <w:name w:val="Book Title"/>
    <w:basedOn w:val="DefaultParagraphFont"/>
    <w:uiPriority w:val="33"/>
    <w:rsid w:val="00826E64"/>
    <w:rPr>
      <w:b/>
      <w:bCs/>
      <w:i/>
      <w:iCs/>
      <w:color w:val="FF0000"/>
      <w:spacing w:val="5"/>
    </w:rPr>
  </w:style>
  <w:style w:type="character" w:styleId="Emphasis">
    <w:name w:val="Emphasis"/>
    <w:basedOn w:val="DefaultParagraphFont"/>
    <w:uiPriority w:val="20"/>
    <w:rsid w:val="00826E64"/>
    <w:rPr>
      <w:i/>
      <w:iCs/>
      <w:color w:val="FF0000"/>
    </w:rPr>
  </w:style>
  <w:style w:type="character" w:styleId="IntenseEmphasis">
    <w:name w:val="Intense Emphasis"/>
    <w:basedOn w:val="DefaultParagraphFont"/>
    <w:uiPriority w:val="21"/>
    <w:rsid w:val="00826E64"/>
    <w:rPr>
      <w:i/>
      <w:iCs/>
      <w:color w:val="FF0000"/>
    </w:rPr>
  </w:style>
  <w:style w:type="paragraph" w:styleId="IntenseQuote">
    <w:name w:val="Intense Quote"/>
    <w:basedOn w:val="Normal"/>
    <w:next w:val="Normal"/>
    <w:link w:val="IntenseQuoteChar"/>
    <w:uiPriority w:val="30"/>
    <w:rsid w:val="00826E64"/>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826E64"/>
    <w:rPr>
      <w:rFonts w:ascii="Calibri" w:hAnsi="Calibri" w:cs="Traditional Arabic"/>
      <w:i/>
      <w:iCs/>
      <w:color w:val="FF0000"/>
      <w:szCs w:val="30"/>
    </w:rPr>
  </w:style>
  <w:style w:type="character" w:styleId="IntenseReference">
    <w:name w:val="Intense Reference"/>
    <w:basedOn w:val="DefaultParagraphFont"/>
    <w:uiPriority w:val="32"/>
    <w:rsid w:val="00826E64"/>
    <w:rPr>
      <w:b/>
      <w:bCs/>
      <w:smallCaps/>
      <w:color w:val="FF0000"/>
      <w:spacing w:val="5"/>
    </w:rPr>
  </w:style>
  <w:style w:type="paragraph" w:styleId="Quote">
    <w:name w:val="Quote"/>
    <w:basedOn w:val="Normal"/>
    <w:next w:val="Normal"/>
    <w:link w:val="QuoteChar"/>
    <w:uiPriority w:val="29"/>
    <w:rsid w:val="00826E64"/>
    <w:pPr>
      <w:spacing w:before="200" w:after="160"/>
      <w:ind w:left="864" w:right="864"/>
      <w:jc w:val="center"/>
    </w:pPr>
    <w:rPr>
      <w:i/>
      <w:iCs/>
      <w:color w:val="FF0000"/>
    </w:rPr>
  </w:style>
  <w:style w:type="character" w:customStyle="1" w:styleId="QuoteChar">
    <w:name w:val="Quote Char"/>
    <w:basedOn w:val="DefaultParagraphFont"/>
    <w:link w:val="Quote"/>
    <w:uiPriority w:val="29"/>
    <w:rsid w:val="00826E64"/>
    <w:rPr>
      <w:rFonts w:ascii="Calibri" w:hAnsi="Calibri" w:cs="Traditional Arabic"/>
      <w:i/>
      <w:iCs/>
      <w:color w:val="FF0000"/>
      <w:szCs w:val="30"/>
    </w:rPr>
  </w:style>
  <w:style w:type="character" w:styleId="Strong">
    <w:name w:val="Strong"/>
    <w:uiPriority w:val="22"/>
    <w:rsid w:val="00826E64"/>
    <w:rPr>
      <w:color w:val="FF0000"/>
      <w:lang w:bidi="ar-SY"/>
    </w:rPr>
  </w:style>
  <w:style w:type="paragraph" w:styleId="Subtitle">
    <w:name w:val="Subtitle"/>
    <w:basedOn w:val="Normal"/>
    <w:next w:val="Normal"/>
    <w:link w:val="SubtitleChar"/>
    <w:uiPriority w:val="11"/>
    <w:rsid w:val="00826E64"/>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826E64"/>
    <w:rPr>
      <w:color w:val="FF0000"/>
      <w:spacing w:val="15"/>
    </w:rPr>
  </w:style>
  <w:style w:type="character" w:styleId="SubtleEmphasis">
    <w:name w:val="Subtle Emphasis"/>
    <w:basedOn w:val="DefaultParagraphFont"/>
    <w:uiPriority w:val="19"/>
    <w:rsid w:val="00826E64"/>
    <w:rPr>
      <w:i/>
      <w:iCs/>
      <w:color w:val="FF0000"/>
    </w:rPr>
  </w:style>
  <w:style w:type="character" w:styleId="SubtleReference">
    <w:name w:val="Subtle Reference"/>
    <w:basedOn w:val="DefaultParagraphFont"/>
    <w:uiPriority w:val="31"/>
    <w:rsid w:val="00826E64"/>
    <w:rPr>
      <w:smallCaps/>
      <w:color w:val="FF0000"/>
    </w:rPr>
  </w:style>
  <w:style w:type="paragraph" w:customStyle="1" w:styleId="Headingb">
    <w:name w:val="Heading b"/>
    <w:basedOn w:val="Normal"/>
    <w:qFormat/>
    <w:rsid w:val="00EC6592"/>
    <w:pPr>
      <w:keepNext/>
      <w:spacing w:before="240"/>
    </w:pPr>
    <w:rPr>
      <w:b/>
      <w:bCs/>
      <w:lang w:bidi="ar-EG"/>
    </w:rPr>
  </w:style>
  <w:style w:type="paragraph" w:customStyle="1" w:styleId="Footnotetexte">
    <w:name w:val="Footnote texte"/>
    <w:basedOn w:val="Normal"/>
    <w:qFormat/>
    <w:rsid w:val="00EC6592"/>
    <w:pPr>
      <w:tabs>
        <w:tab w:val="left" w:pos="397"/>
        <w:tab w:val="left" w:pos="567"/>
      </w:tabs>
      <w:spacing w:before="60" w:line="168" w:lineRule="auto"/>
    </w:pPr>
    <w:rPr>
      <w:sz w:val="20"/>
      <w:szCs w:val="26"/>
    </w:rPr>
  </w:style>
  <w:style w:type="paragraph" w:customStyle="1" w:styleId="Tablelegend">
    <w:name w:val="Table legend"/>
    <w:basedOn w:val="Normal"/>
    <w:qFormat/>
    <w:rsid w:val="00EC6592"/>
    <w:pPr>
      <w:spacing w:before="80"/>
    </w:pPr>
  </w:style>
  <w:style w:type="paragraph" w:customStyle="1" w:styleId="Tabletext">
    <w:name w:val="Table_text"/>
    <w:basedOn w:val="Normal"/>
    <w:rsid w:val="0072482B"/>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91"/>
        <w:tab w:val="left" w:pos="1418"/>
        <w:tab w:val="left" w:pos="1588"/>
        <w:tab w:val="left" w:pos="1701"/>
        <w:tab w:val="left" w:pos="1985"/>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textAlignment w:val="baseline"/>
    </w:pPr>
    <w:rPr>
      <w:rFonts w:asciiTheme="minorHAnsi" w:eastAsia="Times New Roman" w:hAnsiTheme="minorHAnsi"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13sg17rgafr@lists.itu.i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studygroups/2013-2016/17/sg17rga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sbsg17@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13CCA-D7B6-4F93-A214-F68885D08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5917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Haitham</dc:creator>
  <cp:keywords/>
  <dc:description>151A.DOCX  For: _x000d_Document date: _x000d_Saved by ITU51006837 at 11:27:57 on 21/05/15</dc:description>
  <cp:lastModifiedBy>Aveline, Marion</cp:lastModifiedBy>
  <cp:revision>4</cp:revision>
  <cp:lastPrinted>2015-05-21T10:30:00Z</cp:lastPrinted>
  <dcterms:created xsi:type="dcterms:W3CDTF">2015-05-21T09:57:00Z</dcterms:created>
  <dcterms:modified xsi:type="dcterms:W3CDTF">2015-05-21T11:54:00Z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151A.DOCX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