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16"/>
        <w:tblW w:w="10033" w:type="dxa"/>
        <w:tblLayout w:type="fixed"/>
        <w:tblCellMar>
          <w:left w:w="0" w:type="dxa"/>
          <w:right w:w="0" w:type="dxa"/>
        </w:tblCellMar>
        <w:tblLook w:val="0000" w:firstRow="0" w:lastRow="0" w:firstColumn="0" w:lastColumn="0" w:noHBand="0" w:noVBand="0"/>
      </w:tblPr>
      <w:tblGrid>
        <w:gridCol w:w="6678"/>
        <w:gridCol w:w="3355"/>
      </w:tblGrid>
      <w:tr w:rsidR="00ED6A7A" w:rsidRPr="00E96A8B" w:rsidTr="00674F49">
        <w:trPr>
          <w:cantSplit/>
        </w:trPr>
        <w:tc>
          <w:tcPr>
            <w:tcW w:w="6678" w:type="dxa"/>
            <w:vAlign w:val="center"/>
          </w:tcPr>
          <w:p w:rsidR="00ED6A7A" w:rsidRPr="00E96A8B" w:rsidRDefault="00ED6A7A" w:rsidP="005A66D5">
            <w:pPr>
              <w:tabs>
                <w:tab w:val="right" w:pos="8732"/>
              </w:tabs>
              <w:spacing w:before="240"/>
              <w:rPr>
                <w:rFonts w:ascii="Verdana" w:hAnsi="Verdana"/>
                <w:b/>
                <w:bCs/>
                <w:iCs/>
                <w:color w:val="FFFFFF"/>
                <w:sz w:val="26"/>
                <w:szCs w:val="26"/>
              </w:rPr>
            </w:pPr>
            <w:bookmarkStart w:id="0" w:name="_GoBack"/>
            <w:bookmarkEnd w:id="0"/>
            <w:r w:rsidRPr="00E96A8B">
              <w:rPr>
                <w:rFonts w:ascii="Verdana" w:hAnsi="Verdana"/>
                <w:b/>
                <w:bCs/>
                <w:iCs/>
                <w:sz w:val="26"/>
                <w:szCs w:val="26"/>
              </w:rPr>
              <w:t>Bureau de la normalisation</w:t>
            </w:r>
            <w:r w:rsidRPr="00E96A8B">
              <w:rPr>
                <w:rFonts w:ascii="Verdana" w:hAnsi="Verdana"/>
                <w:b/>
                <w:bCs/>
                <w:iCs/>
                <w:sz w:val="26"/>
                <w:szCs w:val="26"/>
              </w:rPr>
              <w:br/>
              <w:t>des télécommunications</w:t>
            </w:r>
          </w:p>
        </w:tc>
        <w:tc>
          <w:tcPr>
            <w:tcW w:w="3355" w:type="dxa"/>
            <w:vAlign w:val="center"/>
          </w:tcPr>
          <w:p w:rsidR="00ED6A7A" w:rsidRPr="00E96A8B" w:rsidRDefault="001026FD" w:rsidP="005A66D5">
            <w:pPr>
              <w:spacing w:before="240"/>
              <w:jc w:val="right"/>
              <w:rPr>
                <w:rFonts w:ascii="Verdana" w:hAnsi="Verdana"/>
                <w:color w:val="FFFFFF"/>
                <w:sz w:val="26"/>
                <w:szCs w:val="26"/>
              </w:rPr>
            </w:pPr>
            <w:r w:rsidRPr="00E96A8B">
              <w:rPr>
                <w:rFonts w:ascii="Verdana" w:hAnsi="Verdana"/>
                <w:b/>
                <w:bCs/>
                <w:noProof/>
                <w:color w:val="FFFFFF"/>
                <w:sz w:val="26"/>
                <w:szCs w:val="26"/>
                <w:lang w:val="en-US" w:eastAsia="zh-CN"/>
              </w:rPr>
              <w:drawing>
                <wp:inline distT="0" distB="0" distL="0" distR="0" wp14:anchorId="735C4FFF" wp14:editId="3775CF77">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E96A8B" w:rsidTr="00674F49">
        <w:trPr>
          <w:cantSplit/>
        </w:trPr>
        <w:tc>
          <w:tcPr>
            <w:tcW w:w="6678" w:type="dxa"/>
            <w:vAlign w:val="center"/>
          </w:tcPr>
          <w:p w:rsidR="00ED6A7A" w:rsidRPr="00E96A8B" w:rsidRDefault="00ED6A7A" w:rsidP="005A66D5">
            <w:pPr>
              <w:tabs>
                <w:tab w:val="right" w:pos="8732"/>
              </w:tabs>
              <w:spacing w:before="240"/>
              <w:rPr>
                <w:rFonts w:ascii="Verdana" w:hAnsi="Verdana"/>
                <w:b/>
                <w:bCs/>
                <w:iCs/>
                <w:sz w:val="18"/>
                <w:szCs w:val="18"/>
              </w:rPr>
            </w:pPr>
          </w:p>
        </w:tc>
        <w:tc>
          <w:tcPr>
            <w:tcW w:w="3355" w:type="dxa"/>
            <w:vAlign w:val="center"/>
          </w:tcPr>
          <w:p w:rsidR="00ED6A7A" w:rsidRPr="00E96A8B" w:rsidRDefault="00ED6A7A" w:rsidP="005A66D5">
            <w:pPr>
              <w:spacing w:before="240"/>
              <w:ind w:left="993" w:hanging="993"/>
              <w:jc w:val="right"/>
              <w:rPr>
                <w:rFonts w:ascii="Verdana" w:hAnsi="Verdana"/>
                <w:sz w:val="18"/>
                <w:szCs w:val="18"/>
              </w:rPr>
            </w:pPr>
          </w:p>
        </w:tc>
      </w:tr>
    </w:tbl>
    <w:p w:rsidR="00ED6A7A" w:rsidRPr="00E96A8B" w:rsidRDefault="00ED6A7A" w:rsidP="005A66D5">
      <w:pPr>
        <w:tabs>
          <w:tab w:val="clear" w:pos="794"/>
          <w:tab w:val="clear" w:pos="1191"/>
          <w:tab w:val="clear" w:pos="1588"/>
          <w:tab w:val="clear" w:pos="1985"/>
          <w:tab w:val="left" w:pos="4962"/>
        </w:tabs>
        <w:spacing w:before="240"/>
      </w:pPr>
      <w:r w:rsidRPr="00E96A8B">
        <w:tab/>
        <w:t xml:space="preserve">Genève, le </w:t>
      </w:r>
      <w:r w:rsidR="00AD543F" w:rsidRPr="00E96A8B">
        <w:t>16 avril 2014</w:t>
      </w:r>
    </w:p>
    <w:p w:rsidR="00ED6A7A" w:rsidRPr="00E96A8B" w:rsidRDefault="00ED6A7A" w:rsidP="005A66D5">
      <w:pPr>
        <w:spacing w:before="240" w:after="240"/>
      </w:pPr>
    </w:p>
    <w:tbl>
      <w:tblPr>
        <w:tblW w:w="10095" w:type="dxa"/>
        <w:jc w:val="center"/>
        <w:tblInd w:w="8" w:type="dxa"/>
        <w:tblLayout w:type="fixed"/>
        <w:tblCellMar>
          <w:left w:w="0" w:type="dxa"/>
          <w:right w:w="0" w:type="dxa"/>
        </w:tblCellMar>
        <w:tblLook w:val="0000" w:firstRow="0" w:lastRow="0" w:firstColumn="0" w:lastColumn="0" w:noHBand="0" w:noVBand="0"/>
      </w:tblPr>
      <w:tblGrid>
        <w:gridCol w:w="822"/>
        <w:gridCol w:w="4055"/>
        <w:gridCol w:w="5218"/>
      </w:tblGrid>
      <w:tr w:rsidR="00ED6A7A" w:rsidRPr="00E96A8B" w:rsidTr="00674F49">
        <w:trPr>
          <w:cantSplit/>
          <w:jc w:val="center"/>
        </w:trPr>
        <w:tc>
          <w:tcPr>
            <w:tcW w:w="822" w:type="dxa"/>
          </w:tcPr>
          <w:p w:rsidR="00ED6A7A" w:rsidRPr="00E96A8B" w:rsidRDefault="00ED6A7A" w:rsidP="005A66D5">
            <w:pPr>
              <w:tabs>
                <w:tab w:val="left" w:pos="4111"/>
              </w:tabs>
              <w:spacing w:before="0"/>
              <w:rPr>
                <w:sz w:val="22"/>
              </w:rPr>
            </w:pPr>
            <w:r w:rsidRPr="00E96A8B">
              <w:rPr>
                <w:sz w:val="22"/>
              </w:rPr>
              <w:t>Réf.:</w:t>
            </w:r>
          </w:p>
        </w:tc>
        <w:tc>
          <w:tcPr>
            <w:tcW w:w="4055" w:type="dxa"/>
          </w:tcPr>
          <w:p w:rsidR="00ED6A7A" w:rsidRPr="00E96A8B" w:rsidRDefault="00ED6A7A" w:rsidP="005A66D5">
            <w:pPr>
              <w:tabs>
                <w:tab w:val="left" w:pos="4111"/>
              </w:tabs>
              <w:spacing w:before="0"/>
              <w:rPr>
                <w:b/>
              </w:rPr>
            </w:pPr>
            <w:r w:rsidRPr="00E96A8B">
              <w:rPr>
                <w:b/>
              </w:rPr>
              <w:t xml:space="preserve">Circulaire TSB </w:t>
            </w:r>
            <w:r w:rsidR="00AD543F" w:rsidRPr="00E96A8B">
              <w:rPr>
                <w:b/>
              </w:rPr>
              <w:t>98</w:t>
            </w:r>
          </w:p>
          <w:p w:rsidR="00ED6A7A" w:rsidRPr="00E96A8B" w:rsidRDefault="00ED6A7A" w:rsidP="005A66D5">
            <w:pPr>
              <w:tabs>
                <w:tab w:val="left" w:pos="4111"/>
              </w:tabs>
              <w:spacing w:before="0"/>
            </w:pPr>
            <w:r w:rsidRPr="00E96A8B">
              <w:t xml:space="preserve">COM </w:t>
            </w:r>
            <w:r w:rsidR="00AD543F" w:rsidRPr="00E96A8B">
              <w:t>1</w:t>
            </w:r>
            <w:r w:rsidR="00F36855" w:rsidRPr="00E96A8B">
              <w:t>5</w:t>
            </w:r>
            <w:r w:rsidRPr="00E96A8B">
              <w:t>/</w:t>
            </w:r>
            <w:r w:rsidR="00912C8D" w:rsidRPr="00E96A8B">
              <w:t>GJ</w:t>
            </w:r>
          </w:p>
        </w:tc>
        <w:tc>
          <w:tcPr>
            <w:tcW w:w="5218" w:type="dxa"/>
          </w:tcPr>
          <w:p w:rsidR="00ED6A7A" w:rsidRPr="00E96A8B" w:rsidRDefault="00ED6A7A" w:rsidP="002C6D18">
            <w:pPr>
              <w:numPr>
                <w:ilvl w:val="0"/>
                <w:numId w:val="3"/>
              </w:numPr>
              <w:tabs>
                <w:tab w:val="clear" w:pos="794"/>
                <w:tab w:val="clear" w:pos="1191"/>
                <w:tab w:val="clear" w:pos="1588"/>
                <w:tab w:val="clear" w:pos="1985"/>
                <w:tab w:val="left" w:pos="284"/>
              </w:tabs>
              <w:spacing w:before="0"/>
              <w:ind w:left="284" w:hanging="227"/>
            </w:pPr>
            <w:r w:rsidRPr="00E96A8B">
              <w:t xml:space="preserve">Aux administrations des Etats Membres de </w:t>
            </w:r>
            <w:r w:rsidR="00674F49">
              <w:t> </w:t>
            </w:r>
            <w:r w:rsidRPr="00E96A8B">
              <w:t>l</w:t>
            </w:r>
            <w:r w:rsidR="00167472" w:rsidRPr="00E96A8B">
              <w:t>'</w:t>
            </w:r>
            <w:r w:rsidRPr="00E96A8B">
              <w:t>Union;</w:t>
            </w:r>
          </w:p>
          <w:p w:rsidR="00ED6A7A" w:rsidRPr="00E96A8B" w:rsidRDefault="00ED6A7A" w:rsidP="005A66D5">
            <w:pPr>
              <w:numPr>
                <w:ilvl w:val="0"/>
                <w:numId w:val="3"/>
              </w:numPr>
              <w:tabs>
                <w:tab w:val="clear" w:pos="794"/>
                <w:tab w:val="clear" w:pos="1191"/>
                <w:tab w:val="clear" w:pos="1588"/>
                <w:tab w:val="clear" w:pos="1985"/>
                <w:tab w:val="left" w:pos="284"/>
              </w:tabs>
              <w:spacing w:before="0"/>
            </w:pPr>
            <w:r w:rsidRPr="00E96A8B">
              <w:t>Aux Membres du Secteur UIT-T</w:t>
            </w:r>
          </w:p>
        </w:tc>
      </w:tr>
      <w:tr w:rsidR="00E51B88" w:rsidRPr="00E96A8B" w:rsidTr="00674F49">
        <w:trPr>
          <w:cantSplit/>
          <w:jc w:val="center"/>
        </w:trPr>
        <w:tc>
          <w:tcPr>
            <w:tcW w:w="822" w:type="dxa"/>
          </w:tcPr>
          <w:p w:rsidR="00E51B88" w:rsidRPr="00E96A8B" w:rsidRDefault="00E51B88" w:rsidP="005A66D5">
            <w:pPr>
              <w:tabs>
                <w:tab w:val="left" w:pos="4111"/>
              </w:tabs>
              <w:spacing w:before="0"/>
              <w:rPr>
                <w:sz w:val="22"/>
              </w:rPr>
            </w:pPr>
          </w:p>
        </w:tc>
        <w:tc>
          <w:tcPr>
            <w:tcW w:w="4055" w:type="dxa"/>
          </w:tcPr>
          <w:p w:rsidR="00E51B88" w:rsidRPr="00E96A8B" w:rsidRDefault="00E51B88" w:rsidP="005A66D5">
            <w:pPr>
              <w:tabs>
                <w:tab w:val="left" w:pos="4111"/>
              </w:tabs>
              <w:spacing w:before="0"/>
              <w:rPr>
                <w:b/>
              </w:rPr>
            </w:pPr>
          </w:p>
        </w:tc>
        <w:tc>
          <w:tcPr>
            <w:tcW w:w="5218" w:type="dxa"/>
          </w:tcPr>
          <w:p w:rsidR="00E51B88" w:rsidRPr="00E96A8B" w:rsidRDefault="00E51B88" w:rsidP="005A66D5">
            <w:pPr>
              <w:tabs>
                <w:tab w:val="clear" w:pos="794"/>
                <w:tab w:val="clear" w:pos="1191"/>
                <w:tab w:val="clear" w:pos="1588"/>
                <w:tab w:val="clear" w:pos="1985"/>
                <w:tab w:val="left" w:pos="284"/>
              </w:tabs>
              <w:spacing w:before="0"/>
              <w:ind w:left="417"/>
            </w:pPr>
          </w:p>
        </w:tc>
      </w:tr>
      <w:tr w:rsidR="00ED6A7A" w:rsidRPr="00E96A8B" w:rsidTr="00674F49">
        <w:trPr>
          <w:cantSplit/>
          <w:jc w:val="center"/>
        </w:trPr>
        <w:tc>
          <w:tcPr>
            <w:tcW w:w="822" w:type="dxa"/>
          </w:tcPr>
          <w:p w:rsidR="00ED6A7A" w:rsidRPr="00E96A8B" w:rsidRDefault="00ED6A7A" w:rsidP="005A66D5">
            <w:pPr>
              <w:tabs>
                <w:tab w:val="left" w:pos="4111"/>
              </w:tabs>
              <w:spacing w:before="0"/>
              <w:rPr>
                <w:sz w:val="22"/>
              </w:rPr>
            </w:pPr>
          </w:p>
          <w:p w:rsidR="00ED6A7A" w:rsidRPr="00E96A8B" w:rsidRDefault="00ED6A7A" w:rsidP="005A66D5">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0" w:after="0"/>
              <w:rPr>
                <w:sz w:val="24"/>
              </w:rPr>
            </w:pPr>
            <w:r w:rsidRPr="00E96A8B">
              <w:rPr>
                <w:sz w:val="24"/>
              </w:rPr>
              <w:t>Tél.:</w:t>
            </w:r>
            <w:r w:rsidRPr="00E96A8B">
              <w:rPr>
                <w:sz w:val="24"/>
              </w:rPr>
              <w:br/>
              <w:t>Fax:</w:t>
            </w:r>
            <w:r w:rsidRPr="00E96A8B">
              <w:rPr>
                <w:sz w:val="24"/>
              </w:rPr>
              <w:br/>
              <w:t>E-mail:</w:t>
            </w:r>
          </w:p>
        </w:tc>
        <w:tc>
          <w:tcPr>
            <w:tcW w:w="4055" w:type="dxa"/>
          </w:tcPr>
          <w:p w:rsidR="00ED6A7A" w:rsidRPr="00E96A8B" w:rsidRDefault="00ED6A7A" w:rsidP="005A66D5">
            <w:pPr>
              <w:tabs>
                <w:tab w:val="left" w:pos="4111"/>
              </w:tabs>
              <w:spacing w:before="0"/>
            </w:pPr>
          </w:p>
          <w:p w:rsidR="00ED6A7A" w:rsidRPr="00E96A8B" w:rsidRDefault="00ED6A7A" w:rsidP="00912C8D">
            <w:pPr>
              <w:pStyle w:val="Index1"/>
              <w:tabs>
                <w:tab w:val="left" w:pos="4111"/>
              </w:tabs>
              <w:spacing w:before="0"/>
            </w:pPr>
            <w:r w:rsidRPr="00E96A8B">
              <w:t>+41 22 730</w:t>
            </w:r>
            <w:r w:rsidR="00F36855" w:rsidRPr="00E96A8B">
              <w:t xml:space="preserve"> </w:t>
            </w:r>
            <w:proofErr w:type="gramStart"/>
            <w:r w:rsidR="00912C8D" w:rsidRPr="00E96A8B">
              <w:t>5515</w:t>
            </w:r>
            <w:r w:rsidRPr="00E96A8B">
              <w:br/>
              <w:t>+41 22 730 5853</w:t>
            </w:r>
            <w:r w:rsidRPr="00E96A8B">
              <w:br/>
            </w:r>
            <w:hyperlink r:id="rId10" w:history="1">
              <w:r w:rsidR="00A56027" w:rsidRPr="005351B6">
                <w:rPr>
                  <w:rStyle w:val="Hyperlink"/>
                  <w:lang w:val="en-US"/>
                </w:rPr>
                <w:t>tsbsg15@itu.int</w:t>
              </w:r>
              <w:proofErr w:type="gramEnd"/>
            </w:hyperlink>
          </w:p>
        </w:tc>
        <w:tc>
          <w:tcPr>
            <w:tcW w:w="5218" w:type="dxa"/>
          </w:tcPr>
          <w:p w:rsidR="00ED6A7A" w:rsidRPr="00E96A8B" w:rsidRDefault="00ED6A7A" w:rsidP="005A66D5">
            <w:pPr>
              <w:tabs>
                <w:tab w:val="left" w:pos="4111"/>
              </w:tabs>
              <w:spacing w:before="0"/>
            </w:pPr>
            <w:r w:rsidRPr="00E96A8B">
              <w:rPr>
                <w:b/>
              </w:rPr>
              <w:t>Copie</w:t>
            </w:r>
            <w:r w:rsidRPr="00E96A8B">
              <w:t>:</w:t>
            </w:r>
          </w:p>
          <w:p w:rsidR="00F36855" w:rsidRPr="00E96A8B" w:rsidRDefault="00ED6A7A" w:rsidP="005A66D5">
            <w:pPr>
              <w:tabs>
                <w:tab w:val="clear" w:pos="794"/>
                <w:tab w:val="left" w:pos="226"/>
                <w:tab w:val="left" w:pos="4111"/>
              </w:tabs>
              <w:spacing w:before="0"/>
              <w:ind w:left="226" w:hanging="226"/>
            </w:pPr>
            <w:r w:rsidRPr="00E96A8B">
              <w:t>-</w:t>
            </w:r>
            <w:r w:rsidRPr="00E96A8B">
              <w:tab/>
            </w:r>
            <w:r w:rsidR="00F36855" w:rsidRPr="00E96A8B">
              <w:t>Aux Associés de l'UIT-T;</w:t>
            </w:r>
          </w:p>
          <w:p w:rsidR="00F36855" w:rsidRPr="00E96A8B" w:rsidRDefault="00F36855" w:rsidP="005A66D5">
            <w:pPr>
              <w:tabs>
                <w:tab w:val="clear" w:pos="794"/>
                <w:tab w:val="left" w:pos="226"/>
                <w:tab w:val="left" w:pos="4111"/>
              </w:tabs>
              <w:spacing w:before="0"/>
              <w:ind w:left="226" w:hanging="226"/>
            </w:pPr>
            <w:r w:rsidRPr="00E96A8B">
              <w:t>-</w:t>
            </w:r>
            <w:r w:rsidRPr="00E96A8B">
              <w:tab/>
              <w:t>Aux établissements universitaires participant aux travaux de l'UIT-T;</w:t>
            </w:r>
          </w:p>
          <w:p w:rsidR="00F36855" w:rsidRPr="00E96A8B" w:rsidRDefault="00F36855" w:rsidP="005A66D5">
            <w:pPr>
              <w:tabs>
                <w:tab w:val="clear" w:pos="794"/>
                <w:tab w:val="left" w:pos="226"/>
                <w:tab w:val="left" w:pos="4111"/>
              </w:tabs>
              <w:spacing w:before="0"/>
              <w:ind w:left="226" w:hanging="226"/>
            </w:pPr>
            <w:r w:rsidRPr="00E96A8B">
              <w:t>-</w:t>
            </w:r>
            <w:r w:rsidRPr="00E96A8B">
              <w:tab/>
              <w:t xml:space="preserve">Aux Président et Vice-Présidents de la Commission d'études </w:t>
            </w:r>
            <w:r w:rsidR="00AD543F" w:rsidRPr="00E96A8B">
              <w:t>1</w:t>
            </w:r>
            <w:r w:rsidRPr="00E96A8B">
              <w:t>5;</w:t>
            </w:r>
          </w:p>
          <w:p w:rsidR="00ED6A7A" w:rsidRPr="00E96A8B" w:rsidRDefault="00F36855" w:rsidP="005A66D5">
            <w:pPr>
              <w:tabs>
                <w:tab w:val="clear" w:pos="794"/>
                <w:tab w:val="clear" w:pos="1191"/>
                <w:tab w:val="clear" w:pos="1588"/>
                <w:tab w:val="clear" w:pos="1985"/>
                <w:tab w:val="left" w:pos="218"/>
              </w:tabs>
              <w:spacing w:before="0"/>
              <w:ind w:left="218" w:hanging="218"/>
            </w:pPr>
            <w:r w:rsidRPr="00E96A8B">
              <w:t>-</w:t>
            </w:r>
            <w:r w:rsidRPr="00E96A8B">
              <w:tab/>
              <w:t>Au Directeur du Bureau de développement des télécommunications;</w:t>
            </w:r>
          </w:p>
          <w:p w:rsidR="00F36855" w:rsidRPr="00E96A8B" w:rsidRDefault="00F36855" w:rsidP="005A66D5">
            <w:pPr>
              <w:tabs>
                <w:tab w:val="clear" w:pos="794"/>
                <w:tab w:val="clear" w:pos="1191"/>
                <w:tab w:val="clear" w:pos="1588"/>
                <w:tab w:val="clear" w:pos="1985"/>
                <w:tab w:val="left" w:pos="218"/>
              </w:tabs>
              <w:spacing w:before="0"/>
              <w:ind w:left="218" w:hanging="218"/>
            </w:pPr>
            <w:r w:rsidRPr="00E96A8B">
              <w:t>-</w:t>
            </w:r>
            <w:r w:rsidRPr="00E96A8B">
              <w:tab/>
              <w:t>Au Directeur du Bureau des radiocommunications</w:t>
            </w:r>
          </w:p>
        </w:tc>
      </w:tr>
    </w:tbl>
    <w:p w:rsidR="00ED6A7A" w:rsidRPr="00E96A8B" w:rsidRDefault="00ED6A7A" w:rsidP="005A66D5">
      <w:pPr>
        <w:spacing w:before="240"/>
      </w:pPr>
    </w:p>
    <w:tbl>
      <w:tblPr>
        <w:tblW w:w="10135" w:type="dxa"/>
        <w:tblInd w:w="-560" w:type="dxa"/>
        <w:tblLayout w:type="fixed"/>
        <w:tblCellMar>
          <w:left w:w="0" w:type="dxa"/>
          <w:right w:w="0" w:type="dxa"/>
        </w:tblCellMar>
        <w:tblLook w:val="0000" w:firstRow="0" w:lastRow="0" w:firstColumn="0" w:lastColumn="0" w:noHBand="0" w:noVBand="0"/>
      </w:tblPr>
      <w:tblGrid>
        <w:gridCol w:w="1390"/>
        <w:gridCol w:w="8745"/>
      </w:tblGrid>
      <w:tr w:rsidR="00ED6A7A" w:rsidRPr="00E96A8B" w:rsidTr="00674F49">
        <w:trPr>
          <w:cantSplit/>
          <w:trHeight w:val="680"/>
        </w:trPr>
        <w:tc>
          <w:tcPr>
            <w:tcW w:w="1390" w:type="dxa"/>
          </w:tcPr>
          <w:p w:rsidR="00ED6A7A" w:rsidRPr="00E96A8B" w:rsidRDefault="00ED6A7A" w:rsidP="005A66D5">
            <w:pPr>
              <w:tabs>
                <w:tab w:val="left" w:pos="4111"/>
              </w:tabs>
              <w:spacing w:before="240"/>
              <w:ind w:left="57"/>
              <w:rPr>
                <w:sz w:val="22"/>
              </w:rPr>
            </w:pPr>
            <w:r w:rsidRPr="00E96A8B">
              <w:rPr>
                <w:sz w:val="22"/>
              </w:rPr>
              <w:t>Objet:</w:t>
            </w:r>
          </w:p>
        </w:tc>
        <w:tc>
          <w:tcPr>
            <w:tcW w:w="8745" w:type="dxa"/>
          </w:tcPr>
          <w:p w:rsidR="00ED6A7A" w:rsidRPr="00E96A8B" w:rsidRDefault="00F36855" w:rsidP="005A66D5">
            <w:pPr>
              <w:tabs>
                <w:tab w:val="left" w:pos="4111"/>
              </w:tabs>
              <w:spacing w:before="240"/>
              <w:ind w:left="57"/>
            </w:pPr>
            <w:r w:rsidRPr="00E96A8B">
              <w:rPr>
                <w:b/>
              </w:rPr>
              <w:t>Proposition de suppression de</w:t>
            </w:r>
            <w:r w:rsidR="00AD543F" w:rsidRPr="00E96A8B">
              <w:rPr>
                <w:b/>
              </w:rPr>
              <w:t>s</w:t>
            </w:r>
            <w:r w:rsidRPr="00E96A8B">
              <w:rPr>
                <w:b/>
              </w:rPr>
              <w:t xml:space="preserve"> Recommandation</w:t>
            </w:r>
            <w:r w:rsidR="00AD543F" w:rsidRPr="00E96A8B">
              <w:rPr>
                <w:b/>
              </w:rPr>
              <w:t>s</w:t>
            </w:r>
            <w:r w:rsidRPr="00E96A8B">
              <w:rPr>
                <w:b/>
              </w:rPr>
              <w:t xml:space="preserve"> UIT-T </w:t>
            </w:r>
            <w:r w:rsidR="00AD543F" w:rsidRPr="00E96A8B">
              <w:rPr>
                <w:b/>
              </w:rPr>
              <w:t xml:space="preserve">G.9955 et </w:t>
            </w:r>
            <w:r w:rsidR="00912C8D" w:rsidRPr="00E96A8B">
              <w:rPr>
                <w:b/>
              </w:rPr>
              <w:t xml:space="preserve">UIT-T </w:t>
            </w:r>
            <w:r w:rsidR="00AD543F" w:rsidRPr="00E96A8B">
              <w:rPr>
                <w:b/>
              </w:rPr>
              <w:t>G.9956</w:t>
            </w:r>
            <w:r w:rsidRPr="00E96A8B">
              <w:rPr>
                <w:b/>
              </w:rPr>
              <w:t xml:space="preserve"> conformément à la décision prise</w:t>
            </w:r>
            <w:r w:rsidR="00E51B88" w:rsidRPr="00E96A8B">
              <w:rPr>
                <w:b/>
              </w:rPr>
              <w:t xml:space="preserve"> par la Commission d'études </w:t>
            </w:r>
            <w:r w:rsidR="00AD543F" w:rsidRPr="00E96A8B">
              <w:rPr>
                <w:b/>
              </w:rPr>
              <w:t>1</w:t>
            </w:r>
            <w:r w:rsidR="00E51B88" w:rsidRPr="00E96A8B">
              <w:rPr>
                <w:b/>
              </w:rPr>
              <w:t>5 à </w:t>
            </w:r>
            <w:r w:rsidRPr="00E96A8B">
              <w:rPr>
                <w:b/>
              </w:rPr>
              <w:t xml:space="preserve">sa réunion </w:t>
            </w:r>
            <w:r w:rsidR="00674F49">
              <w:rPr>
                <w:b/>
              </w:rPr>
              <w:br/>
            </w:r>
            <w:r w:rsidR="00AD543F" w:rsidRPr="00E96A8B">
              <w:rPr>
                <w:b/>
              </w:rPr>
              <w:t>du 4 avril 2014</w:t>
            </w:r>
          </w:p>
        </w:tc>
      </w:tr>
    </w:tbl>
    <w:p w:rsidR="00F36855" w:rsidRPr="00E96A8B" w:rsidRDefault="00F36855" w:rsidP="00674F49">
      <w:pPr>
        <w:pStyle w:val="Normalaftertitle"/>
        <w:spacing w:before="360"/>
        <w:ind w:left="-567" w:firstLine="567"/>
      </w:pPr>
      <w:r w:rsidRPr="00E96A8B">
        <w:t>Madame, Monsieur,</w:t>
      </w:r>
    </w:p>
    <w:p w:rsidR="00DA5AF8" w:rsidRPr="00E96A8B" w:rsidRDefault="00F36855" w:rsidP="005A66D5">
      <w:pPr>
        <w:spacing w:before="240"/>
      </w:pPr>
      <w:r w:rsidRPr="00E96A8B">
        <w:t>1</w:t>
      </w:r>
      <w:r w:rsidRPr="00E96A8B">
        <w:tab/>
        <w:t xml:space="preserve">A la demande du Président de la Commission d'études </w:t>
      </w:r>
      <w:r w:rsidR="00AD543F" w:rsidRPr="00E96A8B">
        <w:t>1</w:t>
      </w:r>
      <w:r w:rsidRPr="00E96A8B">
        <w:t>5</w:t>
      </w:r>
      <w:r w:rsidR="00E240CC" w:rsidRPr="00E96A8B">
        <w:t>,</w:t>
      </w:r>
      <w:r w:rsidRPr="00E96A8B">
        <w:t xml:space="preserve"> </w:t>
      </w:r>
      <w:r w:rsidR="00AD543F" w:rsidRPr="00E96A8B">
        <w:rPr>
          <w:i/>
          <w:iCs/>
        </w:rPr>
        <w:t>Réseaux, technologies et infrastructures destinés au transport, à l'accès et aux installations domestiques</w:t>
      </w:r>
      <w:r w:rsidRPr="00E96A8B">
        <w:t xml:space="preserve">, j'ai l'honneur de vous informer que ladite Commission, à sa réunion </w:t>
      </w:r>
      <w:r w:rsidR="00912C8D" w:rsidRPr="00E96A8B">
        <w:t xml:space="preserve">tenue </w:t>
      </w:r>
      <w:r w:rsidR="00E240CC" w:rsidRPr="00E96A8B">
        <w:t>du 24 mars au 4 avril 2014</w:t>
      </w:r>
      <w:r w:rsidRPr="00E96A8B">
        <w:t>, a décidé de supprimer l</w:t>
      </w:r>
      <w:r w:rsidR="00E240CC" w:rsidRPr="00E96A8B">
        <w:t>es</w:t>
      </w:r>
      <w:r w:rsidRPr="00E96A8B">
        <w:t xml:space="preserve"> Recommandation</w:t>
      </w:r>
      <w:r w:rsidR="00E240CC" w:rsidRPr="00E96A8B">
        <w:t>s</w:t>
      </w:r>
      <w:r w:rsidRPr="00E96A8B">
        <w:t xml:space="preserve"> </w:t>
      </w:r>
      <w:r w:rsidR="00DA5AF8" w:rsidRPr="00E96A8B">
        <w:t>suivantes</w:t>
      </w:r>
      <w:r w:rsidRPr="00E96A8B">
        <w:t>, conformément aux dispositions du § 8.2 de la Recommandation A.8 de l'AMNT (</w:t>
      </w:r>
      <w:proofErr w:type="spellStart"/>
      <w:r w:rsidR="00E96A8B">
        <w:t>Rév.</w:t>
      </w:r>
      <w:r w:rsidR="00706DB3" w:rsidRPr="00E96A8B">
        <w:t>Dubaï</w:t>
      </w:r>
      <w:proofErr w:type="spellEnd"/>
      <w:r w:rsidRPr="00E96A8B">
        <w:t>, 20</w:t>
      </w:r>
      <w:r w:rsidR="00706DB3" w:rsidRPr="00E96A8B">
        <w:t>12</w:t>
      </w:r>
      <w:r w:rsidR="00DA5AF8" w:rsidRPr="00E96A8B">
        <w:t>):</w:t>
      </w:r>
    </w:p>
    <w:p w:rsidR="00DA5AF8" w:rsidRPr="002C6D18" w:rsidRDefault="00912C8D" w:rsidP="00912C8D">
      <w:pPr>
        <w:pStyle w:val="enumlev1"/>
        <w:rPr>
          <w:u w:val="single"/>
        </w:rPr>
      </w:pPr>
      <w:r w:rsidRPr="00E96A8B">
        <w:t>–</w:t>
      </w:r>
      <w:r w:rsidRPr="00E96A8B">
        <w:tab/>
      </w:r>
      <w:r w:rsidR="00DA5AF8" w:rsidRPr="00E96A8B">
        <w:t xml:space="preserve">UIT-T G.9955 </w:t>
      </w:r>
      <w:r w:rsidRPr="00E96A8B">
        <w:t>–</w:t>
      </w:r>
      <w:r w:rsidR="00DA5AF8" w:rsidRPr="00E96A8B">
        <w:t xml:space="preserve"> </w:t>
      </w:r>
      <w:r w:rsidR="00DA5AF8" w:rsidRPr="002C6D18">
        <w:rPr>
          <w:i/>
          <w:iCs/>
        </w:rPr>
        <w:t>Emetteurs-récepteurs</w:t>
      </w:r>
      <w:r w:rsidR="00B24C3A" w:rsidRPr="002C6D18">
        <w:rPr>
          <w:i/>
          <w:iCs/>
        </w:rPr>
        <w:t xml:space="preserve"> </w:t>
      </w:r>
      <w:r w:rsidR="00DA5AF8" w:rsidRPr="002C6D18">
        <w:rPr>
          <w:i/>
          <w:iCs/>
        </w:rPr>
        <w:t xml:space="preserve">OFDM à bande étroite utilisant les courants porteurs en ligne </w:t>
      </w:r>
      <w:r w:rsidR="00674F49" w:rsidRPr="002C6D18">
        <w:rPr>
          <w:i/>
          <w:iCs/>
        </w:rPr>
        <w:t>–</w:t>
      </w:r>
      <w:r w:rsidR="00DA5AF8" w:rsidRPr="002C6D18">
        <w:rPr>
          <w:i/>
          <w:iCs/>
        </w:rPr>
        <w:t xml:space="preserve"> Spécification de la couche physique</w:t>
      </w:r>
      <w:r w:rsidR="002C6D18">
        <w:rPr>
          <w:iCs/>
        </w:rPr>
        <w:t>.</w:t>
      </w:r>
    </w:p>
    <w:p w:rsidR="00DA5AF8" w:rsidRPr="002C6D18" w:rsidRDefault="00912C8D" w:rsidP="00912C8D">
      <w:pPr>
        <w:pStyle w:val="enumlev1"/>
      </w:pPr>
      <w:r w:rsidRPr="00E96A8B">
        <w:t>–</w:t>
      </w:r>
      <w:r w:rsidRPr="00E96A8B">
        <w:tab/>
      </w:r>
      <w:r w:rsidR="00DA5AF8" w:rsidRPr="00E96A8B">
        <w:t>UIT-T G.9956</w:t>
      </w:r>
      <w:r w:rsidR="00F36855" w:rsidRPr="00E96A8B">
        <w:t xml:space="preserve"> </w:t>
      </w:r>
      <w:r w:rsidRPr="00E96A8B">
        <w:t>–</w:t>
      </w:r>
      <w:r w:rsidR="00B24C3A" w:rsidRPr="00E96A8B">
        <w:t xml:space="preserve"> </w:t>
      </w:r>
      <w:r w:rsidR="00C86F36" w:rsidRPr="002C6D18">
        <w:rPr>
          <w:i/>
          <w:iCs/>
        </w:rPr>
        <w:t xml:space="preserve">Emetteurs-récepteurs OFDM à bande étroite utilisant les courants porteurs en ligne </w:t>
      </w:r>
      <w:r w:rsidR="00674F49" w:rsidRPr="002C6D18">
        <w:rPr>
          <w:i/>
          <w:iCs/>
        </w:rPr>
        <w:t>–</w:t>
      </w:r>
      <w:r w:rsidR="00C86F36" w:rsidRPr="002C6D18">
        <w:rPr>
          <w:i/>
          <w:iCs/>
        </w:rPr>
        <w:t xml:space="preserve"> Spécification de la couche liaison de données</w:t>
      </w:r>
      <w:r w:rsidR="002C6D18">
        <w:rPr>
          <w:iCs/>
        </w:rPr>
        <w:t>.</w:t>
      </w:r>
    </w:p>
    <w:p w:rsidR="00F36855" w:rsidRPr="00E96A8B" w:rsidRDefault="00BB472E" w:rsidP="005A66D5">
      <w:pPr>
        <w:spacing w:before="240"/>
      </w:pPr>
      <w:r w:rsidRPr="00E96A8B">
        <w:t>Au total, 23</w:t>
      </w:r>
      <w:r w:rsidR="00F36855" w:rsidRPr="00E96A8B">
        <w:t xml:space="preserve"> Etats Membres et </w:t>
      </w:r>
      <w:r w:rsidRPr="00E96A8B">
        <w:t>74</w:t>
      </w:r>
      <w:r w:rsidR="00F36855" w:rsidRPr="00E96A8B">
        <w:t xml:space="preserve"> Membres du Secteur ont participé à la réunion et aucune objection n'a été émise contre cette décision de supprimer l</w:t>
      </w:r>
      <w:r w:rsidRPr="00E96A8B">
        <w:t>es</w:t>
      </w:r>
      <w:r w:rsidR="00F36855" w:rsidRPr="00E96A8B">
        <w:t xml:space="preserve"> Recommandation</w:t>
      </w:r>
      <w:r w:rsidRPr="00E96A8B">
        <w:t>s</w:t>
      </w:r>
      <w:r w:rsidR="00F36855" w:rsidRPr="00E96A8B">
        <w:t xml:space="preserve"> susmentionnée</w:t>
      </w:r>
      <w:r w:rsidRPr="00E96A8B">
        <w:t>s</w:t>
      </w:r>
      <w:r w:rsidR="00F36855" w:rsidRPr="00E96A8B">
        <w:t>.</w:t>
      </w:r>
    </w:p>
    <w:p w:rsidR="00F36855" w:rsidRPr="00E96A8B" w:rsidRDefault="00F36855" w:rsidP="005A66D5">
      <w:pPr>
        <w:spacing w:before="240"/>
      </w:pPr>
      <w:r w:rsidRPr="00E96A8B">
        <w:t>2</w:t>
      </w:r>
      <w:r w:rsidRPr="00E96A8B">
        <w:tab/>
        <w:t>L'</w:t>
      </w:r>
      <w:r w:rsidRPr="00E96A8B">
        <w:rPr>
          <w:b/>
        </w:rPr>
        <w:t>Annexe 1</w:t>
      </w:r>
      <w:r w:rsidRPr="00E96A8B">
        <w:t xml:space="preserve"> donne des informations sur cet accord et contient un résumé explicatif des motifs de la suppression.</w:t>
      </w:r>
    </w:p>
    <w:p w:rsidR="00912C8D" w:rsidRPr="00E96A8B" w:rsidRDefault="00912C8D" w:rsidP="00912C8D">
      <w:pPr>
        <w:spacing w:before="240"/>
      </w:pPr>
      <w:r w:rsidRPr="00E96A8B">
        <w:br w:type="page"/>
      </w:r>
    </w:p>
    <w:p w:rsidR="00F36855" w:rsidRPr="00E96A8B" w:rsidRDefault="00F36855" w:rsidP="00912C8D">
      <w:pPr>
        <w:spacing w:before="240"/>
      </w:pPr>
      <w:r w:rsidRPr="00E96A8B">
        <w:lastRenderedPageBreak/>
        <w:t>3</w:t>
      </w:r>
      <w:r w:rsidRPr="00E96A8B">
        <w:tab/>
        <w:t xml:space="preserve">Eu égard aux dispositions du § 8.2 de la Recommandation A.8, je vous serais reconnaissant de bien vouloir </w:t>
      </w:r>
      <w:r w:rsidR="00912C8D" w:rsidRPr="00E96A8B">
        <w:t xml:space="preserve">me faire savoir </w:t>
      </w:r>
      <w:r w:rsidRPr="00E96A8B">
        <w:t xml:space="preserve">d'ici </w:t>
      </w:r>
      <w:r w:rsidRPr="00E96A8B">
        <w:rPr>
          <w:b/>
        </w:rPr>
        <w:t xml:space="preserve">au </w:t>
      </w:r>
      <w:r w:rsidR="00BB472E" w:rsidRPr="00E96A8B">
        <w:rPr>
          <w:b/>
        </w:rPr>
        <w:t>16 juillet 2014</w:t>
      </w:r>
      <w:r w:rsidRPr="00E96A8B">
        <w:rPr>
          <w:b/>
        </w:rPr>
        <w:t>,</w:t>
      </w:r>
      <w:r w:rsidRPr="00E96A8B">
        <w:t xml:space="preserve"> à 24 heures UTC au plus tard, si votre </w:t>
      </w:r>
      <w:r w:rsidR="00912C8D" w:rsidRPr="00E96A8B">
        <w:t>A</w:t>
      </w:r>
      <w:r w:rsidRPr="00E96A8B">
        <w:t>dministration/organisation approuve ou rejette cette suppression.</w:t>
      </w:r>
    </w:p>
    <w:p w:rsidR="00F36855" w:rsidRPr="00E96A8B" w:rsidRDefault="00F36855" w:rsidP="005A66D5">
      <w:pPr>
        <w:spacing w:before="240"/>
      </w:pPr>
      <w:r w:rsidRPr="00E96A8B">
        <w:t>Au cas où des Etats Membres ou des Membres du Secteur estimeraient que la suppression ne doit pas être acceptée, ils devraient indiquer le motif de leur désaccord et la question serait renvoyée à la Commission d'études.</w:t>
      </w:r>
    </w:p>
    <w:p w:rsidR="00F36855" w:rsidRPr="00E96A8B" w:rsidRDefault="00F36855" w:rsidP="005A66D5">
      <w:pPr>
        <w:keepNext/>
        <w:keepLines/>
        <w:spacing w:before="240"/>
      </w:pPr>
      <w:r w:rsidRPr="00E96A8B">
        <w:t>4</w:t>
      </w:r>
      <w:r w:rsidRPr="00E96A8B">
        <w:tab/>
        <w:t>Aprè</w:t>
      </w:r>
      <w:r w:rsidR="00BB472E" w:rsidRPr="00E96A8B">
        <w:t>s la date limite susmentionnée</w:t>
      </w:r>
      <w:r w:rsidRPr="00E96A8B">
        <w:t>, le Directeur du TSB fera connaître, dans une circulaire, le résultat de la consultation. Cette information sera également publiée dans le Bulletin d'exploitation de l'UIT.</w:t>
      </w:r>
    </w:p>
    <w:p w:rsidR="00F36855" w:rsidRPr="00E96A8B" w:rsidRDefault="00F36855" w:rsidP="005A66D5">
      <w:pPr>
        <w:keepNext/>
        <w:keepLines/>
        <w:spacing w:before="240"/>
      </w:pPr>
      <w:r w:rsidRPr="00E96A8B">
        <w:t>Veuillez agréer, Madame, Monsieur, l'assurance de ma haute considération.</w:t>
      </w:r>
      <w:r w:rsidR="00862BCE">
        <w:br/>
      </w:r>
    </w:p>
    <w:p w:rsidR="00F36855" w:rsidRPr="00E96A8B" w:rsidRDefault="00F36855" w:rsidP="00862BCE">
      <w:pPr>
        <w:keepNext/>
        <w:keepLines/>
        <w:spacing w:before="840"/>
      </w:pPr>
      <w:r w:rsidRPr="00E96A8B">
        <w:t>Malcolm Johnson</w:t>
      </w:r>
      <w:r w:rsidRPr="00E96A8B">
        <w:br/>
        <w:t>Directeur du Bureau de la</w:t>
      </w:r>
      <w:r w:rsidR="002C6D18">
        <w:t xml:space="preserve"> </w:t>
      </w:r>
      <w:r w:rsidR="00862BCE">
        <w:br/>
      </w:r>
      <w:r w:rsidRPr="00E96A8B">
        <w:t>normalisation des télécommunications</w:t>
      </w:r>
    </w:p>
    <w:p w:rsidR="00F36855" w:rsidRPr="00E96A8B" w:rsidRDefault="00F36855" w:rsidP="005A66D5">
      <w:pPr>
        <w:spacing w:before="240"/>
      </w:pPr>
    </w:p>
    <w:p w:rsidR="00F36855" w:rsidRPr="00E96A8B" w:rsidRDefault="00F36855" w:rsidP="005A66D5">
      <w:pPr>
        <w:spacing w:before="240"/>
      </w:pPr>
    </w:p>
    <w:p w:rsidR="00F36855" w:rsidRPr="00E96A8B" w:rsidRDefault="00F36855" w:rsidP="005A66D5">
      <w:pPr>
        <w:spacing w:before="240"/>
      </w:pPr>
    </w:p>
    <w:p w:rsidR="00F36855" w:rsidRPr="00E96A8B" w:rsidRDefault="00F36855" w:rsidP="005A66D5">
      <w:pPr>
        <w:spacing w:before="240"/>
      </w:pPr>
    </w:p>
    <w:p w:rsidR="00F36855" w:rsidRPr="00E96A8B" w:rsidRDefault="00F36855" w:rsidP="005A66D5">
      <w:pPr>
        <w:spacing w:before="240"/>
      </w:pPr>
    </w:p>
    <w:p w:rsidR="00F36855" w:rsidRPr="00E96A8B" w:rsidRDefault="00F36855" w:rsidP="005A66D5">
      <w:pPr>
        <w:spacing w:before="240"/>
      </w:pPr>
    </w:p>
    <w:p w:rsidR="00F36855" w:rsidRPr="00E96A8B" w:rsidRDefault="00F36855" w:rsidP="005A66D5">
      <w:pPr>
        <w:spacing w:before="240"/>
      </w:pPr>
    </w:p>
    <w:p w:rsidR="00F36855" w:rsidRPr="00E96A8B" w:rsidRDefault="00F36855" w:rsidP="005A66D5">
      <w:pPr>
        <w:spacing w:before="240"/>
      </w:pPr>
    </w:p>
    <w:p w:rsidR="00ED6A7A" w:rsidRPr="00E96A8B" w:rsidRDefault="00F36855" w:rsidP="005A66D5">
      <w:pPr>
        <w:spacing w:before="240"/>
        <w:ind w:right="-143"/>
        <w:rPr>
          <w:bCs/>
        </w:rPr>
      </w:pPr>
      <w:r w:rsidRPr="00E96A8B">
        <w:rPr>
          <w:b/>
        </w:rPr>
        <w:t>Annexe</w:t>
      </w:r>
      <w:r w:rsidRPr="00E96A8B">
        <w:rPr>
          <w:bCs/>
        </w:rPr>
        <w:t>:</w:t>
      </w:r>
      <w:r w:rsidRPr="00E96A8B">
        <w:rPr>
          <w:b/>
        </w:rPr>
        <w:t xml:space="preserve"> </w:t>
      </w:r>
      <w:r w:rsidRPr="00E96A8B">
        <w:rPr>
          <w:bCs/>
        </w:rPr>
        <w:t>1</w:t>
      </w:r>
    </w:p>
    <w:p w:rsidR="00B0124C" w:rsidRPr="00E96A8B" w:rsidRDefault="00B0124C" w:rsidP="005A66D5">
      <w:pPr>
        <w:spacing w:before="240"/>
        <w:ind w:right="-143"/>
        <w:rPr>
          <w:bCs/>
        </w:rPr>
      </w:pPr>
      <w:r w:rsidRPr="00E96A8B">
        <w:rPr>
          <w:bCs/>
        </w:rPr>
        <w:br w:type="page"/>
      </w:r>
    </w:p>
    <w:p w:rsidR="00005293" w:rsidRDefault="00B0124C" w:rsidP="00005293">
      <w:pPr>
        <w:pStyle w:val="AnnexNo"/>
        <w:spacing w:before="240"/>
        <w:rPr>
          <w:lang w:val="fr-FR"/>
        </w:rPr>
      </w:pPr>
      <w:r w:rsidRPr="00E96A8B">
        <w:rPr>
          <w:lang w:val="fr-FR"/>
        </w:rPr>
        <w:lastRenderedPageBreak/>
        <w:t>ANNEXE 1</w:t>
      </w:r>
    </w:p>
    <w:p w:rsidR="00B0124C" w:rsidRPr="00E96A8B" w:rsidRDefault="00B0124C" w:rsidP="00005293">
      <w:pPr>
        <w:pStyle w:val="AnnexNo"/>
        <w:spacing w:before="120"/>
        <w:rPr>
          <w:b/>
          <w:sz w:val="24"/>
          <w:szCs w:val="24"/>
          <w:lang w:val="fr-FR"/>
        </w:rPr>
      </w:pPr>
      <w:r w:rsidRPr="00E96A8B">
        <w:rPr>
          <w:caps w:val="0"/>
          <w:sz w:val="24"/>
          <w:szCs w:val="24"/>
          <w:lang w:val="fr-FR"/>
        </w:rPr>
        <w:t>(</w:t>
      </w:r>
      <w:proofErr w:type="gramStart"/>
      <w:r w:rsidRPr="00E96A8B">
        <w:rPr>
          <w:caps w:val="0"/>
          <w:sz w:val="24"/>
          <w:szCs w:val="24"/>
          <w:lang w:val="fr-FR"/>
        </w:rPr>
        <w:t>de</w:t>
      </w:r>
      <w:proofErr w:type="gramEnd"/>
      <w:r w:rsidRPr="00E96A8B">
        <w:rPr>
          <w:caps w:val="0"/>
          <w:sz w:val="24"/>
          <w:szCs w:val="24"/>
          <w:lang w:val="fr-FR"/>
        </w:rPr>
        <w:t xml:space="preserve"> la </w:t>
      </w:r>
      <w:r w:rsidR="00005293">
        <w:rPr>
          <w:caps w:val="0"/>
          <w:sz w:val="24"/>
          <w:szCs w:val="24"/>
          <w:lang w:val="fr-FR"/>
        </w:rPr>
        <w:t>C</w:t>
      </w:r>
      <w:r w:rsidRPr="00E96A8B">
        <w:rPr>
          <w:caps w:val="0"/>
          <w:sz w:val="24"/>
          <w:szCs w:val="24"/>
          <w:lang w:val="fr-FR"/>
        </w:rPr>
        <w:t xml:space="preserve">irculaire </w:t>
      </w:r>
      <w:r w:rsidR="001D719D" w:rsidRPr="00E96A8B">
        <w:rPr>
          <w:caps w:val="0"/>
          <w:sz w:val="24"/>
          <w:szCs w:val="24"/>
          <w:lang w:val="fr-FR"/>
        </w:rPr>
        <w:t>TSB</w:t>
      </w:r>
      <w:r w:rsidRPr="00E96A8B">
        <w:rPr>
          <w:caps w:val="0"/>
          <w:sz w:val="24"/>
          <w:szCs w:val="24"/>
          <w:lang w:val="fr-FR"/>
        </w:rPr>
        <w:t xml:space="preserve"> </w:t>
      </w:r>
      <w:r w:rsidR="00BB472E" w:rsidRPr="00E96A8B">
        <w:rPr>
          <w:caps w:val="0"/>
          <w:sz w:val="24"/>
          <w:szCs w:val="24"/>
          <w:lang w:val="fr-FR"/>
        </w:rPr>
        <w:t>98</w:t>
      </w:r>
      <w:r w:rsidRPr="00E96A8B">
        <w:rPr>
          <w:caps w:val="0"/>
          <w:sz w:val="24"/>
          <w:szCs w:val="24"/>
          <w:lang w:val="fr-FR"/>
        </w:rPr>
        <w:t>)</w:t>
      </w:r>
    </w:p>
    <w:p w:rsidR="00B0124C" w:rsidRPr="00005293" w:rsidRDefault="00B0124C" w:rsidP="00005293">
      <w:pPr>
        <w:pStyle w:val="AnnexTitle"/>
        <w:rPr>
          <w:sz w:val="28"/>
          <w:szCs w:val="28"/>
        </w:rPr>
      </w:pPr>
      <w:r w:rsidRPr="00005293">
        <w:rPr>
          <w:sz w:val="28"/>
          <w:szCs w:val="28"/>
        </w:rPr>
        <w:t>Proposition de suppression de</w:t>
      </w:r>
      <w:r w:rsidR="00BB472E" w:rsidRPr="00005293">
        <w:rPr>
          <w:sz w:val="28"/>
          <w:szCs w:val="28"/>
        </w:rPr>
        <w:t>s</w:t>
      </w:r>
      <w:r w:rsidRPr="00005293">
        <w:rPr>
          <w:sz w:val="28"/>
          <w:szCs w:val="28"/>
        </w:rPr>
        <w:t xml:space="preserve"> Recommandation</w:t>
      </w:r>
      <w:r w:rsidR="00BB472E" w:rsidRPr="00005293">
        <w:rPr>
          <w:sz w:val="28"/>
          <w:szCs w:val="28"/>
        </w:rPr>
        <w:t>s</w:t>
      </w:r>
      <w:r w:rsidRPr="00005293">
        <w:rPr>
          <w:sz w:val="28"/>
          <w:szCs w:val="28"/>
        </w:rPr>
        <w:t xml:space="preserve"> UIT-T </w:t>
      </w:r>
      <w:r w:rsidR="00BB472E" w:rsidRPr="00005293">
        <w:rPr>
          <w:sz w:val="28"/>
          <w:szCs w:val="28"/>
        </w:rPr>
        <w:t>G.9955 et G.9956</w:t>
      </w:r>
      <w:r w:rsidRPr="00005293">
        <w:rPr>
          <w:sz w:val="28"/>
          <w:szCs w:val="28"/>
        </w:rPr>
        <w:t xml:space="preserve"> </w:t>
      </w:r>
    </w:p>
    <w:p w:rsidR="00BB472E" w:rsidRPr="00E96A8B" w:rsidRDefault="00C90423" w:rsidP="00674F49">
      <w:pPr>
        <w:spacing w:before="480"/>
      </w:pPr>
      <w:r w:rsidRPr="00E96A8B">
        <w:t xml:space="preserve">La </w:t>
      </w:r>
      <w:r w:rsidR="00BB472E" w:rsidRPr="00E96A8B">
        <w:rPr>
          <w:b/>
          <w:bCs/>
        </w:rPr>
        <w:t>Recommandation UIT-T G.9955</w:t>
      </w:r>
      <w:r w:rsidR="00BB472E" w:rsidRPr="00E96A8B">
        <w:rPr>
          <w:i/>
          <w:iCs/>
        </w:rPr>
        <w:t xml:space="preserve">, </w:t>
      </w:r>
      <w:r w:rsidRPr="00E96A8B">
        <w:rPr>
          <w:i/>
          <w:iCs/>
        </w:rPr>
        <w:t xml:space="preserve">Emetteurs-récepteurs OFDM à bande étroite utilisant les courants porteurs en ligne </w:t>
      </w:r>
      <w:r w:rsidR="00674F49" w:rsidRPr="00674F49">
        <w:rPr>
          <w:i/>
          <w:iCs/>
        </w:rPr>
        <w:t>–</w:t>
      </w:r>
      <w:r w:rsidRPr="00E96A8B">
        <w:rPr>
          <w:i/>
          <w:iCs/>
        </w:rPr>
        <w:t xml:space="preserve"> Spécification de la couche physique</w:t>
      </w:r>
      <w:r w:rsidR="002E17CC" w:rsidRPr="00E96A8B">
        <w:t xml:space="preserve">, spécifie la couche physique des émetteurs-récepteurs de courants porteurs en ligne OFDM à bande étroite en vue d'assurer des communications sur des lignes électriques en courant alternatif ou en courant continu à des fréquences inférieures à 500 kHz. Elle a pour objet de pouvoir assurer des communications en intérieur ou en extérieur sur des lignes basse tension ou sur des lignes moyenne tension, passant par des transformateurs basse tension-moyenne tension ou par des transformateurs moyenne tension-basse tension, aussi bien en zone urbaine qu'en zone rurale sur de longues distances. Cette Recommandation traite des applications de comptage via le réseau électrique, d'une infrastructure de comptage évoluée (AMI, </w:t>
      </w:r>
      <w:proofErr w:type="spellStart"/>
      <w:r w:rsidR="002E17CC" w:rsidRPr="00E96A8B">
        <w:rPr>
          <w:i/>
          <w:iCs/>
        </w:rPr>
        <w:t>advanced</w:t>
      </w:r>
      <w:proofErr w:type="spellEnd"/>
      <w:r w:rsidR="002E17CC" w:rsidRPr="00E96A8B">
        <w:rPr>
          <w:i/>
          <w:iCs/>
        </w:rPr>
        <w:t xml:space="preserve"> </w:t>
      </w:r>
      <w:proofErr w:type="spellStart"/>
      <w:r w:rsidR="002E17CC" w:rsidRPr="00E96A8B">
        <w:rPr>
          <w:i/>
          <w:iCs/>
        </w:rPr>
        <w:t>metering</w:t>
      </w:r>
      <w:proofErr w:type="spellEnd"/>
      <w:r w:rsidR="002E17CC" w:rsidRPr="00E96A8B">
        <w:rPr>
          <w:i/>
          <w:iCs/>
        </w:rPr>
        <w:t xml:space="preserve"> infrastructure</w:t>
      </w:r>
      <w:r w:rsidR="002E17CC" w:rsidRPr="00E96A8B">
        <w:t xml:space="preserve">), et d'autres applications de réseau électrique intelligent comme le rechargement des véhicules électriques, la domotique, et des scénarios de communication dans les réseaux domestiques (HAN, </w:t>
      </w:r>
      <w:r w:rsidR="002E17CC" w:rsidRPr="00E96A8B">
        <w:rPr>
          <w:i/>
          <w:iCs/>
        </w:rPr>
        <w:t>home area networking</w:t>
      </w:r>
      <w:r w:rsidR="002E17CC" w:rsidRPr="00E96A8B">
        <w:t>).</w:t>
      </w:r>
    </w:p>
    <w:p w:rsidR="00BB472E" w:rsidRPr="00E96A8B" w:rsidRDefault="006324EF" w:rsidP="005A66D5">
      <w:pPr>
        <w:spacing w:before="240"/>
      </w:pPr>
      <w:r w:rsidRPr="00E96A8B">
        <w:t xml:space="preserve">La </w:t>
      </w:r>
      <w:r w:rsidRPr="00E96A8B">
        <w:rPr>
          <w:b/>
          <w:bCs/>
        </w:rPr>
        <w:t>Recommandation UIT-T G.9956</w:t>
      </w:r>
      <w:r w:rsidRPr="00E96A8B">
        <w:rPr>
          <w:i/>
          <w:iCs/>
        </w:rPr>
        <w:t xml:space="preserve">, Emetteurs-récepteurs OFDM à bande étroite utilisant les courants porteurs en ligne </w:t>
      </w:r>
      <w:r w:rsidR="00674F49" w:rsidRPr="00674F49">
        <w:rPr>
          <w:i/>
          <w:iCs/>
        </w:rPr>
        <w:t>–</w:t>
      </w:r>
      <w:r w:rsidRPr="00E96A8B">
        <w:rPr>
          <w:i/>
          <w:iCs/>
        </w:rPr>
        <w:t xml:space="preserve"> Spécification de la couche liaison de données</w:t>
      </w:r>
      <w:r w:rsidRPr="00E96A8B">
        <w:t xml:space="preserve">, spécifie la couche liaison de données des émetteurs-récepteurs de courants porteurs en ligne OFDM à bande étroite en vue d'assurer des communications sur des lignes électriques en courant alternatif ou en courant continu à des fréquences inférieures à 500 kHz. Elle a pour objet de pouvoir assurer des communications en intérieur ou en extérieur sur des lignes basse tension ou sur des lignes moyenne tension, passant par des transformateurs basse tension-moyenne tension ou par des transformateurs moyenne tension-basse tension, aussi bien en zone urbaine qu'en zone rurale sur de longues distances. Cette Recommandation traite des applications de comptage via le réseau électrique, d'une infrastructure de comptage évoluée (AMI, </w:t>
      </w:r>
      <w:proofErr w:type="spellStart"/>
      <w:r w:rsidRPr="00E96A8B">
        <w:rPr>
          <w:i/>
          <w:iCs/>
        </w:rPr>
        <w:t>advanced</w:t>
      </w:r>
      <w:proofErr w:type="spellEnd"/>
      <w:r w:rsidRPr="00E96A8B">
        <w:rPr>
          <w:i/>
          <w:iCs/>
        </w:rPr>
        <w:t xml:space="preserve"> </w:t>
      </w:r>
      <w:proofErr w:type="spellStart"/>
      <w:r w:rsidRPr="00E96A8B">
        <w:rPr>
          <w:i/>
          <w:iCs/>
        </w:rPr>
        <w:t>metering</w:t>
      </w:r>
      <w:proofErr w:type="spellEnd"/>
      <w:r w:rsidRPr="00E96A8B">
        <w:rPr>
          <w:i/>
          <w:iCs/>
        </w:rPr>
        <w:t xml:space="preserve"> infrastructure</w:t>
      </w:r>
      <w:r w:rsidRPr="00E96A8B">
        <w:t xml:space="preserve">), et d'autres applications de réseau électrique intelligent comme le rechargement des véhicules électriques, la domotique, et des scénarios de communication dans les réseaux domestiques (HAN, </w:t>
      </w:r>
      <w:r w:rsidRPr="00E96A8B">
        <w:rPr>
          <w:i/>
          <w:iCs/>
        </w:rPr>
        <w:t>home area networking</w:t>
      </w:r>
      <w:r w:rsidRPr="00E96A8B">
        <w:t>).</w:t>
      </w:r>
    </w:p>
    <w:p w:rsidR="0098026D" w:rsidRPr="00E96A8B" w:rsidRDefault="0098026D" w:rsidP="00674F49">
      <w:pPr>
        <w:pStyle w:val="headingb"/>
      </w:pPr>
      <w:r w:rsidRPr="00E96A8B">
        <w:t>Motifs de suppression des Recommandations UIT-T G.9955 et UIT-T G.9956</w:t>
      </w:r>
    </w:p>
    <w:p w:rsidR="00B07BB6" w:rsidRPr="00E96A8B" w:rsidRDefault="00B07BB6" w:rsidP="00674F49">
      <w:r w:rsidRPr="00E96A8B">
        <w:t xml:space="preserve">Les Recommandations susmentionnées sont maintenant considérées comme </w:t>
      </w:r>
      <w:r w:rsidR="00912C8D" w:rsidRPr="00E96A8B">
        <w:t xml:space="preserve">étant </w:t>
      </w:r>
      <w:r w:rsidRPr="00E96A8B">
        <w:t>obsolètes</w:t>
      </w:r>
      <w:r w:rsidR="00912C8D" w:rsidRPr="00E96A8B">
        <w:t>,</w:t>
      </w:r>
      <w:r w:rsidR="00674F49">
        <w:t> </w:t>
      </w:r>
      <w:r w:rsidRPr="00E96A8B">
        <w:t xml:space="preserve">dans la mesure où </w:t>
      </w:r>
      <w:r w:rsidR="006D411F" w:rsidRPr="00E96A8B">
        <w:t>leur contenu a été réorganisé et inséré</w:t>
      </w:r>
      <w:r w:rsidR="00CF2081">
        <w:t xml:space="preserve"> dans les Recommandations UIT</w:t>
      </w:r>
      <w:r w:rsidR="00CF2081">
        <w:noBreakHyphen/>
        <w:t>T </w:t>
      </w:r>
      <w:r w:rsidR="006D411F" w:rsidRPr="00E96A8B">
        <w:t xml:space="preserve">G.9901 </w:t>
      </w:r>
      <w:r w:rsidR="00186D43" w:rsidRPr="00E96A8B">
        <w:t>à UIT-T</w:t>
      </w:r>
      <w:r w:rsidR="006D411F" w:rsidRPr="00E96A8B">
        <w:t xml:space="preserve"> G.9904, qui sont techniquement équivalentes.</w:t>
      </w:r>
    </w:p>
    <w:p w:rsidR="00B0124C" w:rsidRPr="00E96A8B" w:rsidRDefault="00B0124C" w:rsidP="001D46A0"/>
    <w:p w:rsidR="001D46A0" w:rsidRPr="00E96A8B" w:rsidRDefault="001D46A0" w:rsidP="0032202E">
      <w:pPr>
        <w:pStyle w:val="Reasons"/>
        <w:rPr>
          <w:lang w:val="fr-FR"/>
        </w:rPr>
      </w:pPr>
    </w:p>
    <w:p w:rsidR="001D46A0" w:rsidRPr="00E96A8B" w:rsidRDefault="001D46A0">
      <w:pPr>
        <w:jc w:val="center"/>
      </w:pPr>
      <w:r w:rsidRPr="00E96A8B">
        <w:t>______________</w:t>
      </w:r>
    </w:p>
    <w:sectPr w:rsidR="001D46A0" w:rsidRPr="00E96A8B" w:rsidSect="00B07BB6">
      <w:headerReference w:type="default" r:id="rId11"/>
      <w:footerReference w:type="default" r:id="rId12"/>
      <w:footerReference w:type="first" r:id="rId13"/>
      <w:type w:val="oddPage"/>
      <w:pgSz w:w="11907" w:h="16727" w:code="9"/>
      <w:pgMar w:top="1440" w:right="1440" w:bottom="1440" w:left="1440"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30" w:rsidRDefault="00763D30">
      <w:r>
        <w:separator/>
      </w:r>
    </w:p>
  </w:endnote>
  <w:endnote w:type="continuationSeparator" w:id="0">
    <w:p w:rsidR="00763D30" w:rsidRDefault="0076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4C" w:rsidRPr="00600EE0" w:rsidRDefault="00600EE0" w:rsidP="00600EE0">
    <w:pPr>
      <w:pStyle w:val="Footer"/>
      <w:rPr>
        <w:lang w:val="fr-CH"/>
      </w:rPr>
    </w:pPr>
    <w:r w:rsidRPr="00732400">
      <w:rPr>
        <w:lang w:val="fr-CH"/>
      </w:rPr>
      <w:t>I</w:t>
    </w:r>
    <w:r>
      <w:rPr>
        <w:lang w:val="fr-CH"/>
      </w:rPr>
      <w:t>TU-T\BUREAU\CIRC\</w:t>
    </w:r>
    <w:r w:rsidRPr="00732400">
      <w:rPr>
        <w:lang w:val="fr-CH"/>
      </w:rPr>
      <w:t>098</w:t>
    </w:r>
    <w:r>
      <w:rPr>
        <w:lang w:val="fr-CH"/>
      </w:rPr>
      <w:t>F</w:t>
    </w:r>
    <w:r w:rsidRPr="0073240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7" w:type="pct"/>
      <w:tblCellMar>
        <w:left w:w="107" w:type="dxa"/>
        <w:right w:w="107" w:type="dxa"/>
      </w:tblCellMar>
      <w:tblLook w:val="0000" w:firstRow="0" w:lastRow="0" w:firstColumn="0" w:lastColumn="0" w:noHBand="0" w:noVBand="0"/>
    </w:tblPr>
    <w:tblGrid>
      <w:gridCol w:w="1963"/>
      <w:gridCol w:w="2928"/>
      <w:gridCol w:w="2445"/>
      <w:gridCol w:w="2269"/>
    </w:tblGrid>
    <w:tr w:rsidR="00674F49" w:rsidRPr="00862BCE" w:rsidTr="00674F49">
      <w:trPr>
        <w:cantSplit/>
      </w:trPr>
      <w:tc>
        <w:tcPr>
          <w:tcW w:w="1022" w:type="pct"/>
          <w:tcBorders>
            <w:top w:val="single" w:sz="6" w:space="0" w:color="auto"/>
          </w:tcBorders>
          <w:tcMar>
            <w:top w:w="57" w:type="dxa"/>
          </w:tcMar>
        </w:tcPr>
        <w:p w:rsidR="00674F49" w:rsidRDefault="00674F49">
          <w:pPr>
            <w:pStyle w:val="itu"/>
          </w:pPr>
          <w:r>
            <w:t>Place des Nations</w:t>
          </w:r>
        </w:p>
      </w:tc>
      <w:tc>
        <w:tcPr>
          <w:tcW w:w="1524" w:type="pct"/>
          <w:tcBorders>
            <w:top w:val="single" w:sz="6" w:space="0" w:color="auto"/>
          </w:tcBorders>
          <w:tcMar>
            <w:top w:w="57" w:type="dxa"/>
          </w:tcMar>
        </w:tcPr>
        <w:p w:rsidR="00674F49" w:rsidRDefault="00674F49">
          <w:pPr>
            <w:pStyle w:val="itu"/>
          </w:pPr>
          <w:proofErr w:type="spellStart"/>
          <w:r>
            <w:t>Téléphone</w:t>
          </w:r>
          <w:proofErr w:type="spellEnd"/>
          <w:r>
            <w:t xml:space="preserve"> </w:t>
          </w:r>
          <w:r>
            <w:tab/>
            <w:t>+41 22 730 51 11</w:t>
          </w:r>
        </w:p>
      </w:tc>
      <w:tc>
        <w:tcPr>
          <w:tcW w:w="1273" w:type="pct"/>
          <w:tcBorders>
            <w:top w:val="single" w:sz="6" w:space="0" w:color="auto"/>
          </w:tcBorders>
          <w:tcMar>
            <w:top w:w="57" w:type="dxa"/>
          </w:tcMar>
        </w:tcPr>
        <w:p w:rsidR="00674F49" w:rsidRDefault="00674F4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81" w:type="pct"/>
          <w:tcBorders>
            <w:top w:val="single" w:sz="6" w:space="0" w:color="auto"/>
          </w:tcBorders>
          <w:tcMar>
            <w:top w:w="57" w:type="dxa"/>
          </w:tcMar>
        </w:tcPr>
        <w:p w:rsidR="00674F49" w:rsidRDefault="00674F49">
          <w:pPr>
            <w:pStyle w:val="itu"/>
          </w:pPr>
          <w:r>
            <w:t>E-mail:</w:t>
          </w:r>
          <w:r>
            <w:tab/>
            <w:t>itumail@itu.int</w:t>
          </w:r>
        </w:p>
      </w:tc>
    </w:tr>
    <w:tr w:rsidR="00674F49" w:rsidTr="00674F49">
      <w:trPr>
        <w:cantSplit/>
      </w:trPr>
      <w:tc>
        <w:tcPr>
          <w:tcW w:w="1022" w:type="pct"/>
        </w:tcPr>
        <w:p w:rsidR="00674F49" w:rsidRDefault="00674F49">
          <w:pPr>
            <w:pStyle w:val="itu"/>
          </w:pPr>
          <w:r>
            <w:t>CH-1211 Genève 20</w:t>
          </w:r>
        </w:p>
      </w:tc>
      <w:tc>
        <w:tcPr>
          <w:tcW w:w="1524" w:type="pct"/>
        </w:tcPr>
        <w:p w:rsidR="00674F49" w:rsidRDefault="00674F49">
          <w:pPr>
            <w:pStyle w:val="itu"/>
          </w:pPr>
          <w:proofErr w:type="spellStart"/>
          <w:r>
            <w:t>Téléfax</w:t>
          </w:r>
          <w:proofErr w:type="spellEnd"/>
          <w:r>
            <w:tab/>
            <w:t>Gr3:</w:t>
          </w:r>
          <w:r>
            <w:tab/>
            <w:t>+41 22 733 72 56</w:t>
          </w:r>
        </w:p>
      </w:tc>
      <w:tc>
        <w:tcPr>
          <w:tcW w:w="1273" w:type="pct"/>
        </w:tcPr>
        <w:p w:rsidR="00674F49" w:rsidRDefault="00674F49">
          <w:pPr>
            <w:pStyle w:val="itu"/>
          </w:pPr>
          <w:proofErr w:type="spellStart"/>
          <w:r>
            <w:t>Télégramme</w:t>
          </w:r>
          <w:proofErr w:type="spellEnd"/>
          <w:r>
            <w:t xml:space="preserve"> ITU GENEVE</w:t>
          </w:r>
        </w:p>
      </w:tc>
      <w:tc>
        <w:tcPr>
          <w:tcW w:w="1181" w:type="pct"/>
        </w:tcPr>
        <w:p w:rsidR="00674F49" w:rsidRDefault="00674F49">
          <w:pPr>
            <w:pStyle w:val="itu"/>
          </w:pPr>
          <w:r>
            <w:tab/>
            <w:t>www.itu.int</w:t>
          </w:r>
        </w:p>
      </w:tc>
    </w:tr>
    <w:tr w:rsidR="00674F49" w:rsidTr="00674F49">
      <w:trPr>
        <w:cantSplit/>
      </w:trPr>
      <w:tc>
        <w:tcPr>
          <w:tcW w:w="1022" w:type="pct"/>
        </w:tcPr>
        <w:p w:rsidR="00674F49" w:rsidRDefault="00674F49">
          <w:pPr>
            <w:pStyle w:val="itu"/>
          </w:pPr>
          <w:r>
            <w:t>Suisse</w:t>
          </w:r>
        </w:p>
      </w:tc>
      <w:tc>
        <w:tcPr>
          <w:tcW w:w="1524" w:type="pct"/>
        </w:tcPr>
        <w:p w:rsidR="00674F49" w:rsidRDefault="00674F49">
          <w:pPr>
            <w:pStyle w:val="itu"/>
          </w:pPr>
          <w:r>
            <w:tab/>
            <w:t>Gr4:</w:t>
          </w:r>
          <w:r>
            <w:tab/>
            <w:t>+41 22 730 65 00</w:t>
          </w:r>
        </w:p>
      </w:tc>
      <w:tc>
        <w:tcPr>
          <w:tcW w:w="1273" w:type="pct"/>
        </w:tcPr>
        <w:p w:rsidR="00674F49" w:rsidRDefault="00674F49">
          <w:pPr>
            <w:pStyle w:val="itu"/>
          </w:pPr>
        </w:p>
      </w:tc>
      <w:tc>
        <w:tcPr>
          <w:tcW w:w="1181" w:type="pct"/>
        </w:tcPr>
        <w:p w:rsidR="00674F49" w:rsidRDefault="00674F49">
          <w:pPr>
            <w:pStyle w:val="itu"/>
          </w:pPr>
        </w:p>
      </w:tc>
    </w:tr>
  </w:tbl>
  <w:p w:rsidR="00B0124C" w:rsidRPr="00674F49" w:rsidRDefault="00B0124C" w:rsidP="00674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30" w:rsidRDefault="00763D30">
      <w:r>
        <w:t>____________________</w:t>
      </w:r>
    </w:p>
  </w:footnote>
  <w:footnote w:type="continuationSeparator" w:id="0">
    <w:p w:rsidR="00763D30" w:rsidRDefault="0076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066176"/>
      <w:docPartObj>
        <w:docPartGallery w:val="Page Numbers (Top of Page)"/>
        <w:docPartUnique/>
      </w:docPartObj>
    </w:sdtPr>
    <w:sdtEndPr>
      <w:rPr>
        <w:noProof/>
        <w:sz w:val="18"/>
        <w:szCs w:val="18"/>
      </w:rPr>
    </w:sdtEndPr>
    <w:sdtContent>
      <w:p w:rsidR="00B0124C" w:rsidRPr="00912C8D" w:rsidRDefault="00B0124C" w:rsidP="00912C8D">
        <w:pPr>
          <w:pStyle w:val="Header"/>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876E33">
          <w:rPr>
            <w:noProof/>
            <w:sz w:val="18"/>
            <w:szCs w:val="18"/>
          </w:rPr>
          <w:t>3</w:t>
        </w:r>
        <w:r w:rsidRPr="006427A1">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55"/>
    <w:rsid w:val="000039EE"/>
    <w:rsid w:val="00005293"/>
    <w:rsid w:val="00005622"/>
    <w:rsid w:val="0002519E"/>
    <w:rsid w:val="00035B43"/>
    <w:rsid w:val="000758B3"/>
    <w:rsid w:val="000B0D96"/>
    <w:rsid w:val="000B59D8"/>
    <w:rsid w:val="000C56BE"/>
    <w:rsid w:val="000F7121"/>
    <w:rsid w:val="001026FD"/>
    <w:rsid w:val="00115DD7"/>
    <w:rsid w:val="00167472"/>
    <w:rsid w:val="00167F92"/>
    <w:rsid w:val="00173738"/>
    <w:rsid w:val="00186D43"/>
    <w:rsid w:val="001B79A3"/>
    <w:rsid w:val="001D46A0"/>
    <w:rsid w:val="001D719D"/>
    <w:rsid w:val="002152A3"/>
    <w:rsid w:val="002627A3"/>
    <w:rsid w:val="002C6D18"/>
    <w:rsid w:val="002E17CC"/>
    <w:rsid w:val="002F18A2"/>
    <w:rsid w:val="00333A80"/>
    <w:rsid w:val="00364E95"/>
    <w:rsid w:val="00372875"/>
    <w:rsid w:val="003B1E80"/>
    <w:rsid w:val="003B66E8"/>
    <w:rsid w:val="004033F1"/>
    <w:rsid w:val="00414B0C"/>
    <w:rsid w:val="004257AC"/>
    <w:rsid w:val="0043711B"/>
    <w:rsid w:val="00493E1E"/>
    <w:rsid w:val="004B732E"/>
    <w:rsid w:val="004D51F4"/>
    <w:rsid w:val="004D64E0"/>
    <w:rsid w:val="0051210D"/>
    <w:rsid w:val="005136D2"/>
    <w:rsid w:val="00517A03"/>
    <w:rsid w:val="005A1072"/>
    <w:rsid w:val="005A3DD9"/>
    <w:rsid w:val="005A66D5"/>
    <w:rsid w:val="005B1DFC"/>
    <w:rsid w:val="00600EE0"/>
    <w:rsid w:val="00601682"/>
    <w:rsid w:val="006324EF"/>
    <w:rsid w:val="006333F7"/>
    <w:rsid w:val="00644741"/>
    <w:rsid w:val="00674F49"/>
    <w:rsid w:val="006A2010"/>
    <w:rsid w:val="006A6FFE"/>
    <w:rsid w:val="006C5A91"/>
    <w:rsid w:val="006D411F"/>
    <w:rsid w:val="00706DB3"/>
    <w:rsid w:val="00716BBC"/>
    <w:rsid w:val="007321BC"/>
    <w:rsid w:val="007474B5"/>
    <w:rsid w:val="00760063"/>
    <w:rsid w:val="00763D30"/>
    <w:rsid w:val="00775E4B"/>
    <w:rsid w:val="0079553B"/>
    <w:rsid w:val="007A40FE"/>
    <w:rsid w:val="00810105"/>
    <w:rsid w:val="008157E0"/>
    <w:rsid w:val="00854E1D"/>
    <w:rsid w:val="00862BCE"/>
    <w:rsid w:val="00863AF2"/>
    <w:rsid w:val="00876E33"/>
    <w:rsid w:val="00887FA6"/>
    <w:rsid w:val="008C4397"/>
    <w:rsid w:val="008C465A"/>
    <w:rsid w:val="008F2C9B"/>
    <w:rsid w:val="00912C8D"/>
    <w:rsid w:val="00923CD6"/>
    <w:rsid w:val="00935AA8"/>
    <w:rsid w:val="00971C9A"/>
    <w:rsid w:val="0098026D"/>
    <w:rsid w:val="009D51FA"/>
    <w:rsid w:val="009F1E23"/>
    <w:rsid w:val="00A51537"/>
    <w:rsid w:val="00A5280F"/>
    <w:rsid w:val="00A56027"/>
    <w:rsid w:val="00A60FC1"/>
    <w:rsid w:val="00A97C37"/>
    <w:rsid w:val="00AC37B5"/>
    <w:rsid w:val="00AD543F"/>
    <w:rsid w:val="00AD752F"/>
    <w:rsid w:val="00B0124C"/>
    <w:rsid w:val="00B07BB6"/>
    <w:rsid w:val="00B24C3A"/>
    <w:rsid w:val="00B27B41"/>
    <w:rsid w:val="00B8573E"/>
    <w:rsid w:val="00BB24C0"/>
    <w:rsid w:val="00BB472E"/>
    <w:rsid w:val="00C26F2E"/>
    <w:rsid w:val="00C45376"/>
    <w:rsid w:val="00C86F36"/>
    <w:rsid w:val="00C9028F"/>
    <w:rsid w:val="00C90423"/>
    <w:rsid w:val="00CA0416"/>
    <w:rsid w:val="00CB1125"/>
    <w:rsid w:val="00CD042E"/>
    <w:rsid w:val="00CF2081"/>
    <w:rsid w:val="00CF2560"/>
    <w:rsid w:val="00CF5B46"/>
    <w:rsid w:val="00D46B68"/>
    <w:rsid w:val="00D542A5"/>
    <w:rsid w:val="00DA5AF8"/>
    <w:rsid w:val="00DC3D47"/>
    <w:rsid w:val="00DD77DA"/>
    <w:rsid w:val="00E06C61"/>
    <w:rsid w:val="00E13DB3"/>
    <w:rsid w:val="00E2408B"/>
    <w:rsid w:val="00E240CC"/>
    <w:rsid w:val="00E51B88"/>
    <w:rsid w:val="00E72AE1"/>
    <w:rsid w:val="00E74779"/>
    <w:rsid w:val="00E96A8B"/>
    <w:rsid w:val="00ED6A7A"/>
    <w:rsid w:val="00F346CE"/>
    <w:rsid w:val="00F34F98"/>
    <w:rsid w:val="00F36855"/>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
    <w:name w:val="Annex_No"/>
    <w:basedOn w:val="Normal"/>
    <w:next w:val="Normal"/>
    <w:rsid w:val="00B0124C"/>
    <w:pPr>
      <w:keepNext/>
      <w:keepLines/>
      <w:spacing w:before="480" w:after="80"/>
      <w:jc w:val="center"/>
    </w:pPr>
    <w:rPr>
      <w:caps/>
      <w:sz w:val="28"/>
      <w:lang w:val="en-GB"/>
    </w:rPr>
  </w:style>
  <w:style w:type="paragraph" w:customStyle="1" w:styleId="Reasons">
    <w:name w:val="Reasons"/>
    <w:basedOn w:val="Normal"/>
    <w:qFormat/>
    <w:rsid w:val="00B0124C"/>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862BCE"/>
    <w:pPr>
      <w:spacing w:before="0"/>
    </w:pPr>
    <w:rPr>
      <w:rFonts w:ascii="Tahoma" w:hAnsi="Tahoma" w:cs="Tahoma"/>
      <w:sz w:val="16"/>
      <w:szCs w:val="16"/>
    </w:rPr>
  </w:style>
  <w:style w:type="character" w:customStyle="1" w:styleId="BalloonTextChar">
    <w:name w:val="Balloon Text Char"/>
    <w:basedOn w:val="DefaultParagraphFont"/>
    <w:link w:val="BalloonText"/>
    <w:rsid w:val="00862BCE"/>
    <w:rPr>
      <w:rFonts w:ascii="Tahoma" w:hAnsi="Tahoma" w:cs="Tahoma"/>
      <w:sz w:val="16"/>
      <w:szCs w:val="16"/>
      <w:lang w:val="fr-FR" w:eastAsia="en-US"/>
    </w:rPr>
  </w:style>
  <w:style w:type="character" w:styleId="FollowedHyperlink">
    <w:name w:val="FollowedHyperlink"/>
    <w:basedOn w:val="DefaultParagraphFont"/>
    <w:rsid w:val="00876E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
    <w:name w:val="Annex_No"/>
    <w:basedOn w:val="Normal"/>
    <w:next w:val="Normal"/>
    <w:rsid w:val="00B0124C"/>
    <w:pPr>
      <w:keepNext/>
      <w:keepLines/>
      <w:spacing w:before="480" w:after="80"/>
      <w:jc w:val="center"/>
    </w:pPr>
    <w:rPr>
      <w:caps/>
      <w:sz w:val="28"/>
      <w:lang w:val="en-GB"/>
    </w:rPr>
  </w:style>
  <w:style w:type="paragraph" w:customStyle="1" w:styleId="Reasons">
    <w:name w:val="Reasons"/>
    <w:basedOn w:val="Normal"/>
    <w:qFormat/>
    <w:rsid w:val="00B0124C"/>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862BCE"/>
    <w:pPr>
      <w:spacing w:before="0"/>
    </w:pPr>
    <w:rPr>
      <w:rFonts w:ascii="Tahoma" w:hAnsi="Tahoma" w:cs="Tahoma"/>
      <w:sz w:val="16"/>
      <w:szCs w:val="16"/>
    </w:rPr>
  </w:style>
  <w:style w:type="character" w:customStyle="1" w:styleId="BalloonTextChar">
    <w:name w:val="Balloon Text Char"/>
    <w:basedOn w:val="DefaultParagraphFont"/>
    <w:link w:val="BalloonText"/>
    <w:rsid w:val="00862BCE"/>
    <w:rPr>
      <w:rFonts w:ascii="Tahoma" w:hAnsi="Tahoma" w:cs="Tahoma"/>
      <w:sz w:val="16"/>
      <w:szCs w:val="16"/>
      <w:lang w:val="fr-FR" w:eastAsia="en-US"/>
    </w:rPr>
  </w:style>
  <w:style w:type="character" w:styleId="FollowedHyperlink">
    <w:name w:val="FollowedHyperlink"/>
    <w:basedOn w:val="DefaultParagraphFont"/>
    <w:rsid w:val="00876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5@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2_REC_A8-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79CD-E44E-473C-BF47-B778B40D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PF_TSBCIRC2_REC_A8-F.dotm</Template>
  <TotalTime>1</TotalTime>
  <Pages>3</Pages>
  <Words>798</Words>
  <Characters>4553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5341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Bettini, Nadine</cp:lastModifiedBy>
  <cp:revision>2</cp:revision>
  <cp:lastPrinted>2014-04-25T12:20:00Z</cp:lastPrinted>
  <dcterms:created xsi:type="dcterms:W3CDTF">2014-04-28T14:12:00Z</dcterms:created>
  <dcterms:modified xsi:type="dcterms:W3CDTF">2014-04-28T14:12:00Z</dcterms:modified>
</cp:coreProperties>
</file>