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6D4AF6" w:rsidRDefault="00D27786" w:rsidP="00F15390">
      <w:pPr>
        <w:spacing w:before="0"/>
      </w:pPr>
      <w:bookmarkStart w:id="0" w:name="_GoBack"/>
      <w:bookmarkEnd w:id="0"/>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CC14AD" w:rsidRPr="006D4AF6" w:rsidTr="009105A0">
        <w:trPr>
          <w:cantSplit/>
        </w:trPr>
        <w:tc>
          <w:tcPr>
            <w:tcW w:w="3828" w:type="dxa"/>
            <w:vAlign w:val="center"/>
          </w:tcPr>
          <w:p w:rsidR="00CC14AD" w:rsidRPr="004E0991" w:rsidRDefault="00CC14AD" w:rsidP="009105A0">
            <w:pPr>
              <w:tabs>
                <w:tab w:val="right" w:pos="8732"/>
              </w:tabs>
              <w:spacing w:before="0"/>
              <w:ind w:left="397"/>
              <w:rPr>
                <w:rFonts w:asciiTheme="minorHAnsi" w:hAnsiTheme="minorHAnsi"/>
                <w:b/>
                <w:bCs/>
                <w:iCs/>
                <w:color w:val="FFFFFF"/>
                <w:sz w:val="28"/>
                <w:szCs w:val="28"/>
              </w:rPr>
            </w:pPr>
            <w:r w:rsidRPr="004E0991">
              <w:rPr>
                <w:rFonts w:asciiTheme="minorHAnsi" w:hAnsiTheme="minorHAnsi"/>
                <w:b/>
                <w:bCs/>
                <w:sz w:val="28"/>
                <w:szCs w:val="28"/>
              </w:rPr>
              <w:t>Telecommunication Standardization Bureau</w:t>
            </w:r>
            <w:r w:rsidR="004E0991">
              <w:rPr>
                <w:rFonts w:asciiTheme="minorHAnsi" w:hAnsiTheme="minorHAnsi"/>
                <w:b/>
                <w:bCs/>
                <w:sz w:val="28"/>
                <w:szCs w:val="28"/>
              </w:rPr>
              <w:t xml:space="preserve"> </w:t>
            </w:r>
            <w:r w:rsidR="009105A0">
              <w:rPr>
                <w:rFonts w:asciiTheme="minorHAnsi" w:hAnsiTheme="minorHAnsi"/>
                <w:b/>
                <w:bCs/>
                <w:sz w:val="28"/>
                <w:szCs w:val="28"/>
              </w:rPr>
              <w:t>(</w:t>
            </w:r>
            <w:r w:rsidR="004E0991">
              <w:rPr>
                <w:rFonts w:asciiTheme="minorHAnsi" w:hAnsiTheme="minorHAnsi"/>
                <w:b/>
                <w:bCs/>
                <w:sz w:val="28"/>
                <w:szCs w:val="28"/>
              </w:rPr>
              <w:t>TSB)</w:t>
            </w:r>
          </w:p>
        </w:tc>
        <w:tc>
          <w:tcPr>
            <w:tcW w:w="2693" w:type="dxa"/>
            <w:vAlign w:val="center"/>
          </w:tcPr>
          <w:p w:rsidR="00CC14AD" w:rsidRPr="00F15390" w:rsidRDefault="004E0991" w:rsidP="009105A0">
            <w:pPr>
              <w:tabs>
                <w:tab w:val="right" w:pos="8732"/>
              </w:tabs>
              <w:spacing w:before="0"/>
              <w:ind w:left="720"/>
              <w:rPr>
                <w:rFonts w:ascii="Verdana" w:hAnsi="Verdana"/>
                <w:b/>
                <w:bCs/>
                <w:iCs/>
                <w:color w:val="FFFFFF"/>
                <w:sz w:val="26"/>
                <w:szCs w:val="26"/>
              </w:rPr>
            </w:pPr>
            <w:r>
              <w:rPr>
                <w:b/>
                <w:bCs/>
                <w:noProof/>
                <w:lang w:val="en-US" w:eastAsia="zh-CN"/>
              </w:rPr>
              <w:drawing>
                <wp:anchor distT="0" distB="0" distL="114300" distR="114300" simplePos="0" relativeHeight="251658240" behindDoc="1" locked="0" layoutInCell="1" allowOverlap="1" wp14:anchorId="165F282C" wp14:editId="5B94DBC7">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CC14AD" w:rsidRPr="004E0991" w:rsidRDefault="004E0991" w:rsidP="009105A0">
            <w:pPr>
              <w:spacing w:before="0"/>
              <w:rPr>
                <w:rFonts w:asciiTheme="minorHAnsi" w:hAnsiTheme="minorHAnsi"/>
                <w:sz w:val="28"/>
                <w:szCs w:val="28"/>
              </w:rPr>
            </w:pPr>
            <w:bookmarkStart w:id="1" w:name="ditulogo"/>
            <w:bookmarkEnd w:id="1"/>
            <w:r w:rsidRPr="004E0991">
              <w:rPr>
                <w:rFonts w:asciiTheme="minorHAnsi" w:hAnsiTheme="minorHAnsi"/>
                <w:b/>
                <w:bCs/>
                <w:sz w:val="28"/>
                <w:szCs w:val="28"/>
              </w:rPr>
              <w:t>Radiocommunication</w:t>
            </w:r>
            <w:r w:rsidRPr="004E0991">
              <w:rPr>
                <w:rFonts w:asciiTheme="minorHAnsi" w:hAnsiTheme="minorHAnsi"/>
                <w:b/>
                <w:bCs/>
                <w:sz w:val="28"/>
                <w:szCs w:val="28"/>
              </w:rPr>
              <w:br/>
              <w:t>Bureau</w:t>
            </w:r>
            <w:r>
              <w:rPr>
                <w:rFonts w:asciiTheme="minorHAnsi" w:hAnsiTheme="minorHAnsi"/>
                <w:b/>
                <w:bCs/>
                <w:sz w:val="28"/>
                <w:szCs w:val="28"/>
              </w:rPr>
              <w:t xml:space="preserve"> (BR)</w:t>
            </w:r>
          </w:p>
        </w:tc>
      </w:tr>
      <w:tr w:rsidR="00D27786" w:rsidRPr="00F15390" w:rsidTr="009105A0">
        <w:trPr>
          <w:cantSplit/>
          <w:trHeight w:val="112"/>
        </w:trPr>
        <w:tc>
          <w:tcPr>
            <w:tcW w:w="6521" w:type="dxa"/>
            <w:gridSpan w:val="2"/>
            <w:vAlign w:val="center"/>
          </w:tcPr>
          <w:p w:rsidR="00D27786" w:rsidRPr="00F15390" w:rsidRDefault="00D27786" w:rsidP="00F15390">
            <w:pPr>
              <w:spacing w:before="0"/>
            </w:pPr>
          </w:p>
        </w:tc>
        <w:tc>
          <w:tcPr>
            <w:tcW w:w="3260" w:type="dxa"/>
            <w:vAlign w:val="center"/>
          </w:tcPr>
          <w:p w:rsidR="00D27786" w:rsidRPr="00F15390" w:rsidRDefault="00D27786" w:rsidP="00F15390">
            <w:pPr>
              <w:spacing w:before="0"/>
            </w:pPr>
          </w:p>
        </w:tc>
      </w:tr>
    </w:tbl>
    <w:p w:rsidR="005E54DF" w:rsidRPr="006D4AF6" w:rsidRDefault="005E54DF" w:rsidP="007222C9">
      <w:pPr>
        <w:rPr>
          <w:vanish/>
        </w:rPr>
      </w:pPr>
      <w:bookmarkStart w:id="2" w:name="StartTyping_E"/>
      <w:bookmarkEnd w:id="2"/>
    </w:p>
    <w:tbl>
      <w:tblPr>
        <w:tblW w:w="5000" w:type="pct"/>
        <w:tblInd w:w="-8" w:type="dxa"/>
        <w:tblCellMar>
          <w:left w:w="0" w:type="dxa"/>
          <w:right w:w="0" w:type="dxa"/>
        </w:tblCellMar>
        <w:tblLook w:val="0000" w:firstRow="0" w:lastRow="0" w:firstColumn="0" w:lastColumn="0" w:noHBand="0" w:noVBand="0"/>
      </w:tblPr>
      <w:tblGrid>
        <w:gridCol w:w="8"/>
        <w:gridCol w:w="954"/>
        <w:gridCol w:w="123"/>
        <w:gridCol w:w="3399"/>
        <w:gridCol w:w="954"/>
        <w:gridCol w:w="4201"/>
      </w:tblGrid>
      <w:tr w:rsidR="009105A0" w:rsidRPr="006D4AF6" w:rsidTr="00BF484A">
        <w:trPr>
          <w:gridBefore w:val="1"/>
          <w:wBefore w:w="4" w:type="pct"/>
          <w:cantSplit/>
          <w:trHeight w:val="3672"/>
        </w:trPr>
        <w:tc>
          <w:tcPr>
            <w:tcW w:w="495" w:type="pct"/>
          </w:tcPr>
          <w:p w:rsidR="00F147C6" w:rsidRDefault="00F147C6" w:rsidP="009105A0">
            <w:pPr>
              <w:tabs>
                <w:tab w:val="left" w:pos="4111"/>
              </w:tabs>
              <w:spacing w:before="0"/>
              <w:rPr>
                <w:szCs w:val="24"/>
              </w:rPr>
            </w:pPr>
            <w:bookmarkStart w:id="3" w:name="Addressee_E"/>
            <w:bookmarkEnd w:id="3"/>
          </w:p>
          <w:p w:rsidR="00DE5E88" w:rsidRPr="00BF484A" w:rsidRDefault="00DE5E88" w:rsidP="009105A0">
            <w:pPr>
              <w:tabs>
                <w:tab w:val="left" w:pos="4111"/>
              </w:tabs>
              <w:spacing w:before="0"/>
              <w:rPr>
                <w:szCs w:val="24"/>
              </w:rPr>
            </w:pPr>
            <w:r w:rsidRPr="00BF484A">
              <w:rPr>
                <w:szCs w:val="24"/>
              </w:rPr>
              <w:t>Ref:</w:t>
            </w:r>
          </w:p>
          <w:p w:rsidR="009105A0" w:rsidRPr="00BF484A" w:rsidRDefault="009105A0" w:rsidP="009105A0">
            <w:pPr>
              <w:tabs>
                <w:tab w:val="left" w:pos="4111"/>
              </w:tabs>
              <w:spacing w:before="0"/>
              <w:rPr>
                <w:szCs w:val="24"/>
              </w:rPr>
            </w:pPr>
            <w:r w:rsidRPr="00BF484A">
              <w:rPr>
                <w:szCs w:val="24"/>
              </w:rPr>
              <w:t>Tel:</w:t>
            </w:r>
          </w:p>
          <w:p w:rsidR="009105A0" w:rsidRPr="00BF484A" w:rsidRDefault="009105A0" w:rsidP="009105A0">
            <w:pPr>
              <w:tabs>
                <w:tab w:val="left" w:pos="4111"/>
              </w:tabs>
              <w:spacing w:before="0"/>
              <w:rPr>
                <w:szCs w:val="24"/>
              </w:rPr>
            </w:pPr>
            <w:r w:rsidRPr="00BF484A">
              <w:rPr>
                <w:szCs w:val="24"/>
              </w:rPr>
              <w:t>Fax:</w:t>
            </w:r>
          </w:p>
          <w:p w:rsidR="009105A0" w:rsidRPr="00BF484A" w:rsidRDefault="009105A0" w:rsidP="009105A0">
            <w:pPr>
              <w:tabs>
                <w:tab w:val="left" w:pos="4111"/>
              </w:tabs>
              <w:spacing w:before="0"/>
              <w:rPr>
                <w:szCs w:val="24"/>
              </w:rPr>
            </w:pPr>
            <w:r w:rsidRPr="00BF484A">
              <w:rPr>
                <w:szCs w:val="24"/>
              </w:rPr>
              <w:t>E-mail:</w:t>
            </w: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r w:rsidRPr="00BF484A">
              <w:rPr>
                <w:szCs w:val="24"/>
              </w:rPr>
              <w:t>Ref:</w:t>
            </w:r>
          </w:p>
          <w:p w:rsidR="009105A0" w:rsidRPr="00BF484A" w:rsidRDefault="009105A0" w:rsidP="009105A0">
            <w:pPr>
              <w:tabs>
                <w:tab w:val="left" w:pos="4111"/>
              </w:tabs>
              <w:spacing w:before="0"/>
              <w:rPr>
                <w:szCs w:val="24"/>
              </w:rPr>
            </w:pPr>
            <w:r w:rsidRPr="00BF484A">
              <w:rPr>
                <w:szCs w:val="24"/>
              </w:rPr>
              <w:t>Tel:</w:t>
            </w:r>
          </w:p>
          <w:p w:rsidR="009105A0" w:rsidRPr="00BF484A" w:rsidRDefault="009105A0" w:rsidP="009105A0">
            <w:pPr>
              <w:tabs>
                <w:tab w:val="left" w:pos="4111"/>
              </w:tabs>
              <w:spacing w:before="0"/>
              <w:rPr>
                <w:szCs w:val="24"/>
              </w:rPr>
            </w:pPr>
            <w:r w:rsidRPr="00BF484A">
              <w:rPr>
                <w:szCs w:val="24"/>
              </w:rPr>
              <w:t>Fax:</w:t>
            </w:r>
          </w:p>
          <w:p w:rsidR="009105A0" w:rsidRPr="00BF484A" w:rsidRDefault="009105A0" w:rsidP="009105A0">
            <w:pPr>
              <w:tabs>
                <w:tab w:val="left" w:pos="4111"/>
              </w:tabs>
              <w:spacing w:before="0"/>
              <w:rPr>
                <w:szCs w:val="24"/>
              </w:rPr>
            </w:pPr>
            <w:r w:rsidRPr="00BF484A">
              <w:rPr>
                <w:szCs w:val="24"/>
              </w:rPr>
              <w:t xml:space="preserve">E-mail: </w:t>
            </w:r>
          </w:p>
        </w:tc>
        <w:tc>
          <w:tcPr>
            <w:tcW w:w="1827" w:type="pct"/>
            <w:gridSpan w:val="2"/>
          </w:tcPr>
          <w:p w:rsidR="00F147C6" w:rsidRDefault="00F147C6" w:rsidP="009105A0">
            <w:pPr>
              <w:tabs>
                <w:tab w:val="left" w:pos="4111"/>
              </w:tabs>
              <w:spacing w:before="0"/>
              <w:rPr>
                <w:b/>
                <w:bCs/>
                <w:szCs w:val="24"/>
                <w:lang w:val="es-ES_tradnl"/>
              </w:rPr>
            </w:pPr>
          </w:p>
          <w:p w:rsidR="00DE5E88" w:rsidRPr="00BF484A" w:rsidRDefault="00BF484A" w:rsidP="009105A0">
            <w:pPr>
              <w:tabs>
                <w:tab w:val="left" w:pos="4111"/>
              </w:tabs>
              <w:spacing w:before="0"/>
              <w:rPr>
                <w:b/>
                <w:bCs/>
                <w:szCs w:val="24"/>
                <w:lang w:val="es-ES_tradnl"/>
              </w:rPr>
            </w:pPr>
            <w:r w:rsidRPr="00BF484A">
              <w:rPr>
                <w:b/>
                <w:bCs/>
                <w:szCs w:val="24"/>
                <w:lang w:val="es-ES_tradnl"/>
              </w:rPr>
              <w:t>TSB Circular 73</w:t>
            </w:r>
          </w:p>
          <w:p w:rsidR="009105A0" w:rsidRPr="00BF484A" w:rsidRDefault="009105A0" w:rsidP="009105A0">
            <w:pPr>
              <w:tabs>
                <w:tab w:val="left" w:pos="4111"/>
              </w:tabs>
              <w:spacing w:before="0"/>
              <w:rPr>
                <w:szCs w:val="24"/>
                <w:lang w:val="es-ES_tradnl"/>
              </w:rPr>
            </w:pPr>
            <w:r w:rsidRPr="00BF484A">
              <w:rPr>
                <w:szCs w:val="24"/>
                <w:lang w:val="es-ES_tradnl"/>
              </w:rPr>
              <w:t>+41 22 730 6805</w:t>
            </w:r>
            <w:r w:rsidRPr="00BF484A">
              <w:rPr>
                <w:szCs w:val="24"/>
                <w:lang w:val="es-ES_tradnl"/>
              </w:rPr>
              <w:br/>
              <w:t>+41 22 730 5853</w:t>
            </w:r>
          </w:p>
          <w:p w:rsidR="009105A0" w:rsidRPr="00BF484A" w:rsidRDefault="00066F44" w:rsidP="009105A0">
            <w:pPr>
              <w:tabs>
                <w:tab w:val="left" w:pos="4111"/>
              </w:tabs>
              <w:spacing w:before="0"/>
              <w:rPr>
                <w:rStyle w:val="Hyperlink"/>
                <w:szCs w:val="24"/>
                <w:lang w:val="es-ES_tradnl"/>
              </w:rPr>
            </w:pPr>
            <w:hyperlink r:id="rId10" w:history="1">
              <w:r w:rsidR="009105A0" w:rsidRPr="00BF484A">
                <w:rPr>
                  <w:rStyle w:val="Hyperlink"/>
                  <w:szCs w:val="24"/>
                  <w:lang w:val="es-ES_tradnl"/>
                </w:rPr>
                <w:t>tsbsg16@itu.int</w:t>
              </w:r>
            </w:hyperlink>
          </w:p>
          <w:p w:rsidR="009105A0" w:rsidRPr="00BF484A" w:rsidRDefault="009105A0" w:rsidP="009105A0">
            <w:pPr>
              <w:tabs>
                <w:tab w:val="left" w:pos="4111"/>
              </w:tabs>
              <w:spacing w:before="0"/>
              <w:rPr>
                <w:rStyle w:val="Hyperlink"/>
                <w:szCs w:val="24"/>
                <w:lang w:val="es-ES_tradnl"/>
              </w:rPr>
            </w:pPr>
          </w:p>
          <w:p w:rsidR="009105A0" w:rsidRPr="00BF484A" w:rsidRDefault="009105A0" w:rsidP="009105A0">
            <w:pPr>
              <w:tabs>
                <w:tab w:val="left" w:pos="4111"/>
              </w:tabs>
              <w:spacing w:before="0"/>
              <w:rPr>
                <w:rStyle w:val="Hyperlink"/>
                <w:b/>
                <w:bCs/>
                <w:color w:val="auto"/>
                <w:szCs w:val="24"/>
                <w:u w:val="none"/>
                <w:lang w:val="es-ES_tradnl"/>
              </w:rPr>
            </w:pPr>
          </w:p>
          <w:p w:rsidR="009105A0" w:rsidRPr="00BF484A" w:rsidRDefault="009105A0" w:rsidP="009105A0">
            <w:pPr>
              <w:tabs>
                <w:tab w:val="left" w:pos="4111"/>
              </w:tabs>
              <w:spacing w:before="0"/>
              <w:rPr>
                <w:rStyle w:val="Hyperlink"/>
                <w:b/>
                <w:bCs/>
                <w:color w:val="auto"/>
                <w:szCs w:val="24"/>
                <w:u w:val="none"/>
                <w:lang w:val="es-ES_tradnl"/>
              </w:rPr>
            </w:pPr>
          </w:p>
          <w:p w:rsidR="009105A0" w:rsidRPr="00BF484A" w:rsidRDefault="009105A0" w:rsidP="009105A0">
            <w:pPr>
              <w:tabs>
                <w:tab w:val="left" w:pos="4111"/>
              </w:tabs>
              <w:spacing w:before="0"/>
              <w:rPr>
                <w:rStyle w:val="Hyperlink"/>
                <w:b/>
                <w:bCs/>
                <w:color w:val="auto"/>
                <w:szCs w:val="24"/>
                <w:u w:val="none"/>
                <w:lang w:val="es-ES_tradnl"/>
              </w:rPr>
            </w:pPr>
            <w:r w:rsidRPr="00BF484A">
              <w:rPr>
                <w:rStyle w:val="Hyperlink"/>
                <w:b/>
                <w:bCs/>
                <w:color w:val="auto"/>
                <w:szCs w:val="24"/>
                <w:u w:val="none"/>
                <w:lang w:val="es-ES_tradnl"/>
              </w:rPr>
              <w:t>BR Circular CACE/654</w:t>
            </w:r>
          </w:p>
          <w:p w:rsidR="009105A0" w:rsidRPr="00BF484A" w:rsidRDefault="009105A0" w:rsidP="009105A0">
            <w:pPr>
              <w:tabs>
                <w:tab w:val="left" w:pos="4111"/>
              </w:tabs>
              <w:spacing w:before="0"/>
              <w:rPr>
                <w:rStyle w:val="Hyperlink"/>
                <w:color w:val="auto"/>
                <w:szCs w:val="24"/>
                <w:u w:val="none"/>
              </w:rPr>
            </w:pPr>
            <w:r w:rsidRPr="00BF484A">
              <w:rPr>
                <w:rStyle w:val="Hyperlink"/>
                <w:color w:val="auto"/>
                <w:szCs w:val="24"/>
                <w:u w:val="none"/>
              </w:rPr>
              <w:t>+41 22 730 58 03</w:t>
            </w:r>
          </w:p>
          <w:p w:rsidR="009105A0" w:rsidRPr="00BF484A" w:rsidRDefault="009105A0" w:rsidP="009105A0">
            <w:pPr>
              <w:tabs>
                <w:tab w:val="left" w:pos="4111"/>
              </w:tabs>
              <w:spacing w:before="0"/>
              <w:rPr>
                <w:rStyle w:val="Hyperlink"/>
                <w:color w:val="auto"/>
                <w:szCs w:val="24"/>
                <w:u w:val="none"/>
              </w:rPr>
            </w:pPr>
            <w:r w:rsidRPr="00BF484A">
              <w:rPr>
                <w:rStyle w:val="Hyperlink"/>
                <w:color w:val="auto"/>
                <w:szCs w:val="24"/>
                <w:u w:val="none"/>
              </w:rPr>
              <w:t>+41 22 730 58 06</w:t>
            </w:r>
          </w:p>
          <w:p w:rsidR="009105A0" w:rsidRPr="00BF484A" w:rsidRDefault="00066F44" w:rsidP="009105A0">
            <w:pPr>
              <w:tabs>
                <w:tab w:val="left" w:pos="4111"/>
              </w:tabs>
              <w:spacing w:before="0"/>
              <w:rPr>
                <w:rStyle w:val="Hyperlink"/>
                <w:b/>
                <w:bCs/>
                <w:color w:val="auto"/>
                <w:szCs w:val="24"/>
                <w:u w:val="none"/>
              </w:rPr>
            </w:pPr>
            <w:hyperlink r:id="rId11" w:history="1">
              <w:r w:rsidR="009105A0" w:rsidRPr="00BF484A">
                <w:rPr>
                  <w:rStyle w:val="Hyperlink"/>
                  <w:szCs w:val="24"/>
                </w:rPr>
                <w:t>rsg6@itu.int</w:t>
              </w:r>
            </w:hyperlink>
          </w:p>
          <w:p w:rsidR="009105A0" w:rsidRPr="00BF484A" w:rsidRDefault="009105A0" w:rsidP="009105A0">
            <w:pPr>
              <w:tabs>
                <w:tab w:val="left" w:pos="4111"/>
              </w:tabs>
              <w:spacing w:before="0"/>
              <w:rPr>
                <w:rStyle w:val="Hyperlink"/>
                <w:szCs w:val="24"/>
              </w:rPr>
            </w:pPr>
          </w:p>
          <w:p w:rsidR="009105A0" w:rsidRPr="00BF484A" w:rsidRDefault="009105A0" w:rsidP="009105A0">
            <w:pPr>
              <w:tabs>
                <w:tab w:val="left" w:pos="4111"/>
              </w:tabs>
              <w:spacing w:before="0"/>
              <w:rPr>
                <w:b/>
                <w:bCs/>
                <w:szCs w:val="24"/>
              </w:rPr>
            </w:pPr>
          </w:p>
        </w:tc>
        <w:tc>
          <w:tcPr>
            <w:tcW w:w="495" w:type="pct"/>
          </w:tcPr>
          <w:p w:rsidR="009105A0" w:rsidRPr="006D4AF6" w:rsidRDefault="009105A0" w:rsidP="0043486F">
            <w:pPr>
              <w:tabs>
                <w:tab w:val="clear" w:pos="794"/>
                <w:tab w:val="left" w:pos="141"/>
                <w:tab w:val="left" w:pos="4111"/>
              </w:tabs>
              <w:spacing w:before="0"/>
            </w:pPr>
          </w:p>
        </w:tc>
        <w:tc>
          <w:tcPr>
            <w:tcW w:w="2179" w:type="pct"/>
          </w:tcPr>
          <w:p w:rsidR="00BF484A" w:rsidRPr="006D4AF6" w:rsidRDefault="00BF484A" w:rsidP="00BF484A">
            <w:pPr>
              <w:pStyle w:val="Index1"/>
              <w:tabs>
                <w:tab w:val="clear" w:pos="794"/>
                <w:tab w:val="clear" w:pos="1191"/>
                <w:tab w:val="clear" w:pos="1588"/>
                <w:tab w:val="clear" w:pos="1985"/>
                <w:tab w:val="left" w:pos="5387"/>
              </w:tabs>
              <w:spacing w:before="240"/>
            </w:pPr>
            <w:r w:rsidRPr="006D4AF6">
              <w:t xml:space="preserve">Geneva, </w:t>
            </w:r>
            <w:r>
              <w:t>16</w:t>
            </w:r>
            <w:r w:rsidRPr="006D4AF6">
              <w:t xml:space="preserve"> December 2013</w:t>
            </w:r>
          </w:p>
          <w:p w:rsidR="009105A0" w:rsidRDefault="009105A0" w:rsidP="0043486F">
            <w:pPr>
              <w:tabs>
                <w:tab w:val="clear" w:pos="794"/>
                <w:tab w:val="left" w:pos="141"/>
                <w:tab w:val="left" w:pos="4111"/>
              </w:tabs>
            </w:pPr>
          </w:p>
          <w:p w:rsidR="009105A0" w:rsidRPr="006D4AF6" w:rsidRDefault="009105A0" w:rsidP="0043486F">
            <w:pPr>
              <w:tabs>
                <w:tab w:val="clear" w:pos="794"/>
                <w:tab w:val="left" w:pos="141"/>
                <w:tab w:val="left" w:pos="4111"/>
              </w:tabs>
            </w:pPr>
            <w:r w:rsidRPr="006D4AF6">
              <w:t>- To Administrations of Member States of  the Union;</w:t>
            </w:r>
          </w:p>
          <w:p w:rsidR="009105A0" w:rsidRPr="00F15390" w:rsidRDefault="009105A0" w:rsidP="0043486F">
            <w:pPr>
              <w:tabs>
                <w:tab w:val="clear" w:pos="794"/>
                <w:tab w:val="left" w:pos="141"/>
                <w:tab w:val="left" w:pos="4111"/>
              </w:tabs>
              <w:spacing w:before="0"/>
            </w:pPr>
            <w:r w:rsidRPr="00F15390">
              <w:t>- To ITU-T and ITU-R Sector Members;</w:t>
            </w:r>
          </w:p>
          <w:p w:rsidR="009105A0" w:rsidRPr="00F15390" w:rsidRDefault="009105A0" w:rsidP="0043486F">
            <w:pPr>
              <w:tabs>
                <w:tab w:val="clear" w:pos="794"/>
                <w:tab w:val="clear" w:pos="1191"/>
                <w:tab w:val="clear" w:pos="1588"/>
                <w:tab w:val="clear" w:pos="1985"/>
                <w:tab w:val="left" w:pos="284"/>
              </w:tabs>
              <w:spacing w:before="0"/>
              <w:ind w:left="284" w:hanging="284"/>
            </w:pPr>
            <w:r w:rsidRPr="00F15390">
              <w:t>- To ITU-T and ITU-R Associates;</w:t>
            </w:r>
          </w:p>
          <w:p w:rsidR="009105A0" w:rsidRPr="00F15390" w:rsidRDefault="009105A0" w:rsidP="0043486F">
            <w:pPr>
              <w:tabs>
                <w:tab w:val="clear" w:pos="794"/>
                <w:tab w:val="clear" w:pos="1191"/>
                <w:tab w:val="clear" w:pos="1588"/>
                <w:tab w:val="clear" w:pos="1985"/>
                <w:tab w:val="left" w:pos="284"/>
              </w:tabs>
              <w:spacing w:before="0"/>
              <w:ind w:left="284" w:hanging="284"/>
            </w:pPr>
            <w:r w:rsidRPr="00F15390">
              <w:t>- To ITU-T and ITU-R Academia</w:t>
            </w:r>
          </w:p>
          <w:p w:rsidR="009105A0" w:rsidRPr="002A73F7" w:rsidRDefault="009105A0" w:rsidP="0043486F">
            <w:pPr>
              <w:spacing w:before="0"/>
            </w:pPr>
          </w:p>
          <w:p w:rsidR="009105A0" w:rsidRPr="006D4AF6" w:rsidRDefault="009105A0" w:rsidP="0043486F">
            <w:pPr>
              <w:tabs>
                <w:tab w:val="clear" w:pos="794"/>
                <w:tab w:val="clear" w:pos="1191"/>
                <w:tab w:val="clear" w:pos="1588"/>
                <w:tab w:val="clear" w:pos="1985"/>
                <w:tab w:val="left" w:pos="284"/>
              </w:tabs>
              <w:spacing w:before="0"/>
              <w:rPr>
                <w:b/>
                <w:bCs/>
              </w:rPr>
            </w:pPr>
            <w:r w:rsidRPr="006D4AF6">
              <w:rPr>
                <w:b/>
                <w:bCs/>
              </w:rPr>
              <w:t>Copy to:</w:t>
            </w:r>
          </w:p>
          <w:p w:rsidR="009105A0" w:rsidRPr="006D4AF6" w:rsidRDefault="009105A0" w:rsidP="0043486F">
            <w:pPr>
              <w:spacing w:before="0"/>
              <w:ind w:left="284" w:hanging="284"/>
            </w:pPr>
            <w:r w:rsidRPr="006D4AF6">
              <w:t>-</w:t>
            </w:r>
            <w:r w:rsidRPr="006D4AF6">
              <w:tab/>
              <w:t>Chairmen and Vice-Chairmen of all ITU-T and ITU</w:t>
            </w:r>
            <w:r>
              <w:noBreakHyphen/>
            </w:r>
            <w:r w:rsidRPr="006D4AF6">
              <w:t>R Study Groups;</w:t>
            </w:r>
          </w:p>
          <w:p w:rsidR="009105A0" w:rsidRPr="006D4AF6" w:rsidRDefault="009105A0" w:rsidP="0043486F">
            <w:pPr>
              <w:spacing w:before="0" w:after="120"/>
              <w:ind w:left="284" w:hanging="284"/>
            </w:pPr>
            <w:r w:rsidRPr="006D4AF6">
              <w:t>-</w:t>
            </w:r>
            <w:r w:rsidRPr="006D4AF6">
              <w:tab/>
              <w:t>Director of the Telecommunication Development Bureau;</w:t>
            </w:r>
          </w:p>
        </w:tc>
      </w:tr>
      <w:tr w:rsidR="009105A0" w:rsidRPr="006D4AF6" w:rsidTr="00BF484A">
        <w:trPr>
          <w:gridBefore w:val="1"/>
          <w:wBefore w:w="4" w:type="pct"/>
          <w:cantSplit/>
          <w:trHeight w:val="423"/>
        </w:trPr>
        <w:tc>
          <w:tcPr>
            <w:tcW w:w="2322" w:type="pct"/>
            <w:gridSpan w:val="3"/>
          </w:tcPr>
          <w:p w:rsidR="009105A0" w:rsidRPr="006D4AF6" w:rsidRDefault="009105A0" w:rsidP="006D4AF6">
            <w:pPr>
              <w:tabs>
                <w:tab w:val="clear" w:pos="794"/>
                <w:tab w:val="left" w:pos="141"/>
                <w:tab w:val="left" w:pos="4111"/>
              </w:tabs>
              <w:spacing w:before="0"/>
            </w:pPr>
          </w:p>
        </w:tc>
        <w:tc>
          <w:tcPr>
            <w:tcW w:w="2674" w:type="pct"/>
            <w:gridSpan w:val="2"/>
          </w:tcPr>
          <w:p w:rsidR="009105A0" w:rsidRPr="006D4AF6" w:rsidRDefault="009105A0" w:rsidP="002A7870">
            <w:pPr>
              <w:spacing w:before="0" w:after="120"/>
              <w:ind w:left="284" w:hanging="284"/>
            </w:pPr>
          </w:p>
        </w:tc>
      </w:tr>
      <w:tr w:rsidR="009105A0" w:rsidRPr="006D4AF6" w:rsidTr="00BF484A">
        <w:tblPrEx>
          <w:tblCellMar>
            <w:left w:w="107" w:type="dxa"/>
            <w:right w:w="107" w:type="dxa"/>
          </w:tblCellMar>
        </w:tblPrEx>
        <w:trPr>
          <w:cantSplit/>
        </w:trPr>
        <w:tc>
          <w:tcPr>
            <w:tcW w:w="563" w:type="pct"/>
            <w:gridSpan w:val="3"/>
          </w:tcPr>
          <w:p w:rsidR="009105A0" w:rsidRPr="002A73F7" w:rsidRDefault="009105A0" w:rsidP="008304E8">
            <w:pPr>
              <w:tabs>
                <w:tab w:val="left" w:pos="4111"/>
              </w:tabs>
            </w:pPr>
            <w:r w:rsidRPr="002A73F7">
              <w:t>Subject:</w:t>
            </w:r>
          </w:p>
        </w:tc>
        <w:tc>
          <w:tcPr>
            <w:tcW w:w="4437" w:type="pct"/>
            <w:gridSpan w:val="3"/>
          </w:tcPr>
          <w:p w:rsidR="009105A0" w:rsidRPr="002A73F7" w:rsidRDefault="009105A0" w:rsidP="008304E8">
            <w:pPr>
              <w:tabs>
                <w:tab w:val="clear" w:pos="794"/>
                <w:tab w:val="left" w:pos="4111"/>
              </w:tabs>
              <w:rPr>
                <w:b/>
                <w:bCs/>
              </w:rPr>
            </w:pPr>
            <w:r w:rsidRPr="002A73F7">
              <w:rPr>
                <w:b/>
                <w:bCs/>
              </w:rPr>
              <w:t>Creation of a new ITU Intersector Rapporteur Group on Audiovisual Media Accessibility (IRG-AVA) and its first meeting Geneva, 25 February 2014</w:t>
            </w:r>
          </w:p>
        </w:tc>
      </w:tr>
    </w:tbl>
    <w:p w:rsidR="00CC14AD" w:rsidRDefault="00CC14AD" w:rsidP="005E54DF">
      <w:pPr>
        <w:spacing w:before="0"/>
      </w:pPr>
    </w:p>
    <w:p w:rsidR="009105A0" w:rsidRDefault="009105A0" w:rsidP="005E54DF">
      <w:pPr>
        <w:spacing w:before="0"/>
      </w:pPr>
    </w:p>
    <w:p w:rsidR="00BF484A" w:rsidRPr="006D4AF6" w:rsidRDefault="00BF484A" w:rsidP="005E54DF">
      <w:pPr>
        <w:spacing w:before="0"/>
        <w:rPr>
          <w:vanish/>
        </w:rPr>
      </w:pPr>
    </w:p>
    <w:p w:rsidR="00697D21" w:rsidRPr="006D4AF6" w:rsidRDefault="00697D21" w:rsidP="00C6049E">
      <w:pPr>
        <w:spacing w:before="60"/>
      </w:pPr>
      <w:r w:rsidRPr="006D4AF6">
        <w:t>Dear Sir/Madam,</w:t>
      </w:r>
    </w:p>
    <w:p w:rsidR="00697D21" w:rsidRPr="00F15390" w:rsidRDefault="00697D21" w:rsidP="00085D03">
      <w:bookmarkStart w:id="4" w:name="suitetext"/>
      <w:bookmarkEnd w:id="4"/>
      <w:r w:rsidRPr="006D4AF6">
        <w:t>1</w:t>
      </w:r>
      <w:r w:rsidRPr="006D4AF6">
        <w:tab/>
      </w:r>
      <w:r w:rsidR="00085D03">
        <w:t>We</w:t>
      </w:r>
      <w:r w:rsidRPr="00F15390">
        <w:t xml:space="preserve"> </w:t>
      </w:r>
      <w:r w:rsidR="00085D03">
        <w:t>are</w:t>
      </w:r>
      <w:r w:rsidRPr="00F15390">
        <w:t xml:space="preserve"> pleased to announce the establishment of the </w:t>
      </w:r>
      <w:r w:rsidR="00093A03" w:rsidRPr="006D4AF6">
        <w:rPr>
          <w:b/>
          <w:bCs/>
        </w:rPr>
        <w:t>new ITU Intersector Rapporteur Group on Audiovisual Media Accessibility (IRG-AVA)</w:t>
      </w:r>
      <w:r w:rsidR="005E4C60" w:rsidRPr="006D4AF6">
        <w:rPr>
          <w:b/>
          <w:bCs/>
        </w:rPr>
        <w:t>,</w:t>
      </w:r>
      <w:r w:rsidR="00093A03" w:rsidRPr="006D4AF6">
        <w:rPr>
          <w:b/>
          <w:bCs/>
        </w:rPr>
        <w:t xml:space="preserve"> </w:t>
      </w:r>
      <w:r w:rsidRPr="00F15390">
        <w:t xml:space="preserve">further to the agreement by </w:t>
      </w:r>
      <w:r w:rsidR="00EF0C1A" w:rsidRPr="00F15390">
        <w:t xml:space="preserve">ITU-T </w:t>
      </w:r>
      <w:r w:rsidR="00093A03" w:rsidRPr="00F15390">
        <w:t xml:space="preserve">Study Group 16 on 8 November 2013, ITU-R SG6 on 22 November 2013 and ITU-T SG9 on </w:t>
      </w:r>
      <w:r w:rsidR="007B3E92">
        <w:t>11 </w:t>
      </w:r>
      <w:r w:rsidR="005E4C60" w:rsidRPr="00F15390">
        <w:t>December</w:t>
      </w:r>
      <w:r w:rsidR="00EF0C1A" w:rsidRPr="00F15390">
        <w:t xml:space="preserve"> 2013.</w:t>
      </w:r>
    </w:p>
    <w:p w:rsidR="002A73F7" w:rsidRDefault="00697D21" w:rsidP="00887453">
      <w:pPr>
        <w:spacing w:before="180"/>
      </w:pPr>
      <w:r w:rsidRPr="006D4AF6">
        <w:t>2</w:t>
      </w:r>
      <w:r w:rsidRPr="006D4AF6">
        <w:tab/>
      </w:r>
      <w:r w:rsidR="001368EB" w:rsidRPr="00F15390">
        <w:t>This</w:t>
      </w:r>
      <w:r w:rsidR="005E4C60" w:rsidRPr="006D4AF6">
        <w:t xml:space="preserve"> </w:t>
      </w:r>
      <w:r w:rsidR="005E4C60" w:rsidRPr="00F15390">
        <w:t xml:space="preserve">Intersector Rapporteur Group </w:t>
      </w:r>
      <w:r w:rsidR="005E4C60" w:rsidRPr="006D4AF6">
        <w:t xml:space="preserve">will study topics related to audiovisual media accessibility, aiming at development of Recommendations, and other non-normative materials, as appropriate, within the current mandate of </w:t>
      </w:r>
      <w:r w:rsidR="005E4C60" w:rsidRPr="006D4AF6">
        <w:rPr>
          <w:lang w:eastAsia="zh-CN"/>
        </w:rPr>
        <w:t xml:space="preserve">ITU-R Study Group 6 and </w:t>
      </w:r>
      <w:r w:rsidR="0009611D" w:rsidRPr="006D4AF6">
        <w:rPr>
          <w:lang w:eastAsia="zh-CN"/>
        </w:rPr>
        <w:t>of ITU-T Study Groups 9 and </w:t>
      </w:r>
      <w:r w:rsidR="005E4C60" w:rsidRPr="006D4AF6">
        <w:rPr>
          <w:lang w:eastAsia="zh-CN"/>
        </w:rPr>
        <w:t>16</w:t>
      </w:r>
      <w:r w:rsidR="005E4C60" w:rsidRPr="006D4AF6">
        <w:t>. This IRG will also address matters contributing to the coordination of the standardization work of the involved ITU-T and ITU-R groups and will collaborate with other SDOs, as appropriate, and other audiovisual media organizations (e.g., forums and consortia, research institutes and academia).</w:t>
      </w:r>
      <w:r w:rsidR="00FF4FAF" w:rsidRPr="006D4AF6">
        <w:t xml:space="preserve"> The main aim of the IRG-AVA will be to develop draft Recommendations for ‘Access Systems’ which can be used for all media delivery systems, including broadcast, cable, Internet, and IPTV. Participants who can contribute technology proposals are invited and encouraged to join the grou</w:t>
      </w:r>
      <w:r w:rsidR="002A73F7">
        <w:t>p.</w:t>
      </w:r>
    </w:p>
    <w:p w:rsidR="008B7140" w:rsidRPr="006D4AF6" w:rsidRDefault="002A73F7" w:rsidP="00FF4FAF">
      <w:r>
        <w:t>T</w:t>
      </w:r>
      <w:r w:rsidR="00067ECA" w:rsidRPr="006D4AF6">
        <w:t xml:space="preserve">he </w:t>
      </w:r>
      <w:r w:rsidR="005E4C60" w:rsidRPr="006D4AF6">
        <w:t>IRG-AVA</w:t>
      </w:r>
      <w:r w:rsidR="008B7140" w:rsidRPr="006D4AF6">
        <w:t xml:space="preserve"> webpage can be found at </w:t>
      </w:r>
      <w:hyperlink r:id="rId12" w:history="1">
        <w:r w:rsidR="00FF4FAF" w:rsidRPr="006D4AF6">
          <w:rPr>
            <w:rStyle w:val="Hyperlink"/>
          </w:rPr>
          <w:t>http://itu.int/en/irg/ava</w:t>
        </w:r>
      </w:hyperlink>
      <w:r w:rsidR="00FF4FAF" w:rsidRPr="006D4AF6">
        <w:t>.</w:t>
      </w:r>
    </w:p>
    <w:p w:rsidR="003B03D6" w:rsidRPr="006D4AF6" w:rsidRDefault="003B03D6" w:rsidP="003B03D6">
      <w:r w:rsidRPr="006D4AF6">
        <w:t>3</w:t>
      </w:r>
      <w:r w:rsidRPr="006D4AF6">
        <w:tab/>
        <w:t xml:space="preserve">The agreed Terms of Reference of IRG-AVA are reproduced in </w:t>
      </w:r>
      <w:r w:rsidRPr="006D4AF6">
        <w:rPr>
          <w:b/>
          <w:bCs/>
        </w:rPr>
        <w:t>Annex 1</w:t>
      </w:r>
      <w:r w:rsidRPr="006D4AF6">
        <w:t>.</w:t>
      </w:r>
    </w:p>
    <w:p w:rsidR="003B03D6" w:rsidRDefault="003B03D6" w:rsidP="003102F0">
      <w:r w:rsidRPr="006D4AF6">
        <w:t>4</w:t>
      </w:r>
      <w:r w:rsidR="00697D21" w:rsidRPr="006D4AF6">
        <w:tab/>
      </w:r>
      <w:r w:rsidR="003102F0" w:rsidRPr="006D4AF6">
        <w:t>This IRG is regulated by the provisions applicable to rapporteur groups, given in Resolution ITU</w:t>
      </w:r>
      <w:r w:rsidR="003102F0" w:rsidRPr="006D4AF6">
        <w:noBreakHyphen/>
        <w:t>R 1-6 and in Recommendation ITU-T A.1 (</w:t>
      </w:r>
      <w:r w:rsidR="0009611D" w:rsidRPr="006D4AF6">
        <w:t>clause 2.3 in particular)</w:t>
      </w:r>
      <w:r w:rsidRPr="006D4AF6">
        <w:t>.</w:t>
      </w:r>
      <w:r w:rsidR="0009611D" w:rsidRPr="006D4AF6">
        <w:t xml:space="preserve"> The electronic working methods for the group will be described shortly on the IRG webpage. The discussions will be held in English only.</w:t>
      </w:r>
    </w:p>
    <w:p w:rsidR="00BF484A" w:rsidRDefault="00BF484A" w:rsidP="003102F0"/>
    <w:p w:rsidR="00A11744" w:rsidRPr="006D4AF6" w:rsidRDefault="00697D21" w:rsidP="007B3E92">
      <w:r w:rsidRPr="006D4AF6">
        <w:t>5</w:t>
      </w:r>
      <w:r w:rsidRPr="006D4AF6">
        <w:tab/>
        <w:t xml:space="preserve">The first meeting of </w:t>
      </w:r>
      <w:r w:rsidR="003B03D6" w:rsidRPr="006D4AF6">
        <w:t>IRG-AVA</w:t>
      </w:r>
      <w:r w:rsidR="00FF4646" w:rsidRPr="006D4AF6">
        <w:t xml:space="preserve"> </w:t>
      </w:r>
      <w:r w:rsidRPr="006D4AF6">
        <w:t xml:space="preserve">is scheduled to take place </w:t>
      </w:r>
      <w:r w:rsidR="008B7140" w:rsidRPr="006D4AF6">
        <w:t xml:space="preserve">in </w:t>
      </w:r>
      <w:r w:rsidR="003B03D6" w:rsidRPr="006D4AF6">
        <w:t>Geneva</w:t>
      </w:r>
      <w:r w:rsidR="008B7140" w:rsidRPr="006D4AF6">
        <w:t>,</w:t>
      </w:r>
      <w:r w:rsidR="006E43F1" w:rsidRPr="006D4AF6">
        <w:t xml:space="preserve"> </w:t>
      </w:r>
      <w:r w:rsidR="008304E8">
        <w:t xml:space="preserve">on </w:t>
      </w:r>
      <w:r w:rsidR="003B03D6" w:rsidRPr="006D4AF6">
        <w:t>25</w:t>
      </w:r>
      <w:r w:rsidR="00D8717A" w:rsidRPr="006D4AF6">
        <w:t xml:space="preserve"> </w:t>
      </w:r>
      <w:r w:rsidR="003B03D6" w:rsidRPr="006D4AF6">
        <w:t>February 201</w:t>
      </w:r>
      <w:r w:rsidR="007B3E92">
        <w:t>4</w:t>
      </w:r>
      <w:r w:rsidR="006E43F1" w:rsidRPr="006D4AF6">
        <w:t xml:space="preserve">, </w:t>
      </w:r>
      <w:r w:rsidR="008304E8">
        <w:t xml:space="preserve">from </w:t>
      </w:r>
      <w:r w:rsidR="003B03D6" w:rsidRPr="006D4AF6">
        <w:t>1430 to 1730 hours</w:t>
      </w:r>
      <w:r w:rsidR="00A11744" w:rsidRPr="006D4AF6">
        <w:t xml:space="preserve">. </w:t>
      </w:r>
      <w:r w:rsidR="003B03D6" w:rsidRPr="006D4AF6">
        <w:t>Up-to-date information will be available from the IRG web page.</w:t>
      </w:r>
      <w:r w:rsidR="00A11744" w:rsidRPr="006D4AF6">
        <w:t xml:space="preserve"> </w:t>
      </w:r>
    </w:p>
    <w:p w:rsidR="006B3D29" w:rsidRPr="006D4AF6" w:rsidRDefault="00A11744" w:rsidP="00A11744">
      <w:r w:rsidRPr="006D4AF6">
        <w:t xml:space="preserve">For convenience of participants, the meeting will be collocated with the IPTV-GSI event announced in </w:t>
      </w:r>
      <w:hyperlink r:id="rId13" w:history="1">
        <w:r w:rsidRPr="006D4AF6">
          <w:rPr>
            <w:rStyle w:val="Hyperlink"/>
          </w:rPr>
          <w:t>TSB Circular 66</w:t>
        </w:r>
      </w:hyperlink>
      <w:r w:rsidRPr="006D4AF6">
        <w:t xml:space="preserve"> of 25 November 2013.</w:t>
      </w:r>
    </w:p>
    <w:p w:rsidR="00125634" w:rsidRPr="006D4AF6" w:rsidRDefault="002F2E6C" w:rsidP="002A73F7">
      <w:r w:rsidRPr="006D4AF6">
        <w:t>6</w:t>
      </w:r>
      <w:r w:rsidR="00697D21" w:rsidRPr="006D4AF6">
        <w:tab/>
      </w:r>
      <w:r w:rsidR="00125634" w:rsidRPr="006D4AF6">
        <w:t xml:space="preserve">Remote participation will be available for the meeting. More information about remote participation will be available on the </w:t>
      </w:r>
      <w:r w:rsidR="003B03D6" w:rsidRPr="006D4AF6">
        <w:t>IRG</w:t>
      </w:r>
      <w:r w:rsidR="00125634" w:rsidRPr="006D4AF6">
        <w:t xml:space="preserve"> web page. </w:t>
      </w:r>
    </w:p>
    <w:p w:rsidR="00697D21" w:rsidRPr="006D4AF6" w:rsidRDefault="002F2E6C" w:rsidP="003B03D6">
      <w:r w:rsidRPr="006D4AF6">
        <w:t>7</w:t>
      </w:r>
      <w:r w:rsidR="00125634" w:rsidRPr="006D4AF6">
        <w:tab/>
      </w:r>
      <w:r w:rsidR="00697D21" w:rsidRPr="006D4AF6">
        <w:t xml:space="preserve">The items for discussion at the meeting will be made available on the </w:t>
      </w:r>
      <w:r w:rsidR="003B03D6" w:rsidRPr="006D4AF6">
        <w:t>IRG-AVA</w:t>
      </w:r>
      <w:r w:rsidR="00697D21" w:rsidRPr="006D4AF6">
        <w:t xml:space="preserve"> web page</w:t>
      </w:r>
      <w:hyperlink w:history="1"/>
      <w:r w:rsidR="008B7140" w:rsidRPr="006D4AF6">
        <w:t>, together with i</w:t>
      </w:r>
      <w:r w:rsidR="00697D21" w:rsidRPr="006D4AF6">
        <w:t>nformation related to the meeting</w:t>
      </w:r>
      <w:r w:rsidR="000A145F" w:rsidRPr="006D4AF6">
        <w:t>, a draft agenda,</w:t>
      </w:r>
      <w:r w:rsidR="00697D21" w:rsidRPr="006D4AF6">
        <w:t xml:space="preserve"> </w:t>
      </w:r>
      <w:r w:rsidR="008B7140" w:rsidRPr="006D4AF6">
        <w:t>and</w:t>
      </w:r>
      <w:r w:rsidR="00697D21" w:rsidRPr="006D4AF6">
        <w:t xml:space="preserve"> the contributions received.</w:t>
      </w:r>
    </w:p>
    <w:p w:rsidR="00697D21" w:rsidRPr="006D4AF6" w:rsidRDefault="0009611D" w:rsidP="00AE1F2D">
      <w:r w:rsidRPr="006D4AF6">
        <w:t>Document preparation and submission instructions will be detailed on the IRG-AVA web page.</w:t>
      </w:r>
    </w:p>
    <w:p w:rsidR="00697D21" w:rsidRPr="006D4AF6" w:rsidRDefault="00F2093B" w:rsidP="002A73F7">
      <w:r w:rsidRPr="006D4AF6">
        <w:t>T</w:t>
      </w:r>
      <w:r w:rsidR="00697D21" w:rsidRPr="006D4AF6">
        <w:t xml:space="preserve">he deadline for document submission for this first meeting is </w:t>
      </w:r>
      <w:r w:rsidR="003B03D6" w:rsidRPr="006D4AF6">
        <w:rPr>
          <w:b/>
          <w:bCs/>
        </w:rPr>
        <w:t>11 February 2014</w:t>
      </w:r>
      <w:r w:rsidR="00697D21" w:rsidRPr="006D4AF6">
        <w:t>. Please note that this is a paperless meeting.</w:t>
      </w:r>
    </w:p>
    <w:p w:rsidR="00697D21" w:rsidRPr="002A73F7" w:rsidRDefault="00D76491" w:rsidP="00085D03">
      <w:r w:rsidRPr="002A73F7">
        <w:t>8</w:t>
      </w:r>
      <w:r w:rsidR="00697D21" w:rsidRPr="002A73F7">
        <w:tab/>
        <w:t xml:space="preserve">To enable </w:t>
      </w:r>
      <w:r w:rsidR="00085D03">
        <w:t>ITU</w:t>
      </w:r>
      <w:r w:rsidR="00697D21" w:rsidRPr="002A73F7">
        <w:t xml:space="preserve"> to make the necessary arrangements concerning the organization of the </w:t>
      </w:r>
      <w:r w:rsidR="003B03D6" w:rsidRPr="002A73F7">
        <w:t>IRG</w:t>
      </w:r>
      <w:r w:rsidR="0009611D" w:rsidRPr="002A73F7">
        <w:t>-AVA</w:t>
      </w:r>
      <w:r w:rsidR="00085D03">
        <w:t xml:space="preserve"> meeting, we</w:t>
      </w:r>
      <w:r w:rsidR="00697D21" w:rsidRPr="002A73F7">
        <w:t xml:space="preserve"> should be grateful if you would register via the on-line form </w:t>
      </w:r>
      <w:r w:rsidR="001368EB" w:rsidRPr="002A73F7">
        <w:t xml:space="preserve">available from the </w:t>
      </w:r>
      <w:r w:rsidR="0009611D" w:rsidRPr="002A73F7">
        <w:t>IRG-AVA</w:t>
      </w:r>
      <w:r w:rsidR="00646117" w:rsidRPr="002A73F7">
        <w:t xml:space="preserve"> website </w:t>
      </w:r>
      <w:r w:rsidR="00697D21" w:rsidRPr="002A73F7">
        <w:t xml:space="preserve">as soon as possible, but </w:t>
      </w:r>
      <w:r w:rsidR="00697D21" w:rsidRPr="002A73F7">
        <w:rPr>
          <w:b/>
          <w:bCs/>
        </w:rPr>
        <w:t xml:space="preserve">not later than </w:t>
      </w:r>
      <w:r w:rsidR="003B03D6" w:rsidRPr="002A73F7">
        <w:rPr>
          <w:b/>
          <w:bCs/>
        </w:rPr>
        <w:t>25</w:t>
      </w:r>
      <w:r w:rsidRPr="002A73F7">
        <w:rPr>
          <w:b/>
          <w:bCs/>
        </w:rPr>
        <w:t xml:space="preserve"> </w:t>
      </w:r>
      <w:r w:rsidR="003B03D6" w:rsidRPr="002A73F7">
        <w:rPr>
          <w:b/>
          <w:bCs/>
        </w:rPr>
        <w:t>January 2014</w:t>
      </w:r>
      <w:r w:rsidR="00E4666B" w:rsidRPr="002A73F7">
        <w:rPr>
          <w:b/>
          <w:bCs/>
        </w:rPr>
        <w:t>.</w:t>
      </w:r>
      <w:r w:rsidR="00697D21" w:rsidRPr="002A73F7">
        <w:rPr>
          <w:b/>
          <w:bCs/>
        </w:rPr>
        <w:t xml:space="preserve"> Please note that pre-registration of participants to the meeting is carried out exclusively </w:t>
      </w:r>
      <w:r w:rsidR="00697D21" w:rsidRPr="002A73F7">
        <w:rPr>
          <w:b/>
          <w:bCs/>
          <w:i/>
          <w:iCs/>
        </w:rPr>
        <w:t>online</w:t>
      </w:r>
      <w:r w:rsidR="00697D21" w:rsidRPr="002A73F7">
        <w:t xml:space="preserve">. </w:t>
      </w:r>
      <w:r w:rsidR="00B404FD" w:rsidRPr="002A73F7">
        <w:t xml:space="preserve">Please consult the </w:t>
      </w:r>
      <w:r w:rsidR="0009611D" w:rsidRPr="002A73F7">
        <w:t>IRG-AVA</w:t>
      </w:r>
      <w:r w:rsidR="00FF4646" w:rsidRPr="002A73F7">
        <w:t xml:space="preserve"> </w:t>
      </w:r>
      <w:r w:rsidR="00B404FD" w:rsidRPr="002A73F7">
        <w:t xml:space="preserve">webpage regularly for </w:t>
      </w:r>
      <w:r w:rsidR="00697D21" w:rsidRPr="002A73F7">
        <w:t>updates concerning the meeting planning</w:t>
      </w:r>
      <w:r w:rsidR="00B404FD" w:rsidRPr="002A73F7">
        <w:t xml:space="preserve">. </w:t>
      </w:r>
    </w:p>
    <w:p w:rsidR="003C5F63" w:rsidRPr="006D4AF6" w:rsidRDefault="000C209B" w:rsidP="0009611D">
      <w:r w:rsidRPr="006D4AF6">
        <w:t>9</w:t>
      </w:r>
      <w:r w:rsidR="00697D21" w:rsidRPr="006D4AF6">
        <w:tab/>
        <w:t xml:space="preserve">We would remind you that citizens </w:t>
      </w:r>
      <w:r w:rsidR="0009611D" w:rsidRPr="006D4AF6">
        <w:t xml:space="preserve">of some countries are required to obtain a visa in order to enter and spend time in Switzerland. </w:t>
      </w:r>
      <w:r w:rsidR="0009611D" w:rsidRPr="006D4AF6">
        <w:rPr>
          <w:b/>
          <w:bCs/>
        </w:rPr>
        <w:t>The visa must be requested at least six (6) weeks before the date of beginning of the meeting</w:t>
      </w:r>
      <w:r w:rsidR="0009611D" w:rsidRPr="006D4AF6">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09611D" w:rsidRPr="006D4AF6">
        <w:rPr>
          <w:b/>
          <w:bCs/>
        </w:rPr>
        <w:t xml:space="preserve">six </w:t>
      </w:r>
      <w:r w:rsidR="0009611D" w:rsidRPr="006D4AF6">
        <w:t>weeks. Any such request must specify the name and functions, date of birth, number, dates of issue and expiry of passport of the individual(s) for whom the visa(s) is/are requested</w:t>
      </w:r>
      <w:r w:rsidR="0009611D" w:rsidRPr="006D4AF6">
        <w:rPr>
          <w:vertAlign w:val="superscript"/>
        </w:rPr>
        <w:footnoteReference w:id="1"/>
      </w:r>
      <w:r w:rsidR="0009611D" w:rsidRPr="006D4AF6">
        <w:t xml:space="preserve"> and be accompanied by a copy of the notification of confirmation of registration approved for the ITU-T meeting in question, and must be sent to TSB by fax (+41 22 730 5853) or e-mail (</w:t>
      </w:r>
      <w:hyperlink r:id="rId14" w:history="1">
        <w:r w:rsidR="0009611D" w:rsidRPr="006D4AF6">
          <w:rPr>
            <w:rStyle w:val="Hyperlink"/>
          </w:rPr>
          <w:t>tsbreg@itu.int</w:t>
        </w:r>
      </w:hyperlink>
      <w:r w:rsidR="0009611D" w:rsidRPr="006D4AF6">
        <w:t xml:space="preserve">) bearing the words </w:t>
      </w:r>
      <w:r w:rsidR="0009611D" w:rsidRPr="006D4AF6">
        <w:rPr>
          <w:b/>
          <w:bCs/>
        </w:rPr>
        <w:t>“visa request”</w:t>
      </w:r>
      <w:r w:rsidR="0009611D" w:rsidRPr="006D4AF6">
        <w:t>.</w:t>
      </w:r>
    </w:p>
    <w:p w:rsidR="008B0DBC" w:rsidRPr="006D4AF6" w:rsidRDefault="008B0DBC" w:rsidP="00AE1F2D"/>
    <w:p w:rsidR="008B0DBC" w:rsidRPr="006D4AF6" w:rsidRDefault="00697D21" w:rsidP="00AE1F2D">
      <w:r w:rsidRPr="006D4AF6">
        <w:t>Yours faithfully,</w:t>
      </w:r>
      <w:r w:rsidR="00ED6F5A" w:rsidRPr="00ED6F5A">
        <w:rPr>
          <w:noProof/>
          <w:lang w:val="en-US" w:eastAsia="zh-CN"/>
        </w:rPr>
        <w:t xml:space="preserve"> </w:t>
      </w:r>
    </w:p>
    <w:p w:rsidR="009D618F" w:rsidRDefault="009D618F" w:rsidP="00AE1F2D"/>
    <w:p w:rsidR="002A73F7" w:rsidRDefault="002A73F7" w:rsidP="00AE1F2D"/>
    <w:p w:rsidR="002A73F7" w:rsidRPr="006D4AF6" w:rsidRDefault="002A73F7" w:rsidP="00AE1F2D"/>
    <w:tbl>
      <w:tblPr>
        <w:tblW w:w="0" w:type="auto"/>
        <w:tblLayout w:type="fixed"/>
        <w:tblLook w:val="0000" w:firstRow="0" w:lastRow="0" w:firstColumn="0" w:lastColumn="0" w:noHBand="0" w:noVBand="0"/>
      </w:tblPr>
      <w:tblGrid>
        <w:gridCol w:w="4972"/>
        <w:gridCol w:w="4973"/>
      </w:tblGrid>
      <w:tr w:rsidR="006D4AF6" w:rsidRPr="00B260F8" w:rsidTr="002A73F7">
        <w:tc>
          <w:tcPr>
            <w:tcW w:w="4972" w:type="dxa"/>
            <w:tcBorders>
              <w:top w:val="nil"/>
              <w:left w:val="nil"/>
              <w:bottom w:val="nil"/>
              <w:right w:val="nil"/>
            </w:tcBorders>
            <w:shd w:val="clear" w:color="auto" w:fill="FFFFFF"/>
          </w:tcPr>
          <w:p w:rsidR="006D4AF6" w:rsidRPr="006D4AF6" w:rsidRDefault="006D4AF6" w:rsidP="00F15390">
            <w:pPr>
              <w:jc w:val="center"/>
            </w:pPr>
            <w:r w:rsidRPr="006D4AF6">
              <w:t>Malcolm Johnson</w:t>
            </w:r>
          </w:p>
          <w:p w:rsidR="006D4AF6" w:rsidRPr="006D4AF6" w:rsidRDefault="006D4AF6" w:rsidP="00F15390">
            <w:pPr>
              <w:jc w:val="center"/>
            </w:pPr>
            <w:r w:rsidRPr="006D4AF6">
              <w:t>Director,</w:t>
            </w:r>
            <w:r w:rsidR="00F15390">
              <w:br/>
            </w:r>
            <w:r w:rsidRPr="006D4AF6">
              <w:t>Telecommunication Standardization Bureau</w:t>
            </w:r>
          </w:p>
        </w:tc>
        <w:tc>
          <w:tcPr>
            <w:tcW w:w="4973" w:type="dxa"/>
            <w:tcBorders>
              <w:top w:val="nil"/>
              <w:left w:val="nil"/>
              <w:bottom w:val="nil"/>
              <w:right w:val="nil"/>
            </w:tcBorders>
            <w:shd w:val="clear" w:color="auto" w:fill="FFFFFF"/>
          </w:tcPr>
          <w:p w:rsidR="006D4AF6" w:rsidRPr="00B260F8" w:rsidRDefault="006D4AF6" w:rsidP="00F15390">
            <w:pPr>
              <w:jc w:val="center"/>
              <w:rPr>
                <w:lang w:val="fr-CH"/>
              </w:rPr>
            </w:pPr>
            <w:r w:rsidRPr="00B260F8">
              <w:rPr>
                <w:lang w:val="fr-CH"/>
              </w:rPr>
              <w:t xml:space="preserve">François </w:t>
            </w:r>
            <w:proofErr w:type="spellStart"/>
            <w:r w:rsidRPr="00B260F8">
              <w:rPr>
                <w:lang w:val="fr-CH"/>
              </w:rPr>
              <w:t>Rancy</w:t>
            </w:r>
            <w:proofErr w:type="spellEnd"/>
          </w:p>
          <w:p w:rsidR="006D4AF6" w:rsidRPr="00B260F8" w:rsidRDefault="006D4AF6" w:rsidP="00F15390">
            <w:pPr>
              <w:jc w:val="center"/>
              <w:rPr>
                <w:lang w:val="fr-CH"/>
              </w:rPr>
            </w:pPr>
            <w:r w:rsidRPr="00B260F8">
              <w:rPr>
                <w:lang w:val="fr-CH"/>
              </w:rPr>
              <w:t>Director</w:t>
            </w:r>
            <w:proofErr w:type="gramStart"/>
            <w:r w:rsidRPr="00B260F8">
              <w:rPr>
                <w:lang w:val="fr-CH"/>
              </w:rPr>
              <w:t>,</w:t>
            </w:r>
            <w:proofErr w:type="gramEnd"/>
            <w:r w:rsidR="00F15390" w:rsidRPr="00B260F8">
              <w:rPr>
                <w:lang w:val="fr-CH"/>
              </w:rPr>
              <w:br/>
            </w:r>
            <w:r w:rsidRPr="00B260F8">
              <w:rPr>
                <w:lang w:val="fr-CH"/>
              </w:rPr>
              <w:t>Radiocommunication Bureau</w:t>
            </w:r>
          </w:p>
        </w:tc>
      </w:tr>
    </w:tbl>
    <w:p w:rsidR="002A73F7" w:rsidRPr="00B260F8" w:rsidRDefault="002A73F7" w:rsidP="00AE1F2D">
      <w:pPr>
        <w:rPr>
          <w:lang w:val="fr-CH"/>
        </w:rPr>
      </w:pPr>
    </w:p>
    <w:p w:rsidR="008304E8" w:rsidRDefault="008304E8" w:rsidP="00AE1F2D"/>
    <w:p w:rsidR="008304E8" w:rsidRDefault="008304E8" w:rsidP="00AE1F2D"/>
    <w:p w:rsidR="007125F7" w:rsidRPr="006D4AF6" w:rsidRDefault="007125F7" w:rsidP="00AE1F2D">
      <w:r w:rsidRPr="006D4AF6">
        <w:t>Annex: 1</w:t>
      </w:r>
    </w:p>
    <w:p w:rsidR="0040485D" w:rsidRPr="006D4AF6" w:rsidRDefault="00E175F0" w:rsidP="008304E8">
      <w:pPr>
        <w:pStyle w:val="AnnexNotitle"/>
        <w:spacing w:before="240"/>
      </w:pPr>
      <w:r w:rsidRPr="006D4AF6">
        <w:br w:type="page"/>
      </w:r>
      <w:r w:rsidRPr="006D4AF6">
        <w:lastRenderedPageBreak/>
        <w:t>ANNEX 1</w:t>
      </w:r>
      <w:r w:rsidRPr="006D4AF6">
        <w:br/>
        <w:t xml:space="preserve">(to TSB </w:t>
      </w:r>
      <w:r w:rsidR="00C00057" w:rsidRPr="006D4AF6">
        <w:t xml:space="preserve">Circular </w:t>
      </w:r>
      <w:r w:rsidR="00CC14AD" w:rsidRPr="006D4AF6">
        <w:t>73</w:t>
      </w:r>
      <w:r w:rsidR="008304E8">
        <w:t>/</w:t>
      </w:r>
      <w:r w:rsidR="008304E8" w:rsidRPr="002A73F7">
        <w:rPr>
          <w:bCs/>
        </w:rPr>
        <w:t>BR Circular CACE/</w:t>
      </w:r>
      <w:r w:rsidR="008304E8">
        <w:rPr>
          <w:bCs/>
        </w:rPr>
        <w:t>654</w:t>
      </w:r>
      <w:proofErr w:type="gramStart"/>
      <w:r w:rsidR="00067ECA" w:rsidRPr="006D4AF6">
        <w:t>)</w:t>
      </w:r>
      <w:proofErr w:type="gramEnd"/>
      <w:r w:rsidR="00067ECA" w:rsidRPr="006D4AF6">
        <w:br/>
      </w:r>
      <w:r w:rsidR="00067ECA" w:rsidRPr="006D4AF6">
        <w:br/>
      </w:r>
      <w:r w:rsidR="00CC1937" w:rsidRPr="006D4AF6">
        <w:t xml:space="preserve">Terms of Reference for </w:t>
      </w:r>
      <w:r w:rsidR="000D4673" w:rsidRPr="006D4AF6">
        <w:t xml:space="preserve">the </w:t>
      </w:r>
      <w:r w:rsidR="0009611D" w:rsidRPr="006D4AF6">
        <w:t>ITU Intersector Rapporteur Group on Audiovisual Media Accessibility (IRG-AVA</w:t>
      </w:r>
      <w:r w:rsidR="00CC1937" w:rsidRPr="006D4AF6">
        <w:t>)</w:t>
      </w:r>
    </w:p>
    <w:p w:rsidR="0009611D" w:rsidRPr="002A73F7" w:rsidRDefault="000513BD" w:rsidP="002A73F7">
      <w:pPr>
        <w:pStyle w:val="Headingb"/>
      </w:pPr>
      <w:r w:rsidRPr="002A73F7">
        <w:t>1</w:t>
      </w:r>
      <w:r w:rsidRPr="002A73F7">
        <w:tab/>
      </w:r>
      <w:r w:rsidR="0009611D" w:rsidRPr="002A73F7">
        <w:t>Preamble</w:t>
      </w:r>
    </w:p>
    <w:p w:rsidR="0009611D" w:rsidRPr="006D4AF6" w:rsidRDefault="0009611D" w:rsidP="0009611D">
      <w:r w:rsidRPr="006D4AF6">
        <w:t xml:space="preserve">WTSA Resolution 18 was revised in WTSA-12 to allow for ITU-R experts to jointly develop work with ITU-T experts in a group officially recognized by both ITU-R and ITU-T. </w:t>
      </w:r>
    </w:p>
    <w:p w:rsidR="0009611D" w:rsidRPr="008304E8" w:rsidRDefault="0009611D" w:rsidP="002A73F7">
      <w:pPr>
        <w:rPr>
          <w:lang w:val="de-CH"/>
        </w:rPr>
      </w:pPr>
      <w:r w:rsidRPr="006D4AF6">
        <w:t xml:space="preserve">The </w:t>
      </w:r>
      <w:r w:rsidRPr="002A73F7">
        <w:rPr>
          <w:b/>
          <w:bCs/>
        </w:rPr>
        <w:t>Intersector Rapporteur Group on Audiovisual Media Accessibility (IRG-AVA)</w:t>
      </w:r>
      <w:r w:rsidRPr="006D4AF6">
        <w:t xml:space="preserve"> is established in accordance with Annex C of WTSA-12 Resolution 18 </w:t>
      </w:r>
      <w:r w:rsidRPr="000513BD">
        <w:t>and</w:t>
      </w:r>
      <w:r w:rsidRPr="006D4AF6">
        <w:t xml:space="preserve"> the corresponding provisions in Resolution ITU-R 6 (in line with the Conclusions of the Radiocommunication Advisory Group (RAG) taken at their meeting on 22-24 May 2013, ref. </w:t>
      </w:r>
      <w:r w:rsidRPr="008304E8">
        <w:rPr>
          <w:lang w:val="de-CH"/>
        </w:rPr>
        <w:t>Agenda Item 5 in</w:t>
      </w:r>
      <w:r w:rsidR="00A11744" w:rsidRPr="008304E8">
        <w:rPr>
          <w:lang w:val="de-CH"/>
        </w:rPr>
        <w:t xml:space="preserve"> </w:t>
      </w:r>
      <w:hyperlink r:id="rId15" w:history="1">
        <w:r w:rsidR="00A11744" w:rsidRPr="008304E8">
          <w:rPr>
            <w:rStyle w:val="Hyperlink"/>
            <w:lang w:val="de-CH"/>
          </w:rPr>
          <w:t>http://itu.int/en/ITU-R/conferences/rag/Documents/SUMOFCONCLFINAL.docx</w:t>
        </w:r>
      </w:hyperlink>
      <w:r w:rsidRPr="008304E8">
        <w:rPr>
          <w:lang w:val="de-CH"/>
        </w:rPr>
        <w:t>).</w:t>
      </w:r>
    </w:p>
    <w:p w:rsidR="0009611D" w:rsidRPr="002A73F7" w:rsidRDefault="000513BD" w:rsidP="002A73F7">
      <w:pPr>
        <w:pStyle w:val="Headingb"/>
      </w:pPr>
      <w:r w:rsidRPr="002A73F7">
        <w:t>2</w:t>
      </w:r>
      <w:r w:rsidRPr="002A73F7">
        <w:tab/>
      </w:r>
      <w:r w:rsidR="0009611D" w:rsidRPr="002A73F7">
        <w:t>Objectives</w:t>
      </w:r>
    </w:p>
    <w:p w:rsidR="0009611D" w:rsidRPr="006D4AF6" w:rsidRDefault="0009611D" w:rsidP="0009611D">
      <w:pPr>
        <w:rPr>
          <w:lang w:eastAsia="zh-CN"/>
        </w:rPr>
      </w:pPr>
      <w:r w:rsidRPr="006D4AF6">
        <w:rPr>
          <w:lang w:eastAsia="zh-CN"/>
        </w:rPr>
        <w:t xml:space="preserve">Media can be delivered by a number of delivery platforms, including over-the-air broadcasting, cable-casting, IPTV, and Internet. In each case there is an increasing need for access services, for reasons such as the aging population, and the growth of literacy. To ensure that unnecessary differences do not hold back the use of access services, common systems should be used whenever possible. </w:t>
      </w:r>
    </w:p>
    <w:p w:rsidR="0009611D" w:rsidRPr="006D4AF6" w:rsidRDefault="0009611D" w:rsidP="0009611D">
      <w:pPr>
        <w:rPr>
          <w:lang w:eastAsia="zh-CN"/>
        </w:rPr>
      </w:pPr>
      <w:r w:rsidRPr="006D4AF6">
        <w:rPr>
          <w:lang w:eastAsia="zh-CN"/>
        </w:rPr>
        <w:t>The IRG will thus consider delivery systems currently in the purview of the ITU-R Study Group 6 and the ITU-T Study Groups 9 and 16).</w:t>
      </w:r>
    </w:p>
    <w:p w:rsidR="0009611D" w:rsidRPr="006D4AF6" w:rsidRDefault="0009611D" w:rsidP="0009611D">
      <w:r w:rsidRPr="006D4AF6">
        <w:t xml:space="preserve">This IRG will study topics related to audiovisual media accessibility, aiming at development of Recommendations, and other non-normative materials, as appropriate. </w:t>
      </w:r>
    </w:p>
    <w:p w:rsidR="0009611D" w:rsidRPr="006D4AF6" w:rsidRDefault="0009611D" w:rsidP="0009611D">
      <w:r w:rsidRPr="006D4AF6">
        <w:t xml:space="preserve">This IRG will also address matters contributing to the coordination of the standardization work of the involved ITU-T and ITU-R groups. </w:t>
      </w:r>
    </w:p>
    <w:p w:rsidR="0009611D" w:rsidRPr="006D4AF6" w:rsidRDefault="0009611D" w:rsidP="0009611D">
      <w:r w:rsidRPr="006D4AF6">
        <w:t>The study areas comprise:</w:t>
      </w:r>
    </w:p>
    <w:p w:rsidR="0009611D" w:rsidRPr="006D4AF6" w:rsidRDefault="000513BD" w:rsidP="000513B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proofErr w:type="gramStart"/>
      <w:r w:rsidR="0009611D" w:rsidRPr="006D4AF6">
        <w:rPr>
          <w:lang w:eastAsia="zh-CN"/>
        </w:rPr>
        <w:t>coordination</w:t>
      </w:r>
      <w:proofErr w:type="gramEnd"/>
      <w:r w:rsidR="0009611D" w:rsidRPr="006D4AF6">
        <w:rPr>
          <w:lang w:eastAsia="zh-CN"/>
        </w:rPr>
        <w:t xml:space="preserve"> of the progress of specific topics of mutual interest restricted to the area of audiovisual media accessibility including but not exclusively:</w:t>
      </w:r>
    </w:p>
    <w:p w:rsidR="0009611D" w:rsidRPr="006D4AF6" w:rsidRDefault="000513BD" w:rsidP="000513B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proofErr w:type="gramStart"/>
      <w:r w:rsidR="0009611D" w:rsidRPr="006D4AF6">
        <w:rPr>
          <w:lang w:eastAsia="zh-CN"/>
        </w:rPr>
        <w:t>identification</w:t>
      </w:r>
      <w:proofErr w:type="gramEnd"/>
      <w:r w:rsidR="0009611D" w:rsidRPr="006D4AF6">
        <w:rPr>
          <w:lang w:eastAsia="zh-CN"/>
        </w:rPr>
        <w:t xml:space="preserve"> of potential work items that may be jointly progressed as ITU-T and/or ITU-R Recommendations;</w:t>
      </w:r>
    </w:p>
    <w:p w:rsidR="0009611D" w:rsidRPr="006D4AF6" w:rsidRDefault="000513BD" w:rsidP="000513BD">
      <w:pPr>
        <w:tabs>
          <w:tab w:val="clear" w:pos="794"/>
          <w:tab w:val="clear" w:pos="1191"/>
          <w:tab w:val="clear" w:pos="1588"/>
          <w:tab w:val="clear" w:pos="1985"/>
        </w:tabs>
        <w:overflowPunct/>
        <w:autoSpaceDE/>
        <w:autoSpaceDN/>
        <w:adjustRightInd/>
        <w:ind w:left="567" w:hanging="567"/>
        <w:textAlignment w:val="auto"/>
        <w:rPr>
          <w:lang w:eastAsia="zh-CN"/>
        </w:rPr>
      </w:pPr>
      <w:r w:rsidRPr="006D4AF6">
        <w:rPr>
          <w:lang w:eastAsia="zh-CN"/>
        </w:rPr>
        <w:t>–</w:t>
      </w:r>
      <w:r w:rsidRPr="006D4AF6">
        <w:rPr>
          <w:lang w:eastAsia="zh-CN"/>
        </w:rPr>
        <w:tab/>
      </w:r>
      <w:proofErr w:type="gramStart"/>
      <w:r w:rsidR="0009611D" w:rsidRPr="006D4AF6">
        <w:rPr>
          <w:lang w:eastAsia="zh-CN"/>
        </w:rPr>
        <w:t>identification</w:t>
      </w:r>
      <w:proofErr w:type="gramEnd"/>
      <w:r w:rsidR="0009611D" w:rsidRPr="006D4AF6">
        <w:rPr>
          <w:lang w:eastAsia="zh-CN"/>
        </w:rPr>
        <w:t xml:space="preserve"> of the challenges to interoperability and access service interoperability requirements. Consideration should also be given to testing and other compliance verification mechanisms;</w:t>
      </w:r>
    </w:p>
    <w:p w:rsidR="0009611D" w:rsidRPr="006D4AF6" w:rsidRDefault="0009611D" w:rsidP="0009611D">
      <w:r w:rsidRPr="006D4AF6">
        <w:t>The IRG-AVA will collaborate with other SDOs, as appropriate, and other audiovisual media organizations (e.g., forums and consortia, research institutes and academia).</w:t>
      </w:r>
    </w:p>
    <w:p w:rsidR="0009611D" w:rsidRPr="002A73F7" w:rsidRDefault="000513BD" w:rsidP="002A73F7">
      <w:pPr>
        <w:pStyle w:val="Headingb"/>
      </w:pPr>
      <w:r w:rsidRPr="002A73F7">
        <w:t>3</w:t>
      </w:r>
      <w:r w:rsidRPr="002A73F7">
        <w:tab/>
      </w:r>
      <w:r w:rsidR="0009611D" w:rsidRPr="002A73F7">
        <w:t>Relations within and outside ITU-T and ITU-R</w:t>
      </w:r>
    </w:p>
    <w:p w:rsidR="0009611D" w:rsidRPr="006D4AF6" w:rsidRDefault="0009611D" w:rsidP="0009611D">
      <w:r w:rsidRPr="006D4AF6">
        <w:t>While the primary objective of this IRG is to foster coordination and collaboration between the parent groups on the IRG objectives, collaboration with any relevant study group or other relevant groups is encouraged.</w:t>
      </w:r>
    </w:p>
    <w:p w:rsidR="0009611D" w:rsidRPr="006D4AF6" w:rsidRDefault="0009611D" w:rsidP="0009611D">
      <w:r w:rsidRPr="006D4AF6">
        <w:t>Rapporteur groups of other ITU-T and ITU-R groups may join this IRG on request and upon agreement of the parent groups.</w:t>
      </w:r>
    </w:p>
    <w:p w:rsidR="0009611D" w:rsidRPr="006D4AF6" w:rsidRDefault="0009611D" w:rsidP="0009611D">
      <w:r w:rsidRPr="006D4AF6">
        <w:lastRenderedPageBreak/>
        <w:t>The IRG may prepare liaison statements to other groups. The parent groups are to be copied on any such communications.</w:t>
      </w:r>
    </w:p>
    <w:p w:rsidR="0009611D" w:rsidRPr="002A73F7" w:rsidRDefault="000513BD" w:rsidP="002A73F7">
      <w:pPr>
        <w:pStyle w:val="Headingb"/>
      </w:pPr>
      <w:r w:rsidRPr="002A73F7">
        <w:t>4</w:t>
      </w:r>
      <w:r w:rsidRPr="002A73F7">
        <w:tab/>
      </w:r>
      <w:r w:rsidR="0009611D" w:rsidRPr="002A73F7">
        <w:t>Parent groups</w:t>
      </w:r>
    </w:p>
    <w:p w:rsidR="0009611D" w:rsidRPr="006D4AF6" w:rsidRDefault="0009611D" w:rsidP="0009611D">
      <w:r w:rsidRPr="006D4AF6">
        <w:t>The parent groups of the IRG-AVA are ITU-T Study Group 16, ITU-T Study Group 9 and ITU-R Study Group 6.</w:t>
      </w:r>
    </w:p>
    <w:p w:rsidR="0009611D" w:rsidRPr="002A73F7" w:rsidRDefault="000513BD" w:rsidP="002A73F7">
      <w:pPr>
        <w:pStyle w:val="Headingb"/>
      </w:pPr>
      <w:r w:rsidRPr="002A73F7">
        <w:t>5</w:t>
      </w:r>
      <w:r w:rsidRPr="002A73F7">
        <w:tab/>
      </w:r>
      <w:r w:rsidR="0009611D" w:rsidRPr="002A73F7">
        <w:t>Leadership</w:t>
      </w:r>
    </w:p>
    <w:p w:rsidR="0009611D" w:rsidRPr="006D4AF6" w:rsidRDefault="0009611D" w:rsidP="000D4673">
      <w:r w:rsidRPr="006D4AF6">
        <w:t>IRG-AVA will be led by a Management Team composed of three experts, each one being nominated by each of the three parent groups. This Management Team represents the core team of the IRG and is expected to expedite the work. Consequently, only persons that have the time and skills to further the work of the IRG</w:t>
      </w:r>
      <w:r w:rsidR="000D4673" w:rsidRPr="006D4AF6">
        <w:t xml:space="preserve"> should be nominated member of the Management Team</w:t>
      </w:r>
      <w:r w:rsidRPr="006D4AF6">
        <w:t>.</w:t>
      </w:r>
    </w:p>
    <w:p w:rsidR="0009611D" w:rsidRPr="002A73F7" w:rsidRDefault="000513BD" w:rsidP="002A73F7">
      <w:pPr>
        <w:pStyle w:val="Headingb"/>
      </w:pPr>
      <w:r w:rsidRPr="002A73F7">
        <w:t>6</w:t>
      </w:r>
      <w:r w:rsidRPr="002A73F7">
        <w:tab/>
      </w:r>
      <w:r w:rsidR="0009611D" w:rsidRPr="002A73F7">
        <w:t>Participation</w:t>
      </w:r>
    </w:p>
    <w:p w:rsidR="0009611D" w:rsidRPr="006D4AF6" w:rsidRDefault="0009611D" w:rsidP="0009611D">
      <w:r w:rsidRPr="006D4AF6">
        <w:t>Participation is open to members of ITU-T and ITU-R that can participate in the work of the ITU-T and ITU-R parent groups. The IRG-AVA Management Team may invite individual experts as appropriate and in accordance with the rules for parent group meetings of ITU-T and ITU-R.</w:t>
      </w:r>
    </w:p>
    <w:p w:rsidR="0009611D" w:rsidRPr="006D4AF6" w:rsidRDefault="0009611D" w:rsidP="0009611D">
      <w:r w:rsidRPr="006D4AF6">
        <w:t>A list of participants will be maintained for reference purposes and reported to the parent groups as an attachment to the report of each meeting (see clause 9).</w:t>
      </w:r>
    </w:p>
    <w:p w:rsidR="0009611D" w:rsidRPr="002A73F7" w:rsidRDefault="000513BD" w:rsidP="002A73F7">
      <w:pPr>
        <w:pStyle w:val="Headingb"/>
      </w:pPr>
      <w:r w:rsidRPr="002A73F7">
        <w:t>7</w:t>
      </w:r>
      <w:r w:rsidRPr="002A73F7">
        <w:tab/>
      </w:r>
      <w:r w:rsidR="0009611D" w:rsidRPr="002A73F7">
        <w:t>Deliverables</w:t>
      </w:r>
    </w:p>
    <w:p w:rsidR="0009611D" w:rsidRPr="006D4AF6" w:rsidRDefault="0009611D" w:rsidP="0009611D">
      <w:r w:rsidRPr="006D4AF6">
        <w:t>An IRG may draft new or revised Recommendations, as well as other non-normative materials.</w:t>
      </w:r>
    </w:p>
    <w:p w:rsidR="0009611D" w:rsidRPr="006D4AF6" w:rsidRDefault="0009611D" w:rsidP="0009611D">
      <w:r w:rsidRPr="006D4AF6">
        <w:t xml:space="preserve">These deliverables, upon consensus within the IRG, will be submitted to its parent study groups for further consideration following the rules and practices of the parent group to which the deliverable is assigned. </w:t>
      </w:r>
    </w:p>
    <w:p w:rsidR="0009611D" w:rsidRPr="006D4AF6" w:rsidRDefault="0009611D" w:rsidP="0009611D">
      <w:r w:rsidRPr="006D4AF6">
        <w:t>IRG-AVA will identify such deliverables and make pertinent proposals to its parent study groups (see clause 8).</w:t>
      </w:r>
    </w:p>
    <w:p w:rsidR="0009611D" w:rsidRPr="006D4AF6" w:rsidRDefault="0009611D" w:rsidP="0009611D">
      <w:r w:rsidRPr="006D4AF6">
        <w:t>Each parent group will be responsible for their own Recommendations. Any joint text Recommendations will be approved in a coordinated manner by the parent groups. Joint texts should as much as possible be technically aligned.</w:t>
      </w:r>
    </w:p>
    <w:p w:rsidR="0009611D" w:rsidRPr="006D4AF6" w:rsidRDefault="0009611D" w:rsidP="0009611D">
      <w:r w:rsidRPr="006D4AF6">
        <w:t>The results of an IRG's work are to represent the agreed consensus of the IRG, or reflect the diversity of views of the participants in the IRG.</w:t>
      </w:r>
    </w:p>
    <w:p w:rsidR="0009611D" w:rsidRPr="002A73F7" w:rsidRDefault="000513BD" w:rsidP="002A73F7">
      <w:pPr>
        <w:pStyle w:val="Headingb"/>
      </w:pPr>
      <w:r w:rsidRPr="002A73F7">
        <w:t>8</w:t>
      </w:r>
      <w:r w:rsidRPr="002A73F7">
        <w:tab/>
      </w:r>
      <w:r w:rsidR="0009611D" w:rsidRPr="002A73F7">
        <w:t>Meetings</w:t>
      </w:r>
    </w:p>
    <w:p w:rsidR="0009611D" w:rsidRPr="006D4AF6" w:rsidRDefault="0009611D" w:rsidP="0009611D">
      <w:pPr>
        <w:spacing w:before="0"/>
      </w:pPr>
      <w:r w:rsidRPr="006D4AF6">
        <w:t xml:space="preserve">The frequency and location of meetings will be determined by the IRG and the overall meetings plan should be announced as soon as possible. </w:t>
      </w:r>
      <w:r w:rsidR="003D618E" w:rsidRPr="006D4AF6">
        <w:t xml:space="preserve">See also </w:t>
      </w:r>
      <w:r w:rsidR="00F15390">
        <w:t>clause 11 "Working Guidelines"</w:t>
      </w:r>
      <w:r w:rsidR="003D618E" w:rsidRPr="006D4AF6">
        <w:t xml:space="preserve"> below.</w:t>
      </w:r>
    </w:p>
    <w:p w:rsidR="0009611D" w:rsidRPr="006D4AF6" w:rsidRDefault="0009611D" w:rsidP="0009611D">
      <w:r w:rsidRPr="006D4AF6">
        <w:t>The meetings will be announced by electronic means (e.g., mailing lists and on the ITU website) at least two months in advance of the meeting.</w:t>
      </w:r>
    </w:p>
    <w:p w:rsidR="0009611D" w:rsidRPr="006D4AF6" w:rsidRDefault="0009611D" w:rsidP="0009611D">
      <w:r w:rsidRPr="006D4AF6">
        <w:t>The IRG will use remote collaboration tools to the maximum extent, and when physical meetings are deemed necessary, they should collocate with other planned physical meetings from which synergies can be derived (in particular that of the parent groups, of their working parties, or of related interim rapporteur group meetings).</w:t>
      </w:r>
    </w:p>
    <w:p w:rsidR="0009611D" w:rsidRPr="002A73F7" w:rsidRDefault="000513BD" w:rsidP="002A73F7">
      <w:pPr>
        <w:pStyle w:val="Headingb"/>
      </w:pPr>
      <w:r w:rsidRPr="002A73F7">
        <w:t>9</w:t>
      </w:r>
      <w:r w:rsidRPr="002A73F7">
        <w:tab/>
      </w:r>
      <w:r w:rsidR="0009611D" w:rsidRPr="002A73F7">
        <w:t>Meeting reports</w:t>
      </w:r>
    </w:p>
    <w:p w:rsidR="0009611D" w:rsidRPr="006D4AF6" w:rsidRDefault="0009611D" w:rsidP="0009611D">
      <w:r w:rsidRPr="006D4AF6">
        <w:t>This IRG shall prepare reports on its meetings and activities, to be submitted to the next meeting of its parent study groups. The information in such reports should contain the items listed in Recommendation ITU</w:t>
      </w:r>
      <w:r w:rsidRPr="006D4AF6">
        <w:noBreakHyphen/>
        <w:t>T A.1 Appendix I.</w:t>
      </w:r>
    </w:p>
    <w:p w:rsidR="0009611D" w:rsidRPr="002A73F7" w:rsidRDefault="000513BD" w:rsidP="002A73F7">
      <w:pPr>
        <w:pStyle w:val="Headingb"/>
      </w:pPr>
      <w:r w:rsidRPr="002A73F7">
        <w:lastRenderedPageBreak/>
        <w:t>10</w:t>
      </w:r>
      <w:r w:rsidRPr="002A73F7">
        <w:tab/>
      </w:r>
      <w:r w:rsidR="0009611D" w:rsidRPr="002A73F7">
        <w:t>Working language</w:t>
      </w:r>
    </w:p>
    <w:p w:rsidR="0009611D" w:rsidRPr="006D4AF6" w:rsidRDefault="0009611D" w:rsidP="0009611D">
      <w:r w:rsidRPr="006D4AF6">
        <w:t>The working language of this IRG will be English.</w:t>
      </w:r>
    </w:p>
    <w:p w:rsidR="0009611D" w:rsidRPr="002A73F7" w:rsidRDefault="000513BD" w:rsidP="002A73F7">
      <w:pPr>
        <w:pStyle w:val="Headingb"/>
      </w:pPr>
      <w:r w:rsidRPr="002A73F7">
        <w:t>11</w:t>
      </w:r>
      <w:r w:rsidRPr="002A73F7">
        <w:tab/>
      </w:r>
      <w:r w:rsidR="0009611D" w:rsidRPr="002A73F7">
        <w:t>Working guidelines</w:t>
      </w:r>
    </w:p>
    <w:p w:rsidR="0009611D" w:rsidRPr="006D4AF6" w:rsidRDefault="0009611D" w:rsidP="000513BD">
      <w:r w:rsidRPr="006D4AF6">
        <w:t>This IRG will work by consensus.</w:t>
      </w:r>
    </w:p>
    <w:p w:rsidR="0009611D" w:rsidRPr="006D4AF6" w:rsidRDefault="0009611D" w:rsidP="0009611D">
      <w:r w:rsidRPr="006D4AF6">
        <w:t>This IRG is regulated by the provisions applicable to rapporteur gr</w:t>
      </w:r>
      <w:r w:rsidR="003102F0" w:rsidRPr="006D4AF6">
        <w:t>oups, given in Resolution ITU</w:t>
      </w:r>
      <w:r w:rsidR="003102F0" w:rsidRPr="006D4AF6">
        <w:noBreakHyphen/>
        <w:t>R </w:t>
      </w:r>
      <w:r w:rsidRPr="006D4AF6">
        <w:t xml:space="preserve">1-6 and in Recommendation ITU-T A.1 (see also the ITU-T manual for rapporteurs and editors at </w:t>
      </w:r>
      <w:hyperlink r:id="rId16" w:history="1">
        <w:r w:rsidRPr="006D4AF6">
          <w:rPr>
            <w:rStyle w:val="Hyperlink"/>
          </w:rPr>
          <w:t>http://itu.int/go/ITU-T/REManual</w:t>
        </w:r>
      </w:hyperlink>
      <w:r w:rsidRPr="006D4AF6">
        <w:t>).</w:t>
      </w:r>
    </w:p>
    <w:p w:rsidR="0009611D" w:rsidRPr="006D4AF6" w:rsidRDefault="0009611D" w:rsidP="0009611D">
      <w:r w:rsidRPr="006D4AF6">
        <w:t>Additionally, the IRG will follow the guidelines found in WTSA-12 Resolution 18, Annex C, and in the corresponding provisions in Resolution ITU-R 6 (in line with the Conclusions of the Radiocommunication Advisory Group (RAG) taken at their meeting on 22-24 May 2013).</w:t>
      </w:r>
    </w:p>
    <w:p w:rsidR="0009611D" w:rsidRPr="002A73F7" w:rsidRDefault="000513BD" w:rsidP="002A73F7">
      <w:pPr>
        <w:pStyle w:val="Headingb"/>
      </w:pPr>
      <w:r w:rsidRPr="002A73F7">
        <w:t>12</w:t>
      </w:r>
      <w:r w:rsidRPr="002A73F7">
        <w:tab/>
      </w:r>
      <w:r w:rsidR="0009611D" w:rsidRPr="002A73F7">
        <w:t>Patent policy</w:t>
      </w:r>
    </w:p>
    <w:p w:rsidR="0009611D" w:rsidRPr="006D4AF6" w:rsidRDefault="0009611D" w:rsidP="0009611D">
      <w:pPr>
        <w:tabs>
          <w:tab w:val="left" w:pos="567"/>
        </w:tabs>
        <w:spacing w:before="0"/>
      </w:pPr>
      <w:r w:rsidRPr="006D4AF6">
        <w:t>The Common Patent Policy for ITU-T/ITU-R/ISO/IEC shall be used.</w:t>
      </w:r>
    </w:p>
    <w:p w:rsidR="0009611D" w:rsidRPr="002A73F7" w:rsidRDefault="000513BD" w:rsidP="002A73F7">
      <w:pPr>
        <w:pStyle w:val="Headingb"/>
      </w:pPr>
      <w:r w:rsidRPr="002A73F7">
        <w:t>13</w:t>
      </w:r>
      <w:r w:rsidRPr="002A73F7">
        <w:tab/>
      </w:r>
      <w:r w:rsidR="0009611D" w:rsidRPr="002A73F7">
        <w:t>Termination of the IRG-A</w:t>
      </w:r>
      <w:r w:rsidR="0009611D" w:rsidRPr="002A73F7">
        <w:rPr>
          <w:rFonts w:hint="eastAsia"/>
        </w:rPr>
        <w:t>V</w:t>
      </w:r>
      <w:r w:rsidR="0009611D" w:rsidRPr="002A73F7">
        <w:t>A</w:t>
      </w:r>
    </w:p>
    <w:p w:rsidR="0009611D" w:rsidRDefault="0009611D" w:rsidP="002A73F7">
      <w:pPr>
        <w:rPr>
          <w:lang w:eastAsia="zh-CN"/>
        </w:rPr>
      </w:pPr>
      <w:r w:rsidRPr="006D4AF6">
        <w:rPr>
          <w:lang w:eastAsia="zh-CN"/>
        </w:rPr>
        <w:t>The IRG-AVA will continue until the end of the current ITU-T Study Period (2013-2016). It may be extended by mutual approval of the parent groups.</w:t>
      </w:r>
    </w:p>
    <w:p w:rsidR="008304E8" w:rsidRDefault="008304E8" w:rsidP="002A73F7">
      <w:pPr>
        <w:rPr>
          <w:lang w:eastAsia="zh-CN"/>
        </w:rPr>
      </w:pPr>
    </w:p>
    <w:p w:rsidR="002A73F7" w:rsidRPr="00F15390" w:rsidRDefault="002A73F7" w:rsidP="00F15390">
      <w:pPr>
        <w:jc w:val="center"/>
      </w:pPr>
      <w:r w:rsidRPr="00F15390">
        <w:t>_________________</w:t>
      </w:r>
    </w:p>
    <w:sectPr w:rsidR="002A73F7" w:rsidRPr="00F15390" w:rsidSect="009D618F">
      <w:headerReference w:type="default" r:id="rId17"/>
      <w:footerReference w:type="first" r:id="rId18"/>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51" w:rsidRDefault="00F95051">
      <w:r>
        <w:separator/>
      </w:r>
    </w:p>
  </w:endnote>
  <w:endnote w:type="continuationSeparator" w:id="0">
    <w:p w:rsidR="00F95051" w:rsidRDefault="00F9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91" w:rsidRPr="004E0991" w:rsidRDefault="004E0991" w:rsidP="004E099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rsidR="00697D21" w:rsidRPr="004E0991" w:rsidRDefault="00697D21" w:rsidP="004E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51" w:rsidRDefault="00F95051">
      <w:r>
        <w:t>____________________</w:t>
      </w:r>
    </w:p>
  </w:footnote>
  <w:footnote w:type="continuationSeparator" w:id="0">
    <w:p w:rsidR="00F95051" w:rsidRDefault="00F95051">
      <w:r>
        <w:continuationSeparator/>
      </w:r>
    </w:p>
  </w:footnote>
  <w:footnote w:id="1">
    <w:p w:rsidR="0009611D" w:rsidRPr="003B5CE4" w:rsidRDefault="0009611D" w:rsidP="0009611D">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1" w:rsidRDefault="002D646E" w:rsidP="00060952">
    <w:pPr>
      <w:pStyle w:val="Header"/>
    </w:pPr>
    <w:r>
      <w:fldChar w:fldCharType="begin"/>
    </w:r>
    <w:r w:rsidR="00697D21">
      <w:instrText>PAGE</w:instrText>
    </w:r>
    <w:r>
      <w:fldChar w:fldCharType="separate"/>
    </w:r>
    <w:r w:rsidR="00066F44">
      <w:rPr>
        <w:noProof/>
      </w:rPr>
      <w:t>- 5 -</w:t>
    </w:r>
    <w:r>
      <w:fldChar w:fldCharType="end"/>
    </w:r>
  </w:p>
  <w:p w:rsidR="008304E8" w:rsidRDefault="008304E8" w:rsidP="00060952">
    <w:pPr>
      <w:pStyle w:val="Header"/>
    </w:pPr>
  </w:p>
  <w:p w:rsidR="008304E8" w:rsidRDefault="008304E8" w:rsidP="0006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2">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4">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4"/>
  </w:num>
  <w:num w:numId="4">
    <w:abstractNumId w:val="43"/>
  </w:num>
  <w:num w:numId="5">
    <w:abstractNumId w:val="21"/>
  </w:num>
  <w:num w:numId="6">
    <w:abstractNumId w:val="36"/>
  </w:num>
  <w:num w:numId="7">
    <w:abstractNumId w:val="6"/>
  </w:num>
  <w:num w:numId="8">
    <w:abstractNumId w:val="17"/>
  </w:num>
  <w:num w:numId="9">
    <w:abstractNumId w:val="40"/>
  </w:num>
  <w:num w:numId="10">
    <w:abstractNumId w:val="16"/>
  </w:num>
  <w:num w:numId="11">
    <w:abstractNumId w:val="18"/>
  </w:num>
  <w:num w:numId="12">
    <w:abstractNumId w:val="45"/>
  </w:num>
  <w:num w:numId="13">
    <w:abstractNumId w:val="20"/>
  </w:num>
  <w:num w:numId="14">
    <w:abstractNumId w:val="22"/>
  </w:num>
  <w:num w:numId="15">
    <w:abstractNumId w:val="0"/>
  </w:num>
  <w:num w:numId="16">
    <w:abstractNumId w:val="38"/>
  </w:num>
  <w:num w:numId="17">
    <w:abstractNumId w:val="15"/>
  </w:num>
  <w:num w:numId="18">
    <w:abstractNumId w:val="33"/>
  </w:num>
  <w:num w:numId="19">
    <w:abstractNumId w:val="9"/>
  </w:num>
  <w:num w:numId="20">
    <w:abstractNumId w:val="35"/>
  </w:num>
  <w:num w:numId="21">
    <w:abstractNumId w:val="27"/>
  </w:num>
  <w:num w:numId="22">
    <w:abstractNumId w:val="13"/>
  </w:num>
  <w:num w:numId="23">
    <w:abstractNumId w:val="1"/>
  </w:num>
  <w:num w:numId="24">
    <w:abstractNumId w:val="7"/>
  </w:num>
  <w:num w:numId="25">
    <w:abstractNumId w:val="29"/>
  </w:num>
  <w:num w:numId="26">
    <w:abstractNumId w:val="8"/>
  </w:num>
  <w:num w:numId="27">
    <w:abstractNumId w:val="42"/>
  </w:num>
  <w:num w:numId="28">
    <w:abstractNumId w:val="11"/>
  </w:num>
  <w:num w:numId="29">
    <w:abstractNumId w:val="2"/>
  </w:num>
  <w:num w:numId="30">
    <w:abstractNumId w:val="25"/>
  </w:num>
  <w:num w:numId="31">
    <w:abstractNumId w:val="4"/>
  </w:num>
  <w:num w:numId="32">
    <w:abstractNumId w:val="26"/>
  </w:num>
  <w:num w:numId="33">
    <w:abstractNumId w:val="37"/>
  </w:num>
  <w:num w:numId="34">
    <w:abstractNumId w:val="23"/>
  </w:num>
  <w:num w:numId="35">
    <w:abstractNumId w:val="34"/>
  </w:num>
  <w:num w:numId="36">
    <w:abstractNumId w:val="39"/>
  </w:num>
  <w:num w:numId="37">
    <w:abstractNumId w:val="41"/>
  </w:num>
  <w:num w:numId="38">
    <w:abstractNumId w:val="28"/>
  </w:num>
  <w:num w:numId="39">
    <w:abstractNumId w:val="3"/>
  </w:num>
  <w:num w:numId="40">
    <w:abstractNumId w:val="5"/>
  </w:num>
  <w:num w:numId="41">
    <w:abstractNumId w:val="14"/>
  </w:num>
  <w:num w:numId="42">
    <w:abstractNumId w:val="12"/>
  </w:num>
  <w:num w:numId="43">
    <w:abstractNumId w:val="19"/>
  </w:num>
  <w:num w:numId="44">
    <w:abstractNumId w:val="30"/>
  </w:num>
  <w:num w:numId="45">
    <w:abstractNumId w:val="24"/>
  </w:num>
  <w:num w:numId="46">
    <w:abstractNumId w:val="3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513BD"/>
    <w:rsid w:val="00051A63"/>
    <w:rsid w:val="00054630"/>
    <w:rsid w:val="00056AA9"/>
    <w:rsid w:val="00060952"/>
    <w:rsid w:val="00063845"/>
    <w:rsid w:val="00066F44"/>
    <w:rsid w:val="00067ECA"/>
    <w:rsid w:val="00073963"/>
    <w:rsid w:val="0008198D"/>
    <w:rsid w:val="00085D03"/>
    <w:rsid w:val="0009124E"/>
    <w:rsid w:val="00093A03"/>
    <w:rsid w:val="0009611D"/>
    <w:rsid w:val="000A145F"/>
    <w:rsid w:val="000C209B"/>
    <w:rsid w:val="000D0987"/>
    <w:rsid w:val="000D4673"/>
    <w:rsid w:val="000E54E9"/>
    <w:rsid w:val="000F1051"/>
    <w:rsid w:val="000F3D72"/>
    <w:rsid w:val="00125014"/>
    <w:rsid w:val="00125634"/>
    <w:rsid w:val="001259FD"/>
    <w:rsid w:val="00132E06"/>
    <w:rsid w:val="00133444"/>
    <w:rsid w:val="00133B7C"/>
    <w:rsid w:val="001368EB"/>
    <w:rsid w:val="00136A3A"/>
    <w:rsid w:val="001569C6"/>
    <w:rsid w:val="001677A4"/>
    <w:rsid w:val="00167879"/>
    <w:rsid w:val="00170565"/>
    <w:rsid w:val="00174053"/>
    <w:rsid w:val="00175825"/>
    <w:rsid w:val="0019121A"/>
    <w:rsid w:val="001A153B"/>
    <w:rsid w:val="001A2BAA"/>
    <w:rsid w:val="001A508C"/>
    <w:rsid w:val="001D228A"/>
    <w:rsid w:val="001E04B4"/>
    <w:rsid w:val="001F4A2E"/>
    <w:rsid w:val="0020032D"/>
    <w:rsid w:val="002010FE"/>
    <w:rsid w:val="00235DB9"/>
    <w:rsid w:val="002378BD"/>
    <w:rsid w:val="00240C23"/>
    <w:rsid w:val="00242094"/>
    <w:rsid w:val="00252B18"/>
    <w:rsid w:val="002640A2"/>
    <w:rsid w:val="00284516"/>
    <w:rsid w:val="0029191D"/>
    <w:rsid w:val="0029740F"/>
    <w:rsid w:val="002A73F7"/>
    <w:rsid w:val="002A7870"/>
    <w:rsid w:val="002C2A8C"/>
    <w:rsid w:val="002C7B14"/>
    <w:rsid w:val="002D3853"/>
    <w:rsid w:val="002D646E"/>
    <w:rsid w:val="002E257E"/>
    <w:rsid w:val="002E63DC"/>
    <w:rsid w:val="002F22F6"/>
    <w:rsid w:val="002F2E6C"/>
    <w:rsid w:val="002F63A3"/>
    <w:rsid w:val="00300758"/>
    <w:rsid w:val="003102F0"/>
    <w:rsid w:val="0031744E"/>
    <w:rsid w:val="00325F3A"/>
    <w:rsid w:val="00334D0E"/>
    <w:rsid w:val="003520AF"/>
    <w:rsid w:val="003526FB"/>
    <w:rsid w:val="00377F50"/>
    <w:rsid w:val="00386E4E"/>
    <w:rsid w:val="003B03D6"/>
    <w:rsid w:val="003B6294"/>
    <w:rsid w:val="003C1132"/>
    <w:rsid w:val="003C5F63"/>
    <w:rsid w:val="003D2E39"/>
    <w:rsid w:val="003D618E"/>
    <w:rsid w:val="003E620E"/>
    <w:rsid w:val="003F3552"/>
    <w:rsid w:val="0040485D"/>
    <w:rsid w:val="00405CD7"/>
    <w:rsid w:val="00406224"/>
    <w:rsid w:val="00411900"/>
    <w:rsid w:val="00414CBB"/>
    <w:rsid w:val="004259C3"/>
    <w:rsid w:val="00433366"/>
    <w:rsid w:val="004354F0"/>
    <w:rsid w:val="004556D7"/>
    <w:rsid w:val="00463772"/>
    <w:rsid w:val="00480A04"/>
    <w:rsid w:val="00480FAC"/>
    <w:rsid w:val="0048397C"/>
    <w:rsid w:val="004955B5"/>
    <w:rsid w:val="00497175"/>
    <w:rsid w:val="004A1A1D"/>
    <w:rsid w:val="004B3E2D"/>
    <w:rsid w:val="004E0991"/>
    <w:rsid w:val="00506865"/>
    <w:rsid w:val="005209C7"/>
    <w:rsid w:val="00523839"/>
    <w:rsid w:val="00583B87"/>
    <w:rsid w:val="0059537F"/>
    <w:rsid w:val="005A73A6"/>
    <w:rsid w:val="005B3270"/>
    <w:rsid w:val="005B53C7"/>
    <w:rsid w:val="005C7BD2"/>
    <w:rsid w:val="005E175B"/>
    <w:rsid w:val="005E4C60"/>
    <w:rsid w:val="005E54DF"/>
    <w:rsid w:val="005F4AB7"/>
    <w:rsid w:val="005F5D50"/>
    <w:rsid w:val="005F6B35"/>
    <w:rsid w:val="00604878"/>
    <w:rsid w:val="00606047"/>
    <w:rsid w:val="00611736"/>
    <w:rsid w:val="0063589E"/>
    <w:rsid w:val="0064149D"/>
    <w:rsid w:val="00646117"/>
    <w:rsid w:val="00647984"/>
    <w:rsid w:val="00650071"/>
    <w:rsid w:val="00651FD4"/>
    <w:rsid w:val="00690FA5"/>
    <w:rsid w:val="00697500"/>
    <w:rsid w:val="00697D21"/>
    <w:rsid w:val="006A10E7"/>
    <w:rsid w:val="006B3D29"/>
    <w:rsid w:val="006B7D20"/>
    <w:rsid w:val="006B7E42"/>
    <w:rsid w:val="006C0802"/>
    <w:rsid w:val="006C48F9"/>
    <w:rsid w:val="006D279E"/>
    <w:rsid w:val="006D2FDF"/>
    <w:rsid w:val="006D4AF6"/>
    <w:rsid w:val="006E14BC"/>
    <w:rsid w:val="006E2381"/>
    <w:rsid w:val="006E43F1"/>
    <w:rsid w:val="006E66FC"/>
    <w:rsid w:val="006E7C16"/>
    <w:rsid w:val="006F1ABE"/>
    <w:rsid w:val="00703064"/>
    <w:rsid w:val="00703612"/>
    <w:rsid w:val="00704936"/>
    <w:rsid w:val="007125F7"/>
    <w:rsid w:val="007212FB"/>
    <w:rsid w:val="007222C9"/>
    <w:rsid w:val="007328B1"/>
    <w:rsid w:val="0073603C"/>
    <w:rsid w:val="00760405"/>
    <w:rsid w:val="0078244B"/>
    <w:rsid w:val="00785658"/>
    <w:rsid w:val="00787F7B"/>
    <w:rsid w:val="007A0468"/>
    <w:rsid w:val="007A3FA7"/>
    <w:rsid w:val="007A7287"/>
    <w:rsid w:val="007A7444"/>
    <w:rsid w:val="007B3E92"/>
    <w:rsid w:val="007B5425"/>
    <w:rsid w:val="007D3E49"/>
    <w:rsid w:val="00801170"/>
    <w:rsid w:val="008304E8"/>
    <w:rsid w:val="00833B55"/>
    <w:rsid w:val="00837DF6"/>
    <w:rsid w:val="008634B7"/>
    <w:rsid w:val="0087225E"/>
    <w:rsid w:val="008741D3"/>
    <w:rsid w:val="008762A1"/>
    <w:rsid w:val="00877EA3"/>
    <w:rsid w:val="008804F6"/>
    <w:rsid w:val="00887453"/>
    <w:rsid w:val="008900D5"/>
    <w:rsid w:val="0089011D"/>
    <w:rsid w:val="00891922"/>
    <w:rsid w:val="00891F71"/>
    <w:rsid w:val="008A53D6"/>
    <w:rsid w:val="008B0DBC"/>
    <w:rsid w:val="008B5F31"/>
    <w:rsid w:val="008B7140"/>
    <w:rsid w:val="008D10C6"/>
    <w:rsid w:val="008F18FA"/>
    <w:rsid w:val="00910089"/>
    <w:rsid w:val="009100AB"/>
    <w:rsid w:val="009105A0"/>
    <w:rsid w:val="00910799"/>
    <w:rsid w:val="009339A5"/>
    <w:rsid w:val="009560C7"/>
    <w:rsid w:val="00963579"/>
    <w:rsid w:val="00964337"/>
    <w:rsid w:val="009822E1"/>
    <w:rsid w:val="00987C72"/>
    <w:rsid w:val="009A22F8"/>
    <w:rsid w:val="009D618F"/>
    <w:rsid w:val="009E1168"/>
    <w:rsid w:val="009E41DE"/>
    <w:rsid w:val="00A11744"/>
    <w:rsid w:val="00A42838"/>
    <w:rsid w:val="00A468FE"/>
    <w:rsid w:val="00A5282C"/>
    <w:rsid w:val="00A55116"/>
    <w:rsid w:val="00A661B0"/>
    <w:rsid w:val="00A74919"/>
    <w:rsid w:val="00A82C84"/>
    <w:rsid w:val="00A847F3"/>
    <w:rsid w:val="00A870FA"/>
    <w:rsid w:val="00AA4AEF"/>
    <w:rsid w:val="00AB391D"/>
    <w:rsid w:val="00AC3528"/>
    <w:rsid w:val="00AD3CCC"/>
    <w:rsid w:val="00AE1F2D"/>
    <w:rsid w:val="00AE6D52"/>
    <w:rsid w:val="00AF037E"/>
    <w:rsid w:val="00AF2D52"/>
    <w:rsid w:val="00B05483"/>
    <w:rsid w:val="00B12825"/>
    <w:rsid w:val="00B260F8"/>
    <w:rsid w:val="00B37274"/>
    <w:rsid w:val="00B404FD"/>
    <w:rsid w:val="00B43C45"/>
    <w:rsid w:val="00B51197"/>
    <w:rsid w:val="00B529FF"/>
    <w:rsid w:val="00B6199C"/>
    <w:rsid w:val="00B65895"/>
    <w:rsid w:val="00B70CBC"/>
    <w:rsid w:val="00B865AE"/>
    <w:rsid w:val="00B877D7"/>
    <w:rsid w:val="00B91A6F"/>
    <w:rsid w:val="00B94E81"/>
    <w:rsid w:val="00B96400"/>
    <w:rsid w:val="00BB173B"/>
    <w:rsid w:val="00BC2315"/>
    <w:rsid w:val="00BC5B49"/>
    <w:rsid w:val="00BF484A"/>
    <w:rsid w:val="00C00057"/>
    <w:rsid w:val="00C14C4F"/>
    <w:rsid w:val="00C30E04"/>
    <w:rsid w:val="00C32450"/>
    <w:rsid w:val="00C3256E"/>
    <w:rsid w:val="00C6049E"/>
    <w:rsid w:val="00C60E22"/>
    <w:rsid w:val="00C7740C"/>
    <w:rsid w:val="00C90A08"/>
    <w:rsid w:val="00C91CD0"/>
    <w:rsid w:val="00CB45B6"/>
    <w:rsid w:val="00CB6C04"/>
    <w:rsid w:val="00CC14AD"/>
    <w:rsid w:val="00CC1937"/>
    <w:rsid w:val="00CD595E"/>
    <w:rsid w:val="00CD79C5"/>
    <w:rsid w:val="00CF1C60"/>
    <w:rsid w:val="00D0335E"/>
    <w:rsid w:val="00D061A1"/>
    <w:rsid w:val="00D14E0E"/>
    <w:rsid w:val="00D20EE6"/>
    <w:rsid w:val="00D25AFE"/>
    <w:rsid w:val="00D25F11"/>
    <w:rsid w:val="00D27786"/>
    <w:rsid w:val="00D46AE2"/>
    <w:rsid w:val="00D50E3C"/>
    <w:rsid w:val="00D550B8"/>
    <w:rsid w:val="00D5717A"/>
    <w:rsid w:val="00D64B8E"/>
    <w:rsid w:val="00D76491"/>
    <w:rsid w:val="00D8717A"/>
    <w:rsid w:val="00DA11D1"/>
    <w:rsid w:val="00DC67C4"/>
    <w:rsid w:val="00DE5E88"/>
    <w:rsid w:val="00E15681"/>
    <w:rsid w:val="00E175F0"/>
    <w:rsid w:val="00E30B45"/>
    <w:rsid w:val="00E31150"/>
    <w:rsid w:val="00E37103"/>
    <w:rsid w:val="00E44878"/>
    <w:rsid w:val="00E4666B"/>
    <w:rsid w:val="00E479BE"/>
    <w:rsid w:val="00E53F86"/>
    <w:rsid w:val="00E56567"/>
    <w:rsid w:val="00E575E4"/>
    <w:rsid w:val="00E70A7F"/>
    <w:rsid w:val="00E7508A"/>
    <w:rsid w:val="00E83E20"/>
    <w:rsid w:val="00E97459"/>
    <w:rsid w:val="00EB051A"/>
    <w:rsid w:val="00EB137D"/>
    <w:rsid w:val="00EB2C29"/>
    <w:rsid w:val="00EB56D8"/>
    <w:rsid w:val="00EC6A5F"/>
    <w:rsid w:val="00ED6CCA"/>
    <w:rsid w:val="00ED6F5A"/>
    <w:rsid w:val="00EE186F"/>
    <w:rsid w:val="00EE6D69"/>
    <w:rsid w:val="00EF0C1A"/>
    <w:rsid w:val="00F00ACF"/>
    <w:rsid w:val="00F02FEB"/>
    <w:rsid w:val="00F047DB"/>
    <w:rsid w:val="00F0530B"/>
    <w:rsid w:val="00F054D4"/>
    <w:rsid w:val="00F141EA"/>
    <w:rsid w:val="00F147C6"/>
    <w:rsid w:val="00F15390"/>
    <w:rsid w:val="00F2093B"/>
    <w:rsid w:val="00F3043C"/>
    <w:rsid w:val="00F52ECA"/>
    <w:rsid w:val="00F603DF"/>
    <w:rsid w:val="00F64376"/>
    <w:rsid w:val="00F746EA"/>
    <w:rsid w:val="00F92A3C"/>
    <w:rsid w:val="00F95051"/>
    <w:rsid w:val="00FA01B3"/>
    <w:rsid w:val="00FB2F6A"/>
    <w:rsid w:val="00FB48C8"/>
    <w:rsid w:val="00FB4C63"/>
    <w:rsid w:val="00FC6FF4"/>
    <w:rsid w:val="00FD0B61"/>
    <w:rsid w:val="00FD2CD0"/>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TSB-CIR-0066/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int/en/irg/av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go/ITU-T/RE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5" Type="http://schemas.openxmlformats.org/officeDocument/2006/relationships/settings" Target="settings.xml"/><Relationship Id="rId15" Type="http://schemas.openxmlformats.org/officeDocument/2006/relationships/hyperlink" Target="http://itu.int/en/ITU-R/conferences/rag/Documents/SUMOFCONCLFINAL.docx" TargetMode="External"/><Relationship Id="rId10" Type="http://schemas.openxmlformats.org/officeDocument/2006/relationships/hyperlink" Target="mailto:tsbsg16@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tsbreg@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3BDD6229-D6C0-4BE9-BBDD-FE8454BD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TotalTime>
  <Pages>5</Pages>
  <Words>1728</Words>
  <Characters>9853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11558</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2013-12-17T13:43:00Z</cp:lastPrinted>
  <dcterms:created xsi:type="dcterms:W3CDTF">2013-12-18T14:44:00Z</dcterms:created>
  <dcterms:modified xsi:type="dcterms:W3CDTF">2013-12-18T14:44:00Z</dcterms:modified>
</cp:coreProperties>
</file>