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FF540A" w:rsidTr="00303D62">
        <w:trPr>
          <w:cantSplit/>
        </w:trPr>
        <w:tc>
          <w:tcPr>
            <w:tcW w:w="6426" w:type="dxa"/>
            <w:vAlign w:val="center"/>
          </w:tcPr>
          <w:p w:rsidR="00C34772" w:rsidRPr="00FF540A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F540A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FF540A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FF540A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FF540A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F540A" w:rsidTr="00303D62">
        <w:trPr>
          <w:cantSplit/>
        </w:trPr>
        <w:tc>
          <w:tcPr>
            <w:tcW w:w="6426" w:type="dxa"/>
            <w:vAlign w:val="center"/>
          </w:tcPr>
          <w:p w:rsidR="00C34772" w:rsidRPr="00FF540A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FF540A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FF540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FF540A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FF540A">
        <w:tab/>
        <w:t xml:space="preserve">Ginebra, </w:t>
      </w:r>
      <w:r w:rsidR="008474C9" w:rsidRPr="00FF540A">
        <w:t>5 de noviembre de 2013</w:t>
      </w:r>
    </w:p>
    <w:p w:rsidR="00C34772" w:rsidRPr="00FF540A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FF540A" w:rsidTr="00303D62">
        <w:trPr>
          <w:cantSplit/>
          <w:trHeight w:val="340"/>
        </w:trPr>
        <w:tc>
          <w:tcPr>
            <w:tcW w:w="993" w:type="dxa"/>
          </w:tcPr>
          <w:p w:rsidR="00C34772" w:rsidRPr="00FF540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F540A">
              <w:rPr>
                <w:sz w:val="22"/>
              </w:rPr>
              <w:t>Ref.:</w:t>
            </w:r>
          </w:p>
          <w:p w:rsidR="00C34772" w:rsidRPr="00FF540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FF540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FF540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F540A">
              <w:rPr>
                <w:sz w:val="22"/>
              </w:rPr>
              <w:t>Tel.:</w:t>
            </w:r>
            <w:r w:rsidRPr="00FF540A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F77FD1" w:rsidRDefault="008474C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F77FD1">
              <w:rPr>
                <w:b/>
                <w:lang w:val="en-US"/>
              </w:rPr>
              <w:t>Circular TSB 61</w:t>
            </w:r>
          </w:p>
          <w:p w:rsidR="00C34772" w:rsidRPr="00F77FD1" w:rsidRDefault="008474C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F77FD1">
              <w:rPr>
                <w:lang w:val="en-US"/>
              </w:rPr>
              <w:t>TSB Workshops/A.N.</w:t>
            </w:r>
          </w:p>
          <w:p w:rsidR="00C34772" w:rsidRPr="00F77FD1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FF540A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FF540A">
              <w:t>+41 22 730</w:t>
            </w:r>
            <w:r w:rsidR="008474C9" w:rsidRPr="00FF540A">
              <w:t xml:space="preserve"> 5780</w:t>
            </w:r>
            <w:r w:rsidRPr="00FF540A">
              <w:br/>
              <w:t>+41 22 730 5853</w:t>
            </w:r>
          </w:p>
        </w:tc>
        <w:tc>
          <w:tcPr>
            <w:tcW w:w="5329" w:type="dxa"/>
          </w:tcPr>
          <w:p w:rsidR="00C34772" w:rsidRPr="00FF540A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FF540A">
              <w:t>-</w:t>
            </w:r>
            <w:r w:rsidRPr="00FF540A">
              <w:tab/>
              <w:t>A las Administraciones de los Estados Miembros de la Unión</w:t>
            </w:r>
            <w:r w:rsidR="002C0C1A" w:rsidRPr="00FF540A">
              <w:t>;</w:t>
            </w:r>
          </w:p>
          <w:p w:rsidR="008474C9" w:rsidRPr="00FF540A" w:rsidRDefault="00871157" w:rsidP="008474C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F540A">
              <w:t xml:space="preserve"> </w:t>
            </w:r>
            <w:r w:rsidR="008474C9" w:rsidRPr="00FF540A">
              <w:t>-</w:t>
            </w:r>
            <w:r w:rsidR="008474C9" w:rsidRPr="00FF540A">
              <w:tab/>
            </w:r>
            <w:r w:rsidRPr="00FF540A">
              <w:t xml:space="preserve"> </w:t>
            </w:r>
            <w:r w:rsidR="008474C9" w:rsidRPr="00FF540A">
              <w:t>A los Miembros del Sector UIT</w:t>
            </w:r>
            <w:r w:rsidR="008474C9" w:rsidRPr="00FF540A">
              <w:noBreakHyphen/>
              <w:t>T;</w:t>
            </w:r>
          </w:p>
          <w:p w:rsidR="008474C9" w:rsidRPr="00FF540A" w:rsidRDefault="00871157" w:rsidP="008474C9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F540A">
              <w:t xml:space="preserve"> </w:t>
            </w:r>
            <w:r w:rsidR="008474C9" w:rsidRPr="00FF540A">
              <w:t>-</w:t>
            </w:r>
            <w:r w:rsidR="008474C9" w:rsidRPr="00FF540A">
              <w:tab/>
            </w:r>
            <w:r w:rsidRPr="00FF540A">
              <w:t xml:space="preserve"> </w:t>
            </w:r>
            <w:r w:rsidR="008474C9" w:rsidRPr="00FF540A">
              <w:t>A los Asociados del UIT</w:t>
            </w:r>
            <w:r w:rsidR="008474C9" w:rsidRPr="00FF540A">
              <w:noBreakHyphen/>
              <w:t>T;</w:t>
            </w:r>
          </w:p>
          <w:p w:rsidR="008474C9" w:rsidRPr="00FF540A" w:rsidRDefault="008474C9" w:rsidP="008474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FF540A">
              <w:t>-</w:t>
            </w:r>
            <w:r w:rsidRPr="00FF540A">
              <w:tab/>
              <w:t>A las Instituciones Académicas del UIT-T</w:t>
            </w:r>
          </w:p>
        </w:tc>
      </w:tr>
      <w:tr w:rsidR="00C34772" w:rsidRPr="00FF540A" w:rsidTr="00303D62">
        <w:trPr>
          <w:cantSplit/>
        </w:trPr>
        <w:tc>
          <w:tcPr>
            <w:tcW w:w="993" w:type="dxa"/>
          </w:tcPr>
          <w:p w:rsidR="00C34772" w:rsidRPr="00FF540A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F540A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FF540A" w:rsidRDefault="001E75A1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474C9" w:rsidRPr="00FF540A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8474C9" w:rsidRPr="00FF540A" w:rsidRDefault="008474C9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Pr="00FF540A" w:rsidRDefault="00C34772" w:rsidP="00303D62">
            <w:pPr>
              <w:tabs>
                <w:tab w:val="left" w:pos="4111"/>
              </w:tabs>
              <w:spacing w:before="0"/>
            </w:pPr>
            <w:r w:rsidRPr="00FF540A">
              <w:rPr>
                <w:b/>
              </w:rPr>
              <w:t>Copia</w:t>
            </w:r>
            <w:r w:rsidRPr="00FF540A">
              <w:t>:</w:t>
            </w:r>
          </w:p>
          <w:p w:rsidR="00C34772" w:rsidRPr="00FF540A" w:rsidRDefault="00871157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FF540A">
              <w:t xml:space="preserve"> </w:t>
            </w:r>
            <w:r w:rsidR="00654874" w:rsidRPr="00FF540A">
              <w:t>-</w:t>
            </w:r>
            <w:r w:rsidR="00654874" w:rsidRPr="00FF540A">
              <w:tab/>
              <w:t>A los</w:t>
            </w:r>
            <w:r w:rsidR="00C34772" w:rsidRPr="00FF540A">
              <w:t xml:space="preserve"> Presidente</w:t>
            </w:r>
            <w:r w:rsidR="00654874" w:rsidRPr="00FF540A">
              <w:t xml:space="preserve">s y </w:t>
            </w:r>
            <w:r w:rsidR="00C34772" w:rsidRPr="00FF540A">
              <w:t>Vicepresidentes de la</w:t>
            </w:r>
            <w:r w:rsidR="00654874" w:rsidRPr="00FF540A">
              <w:t>s</w:t>
            </w:r>
            <w:r w:rsidR="00C34772" w:rsidRPr="00FF540A">
              <w:br/>
            </w:r>
            <w:r w:rsidR="00654874" w:rsidRPr="00FF540A">
              <w:t>Comisiones</w:t>
            </w:r>
            <w:r w:rsidR="008474C9" w:rsidRPr="00FF540A">
              <w:t xml:space="preserve"> de Estudio del UIT-T</w:t>
            </w:r>
            <w:r w:rsidR="00C34772" w:rsidRPr="00FF540A">
              <w:t>;</w:t>
            </w:r>
          </w:p>
          <w:p w:rsidR="00C34772" w:rsidRPr="00FF540A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FF540A">
              <w:t>-</w:t>
            </w:r>
            <w:r w:rsidRPr="00FF540A">
              <w:tab/>
              <w:t>Al Director de la Oficina de Desarrollo de las Telecomunicaciones;</w:t>
            </w:r>
          </w:p>
          <w:p w:rsidR="00C34772" w:rsidRPr="00FF540A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FF540A">
              <w:t>-</w:t>
            </w:r>
            <w:r w:rsidRPr="00FF540A">
              <w:tab/>
              <w:t>Al Director de la Oficina de Radiocomunicaciones</w:t>
            </w:r>
            <w:r w:rsidR="0056507C" w:rsidRPr="00FF540A">
              <w:t>;</w:t>
            </w:r>
          </w:p>
          <w:p w:rsidR="0056507C" w:rsidRPr="00FF540A" w:rsidRDefault="00F77FD1" w:rsidP="005650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J</w:t>
            </w:r>
            <w:r w:rsidR="0056507C" w:rsidRPr="00FF540A">
              <w:t>efe de la Oficina de zona de la UIT para los países de la CEI, Moscú;</w:t>
            </w:r>
          </w:p>
          <w:p w:rsidR="008474C9" w:rsidRPr="00FF540A" w:rsidRDefault="00654874" w:rsidP="008474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FF540A">
              <w:t>-</w:t>
            </w:r>
            <w:r w:rsidRPr="00FF540A">
              <w:tab/>
              <w:t>A</w:t>
            </w:r>
            <w:r w:rsidR="008474C9" w:rsidRPr="00FF540A">
              <w:t xml:space="preserve"> la Misión Permanente de Rusia en </w:t>
            </w:r>
            <w:r w:rsidR="002422FD" w:rsidRPr="00FF540A">
              <w:t>Ginebra</w:t>
            </w:r>
          </w:p>
        </w:tc>
      </w:tr>
    </w:tbl>
    <w:p w:rsidR="00C34772" w:rsidRPr="00FF540A" w:rsidRDefault="00C34772" w:rsidP="00303D62"/>
    <w:tbl>
      <w:tblPr>
        <w:tblW w:w="10079" w:type="dxa"/>
        <w:tblInd w:w="-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"/>
        <w:gridCol w:w="993"/>
        <w:gridCol w:w="69"/>
        <w:gridCol w:w="4367"/>
        <w:gridCol w:w="3713"/>
        <w:gridCol w:w="723"/>
      </w:tblGrid>
      <w:tr w:rsidR="00630BF2" w:rsidRPr="00FF540A" w:rsidTr="00630BF2">
        <w:trPr>
          <w:gridBefore w:val="1"/>
          <w:wBefore w:w="214" w:type="dxa"/>
          <w:cantSplit/>
        </w:trPr>
        <w:tc>
          <w:tcPr>
            <w:tcW w:w="993" w:type="dxa"/>
          </w:tcPr>
          <w:p w:rsidR="00630BF2" w:rsidRPr="00FF540A" w:rsidRDefault="00630BF2" w:rsidP="00C81120">
            <w:pPr>
              <w:spacing w:before="10"/>
            </w:pPr>
          </w:p>
        </w:tc>
        <w:tc>
          <w:tcPr>
            <w:tcW w:w="4436" w:type="dxa"/>
            <w:gridSpan w:val="2"/>
          </w:tcPr>
          <w:p w:rsidR="00630BF2" w:rsidRPr="00FF540A" w:rsidRDefault="00630BF2" w:rsidP="00C81120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  <w:gridSpan w:val="2"/>
          </w:tcPr>
          <w:p w:rsidR="00630BF2" w:rsidRPr="00FF540A" w:rsidRDefault="00630BF2" w:rsidP="00C811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630BF2" w:rsidRPr="00FF540A" w:rsidTr="00630BF2">
        <w:tblPrEx>
          <w:tblCellMar>
            <w:left w:w="107" w:type="dxa"/>
            <w:right w:w="107" w:type="dxa"/>
          </w:tblCellMar>
        </w:tblPrEx>
        <w:trPr>
          <w:gridAfter w:val="1"/>
          <w:wAfter w:w="723" w:type="dxa"/>
          <w:cantSplit/>
        </w:trPr>
        <w:tc>
          <w:tcPr>
            <w:tcW w:w="1276" w:type="dxa"/>
            <w:gridSpan w:val="3"/>
          </w:tcPr>
          <w:p w:rsidR="00630BF2" w:rsidRPr="00FF540A" w:rsidRDefault="00630BF2" w:rsidP="00C81120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F540A">
              <w:rPr>
                <w:b/>
                <w:bCs/>
              </w:rPr>
              <w:t>Asunto:</w:t>
            </w:r>
          </w:p>
        </w:tc>
        <w:tc>
          <w:tcPr>
            <w:tcW w:w="8080" w:type="dxa"/>
            <w:gridSpan w:val="2"/>
          </w:tcPr>
          <w:p w:rsidR="00630BF2" w:rsidRPr="00FF540A" w:rsidRDefault="00E27118" w:rsidP="00C81120">
            <w:pPr>
              <w:tabs>
                <w:tab w:val="left" w:pos="4111"/>
              </w:tabs>
              <w:spacing w:before="0"/>
              <w:ind w:right="28"/>
            </w:pPr>
            <w:r w:rsidRPr="00FF540A">
              <w:rPr>
                <w:b/>
                <w:bCs/>
              </w:rPr>
              <w:t>Taller de la UIT sobre "</w:t>
            </w:r>
            <w:r w:rsidR="00630BF2" w:rsidRPr="00FF540A">
              <w:rPr>
                <w:b/>
                <w:bCs/>
              </w:rPr>
              <w:t>Productos falsificados: Las TIC como parte de la solución</w:t>
            </w:r>
            <w:r w:rsidRPr="00FF540A">
              <w:rPr>
                <w:b/>
                <w:bCs/>
              </w:rPr>
              <w:t>"</w:t>
            </w:r>
            <w:r w:rsidR="00630BF2" w:rsidRPr="00FF540A">
              <w:rPr>
                <w:b/>
                <w:bCs/>
              </w:rPr>
              <w:t xml:space="preserve"> (Kiev, Ucrania, 28-29 de abril de 2014)</w:t>
            </w:r>
          </w:p>
        </w:tc>
      </w:tr>
    </w:tbl>
    <w:p w:rsidR="00C34772" w:rsidRPr="00FF540A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FF540A">
        <w:t>Muy Señor mío:</w:t>
      </w:r>
    </w:p>
    <w:p w:rsidR="00C34772" w:rsidRPr="00FF540A" w:rsidRDefault="00C34772" w:rsidP="002D50D4">
      <w:pPr>
        <w:pStyle w:val="Normalaftertitle"/>
      </w:pPr>
      <w:r w:rsidRPr="00FF540A">
        <w:rPr>
          <w:bCs/>
        </w:rPr>
        <w:t>1</w:t>
      </w:r>
      <w:r w:rsidRPr="00FF540A">
        <w:tab/>
      </w:r>
      <w:r w:rsidR="002E475A" w:rsidRPr="00FF540A">
        <w:t>Deseo info</w:t>
      </w:r>
      <w:r w:rsidR="002D50D4" w:rsidRPr="00FF540A">
        <w:t>rmarle de que la Unió</w:t>
      </w:r>
      <w:r w:rsidR="002E475A" w:rsidRPr="00FF540A">
        <w:t>n Internacional</w:t>
      </w:r>
      <w:r w:rsidR="002D50D4" w:rsidRPr="00FF540A">
        <w:t xml:space="preserve"> de Telecomunicaciones (UIT) organiza un taller sobre </w:t>
      </w:r>
      <w:r w:rsidR="002D50D4" w:rsidRPr="00FF540A">
        <w:rPr>
          <w:b/>
          <w:bCs/>
        </w:rPr>
        <w:t>"</w:t>
      </w:r>
      <w:r w:rsidR="002E475A" w:rsidRPr="00FF540A">
        <w:rPr>
          <w:b/>
          <w:bCs/>
        </w:rPr>
        <w:t xml:space="preserve">Productos falsificados: Las TIC como </w:t>
      </w:r>
      <w:r w:rsidR="002D50D4" w:rsidRPr="00FF540A">
        <w:rPr>
          <w:b/>
          <w:bCs/>
        </w:rPr>
        <w:t>parte de la solución"</w:t>
      </w:r>
      <w:r w:rsidR="002E475A" w:rsidRPr="00FF540A">
        <w:t xml:space="preserve"> los días 28 y 29 de abril </w:t>
      </w:r>
      <w:r w:rsidR="00B46D97">
        <w:t xml:space="preserve">de </w:t>
      </w:r>
      <w:r w:rsidR="002E475A" w:rsidRPr="00FF540A">
        <w:t xml:space="preserve">2014. Este evento </w:t>
      </w:r>
      <w:r w:rsidR="002D50D4" w:rsidRPr="00FF540A">
        <w:t>se celebrará en</w:t>
      </w:r>
      <w:r w:rsidR="002E475A" w:rsidRPr="00FF540A">
        <w:t xml:space="preserve"> el </w:t>
      </w:r>
      <w:r w:rsidR="002D50D4" w:rsidRPr="00FF540A">
        <w:t>Centro Nacional de Frecuencias R</w:t>
      </w:r>
      <w:r w:rsidR="002E475A" w:rsidRPr="00FF540A">
        <w:t>adioeléc</w:t>
      </w:r>
      <w:r w:rsidR="002D50D4" w:rsidRPr="00FF540A">
        <w:t>tricas (UCRF), en Kiev, Ucrania, con el apoyo de la Administració</w:t>
      </w:r>
      <w:r w:rsidR="002E475A" w:rsidRPr="00FF540A">
        <w:t>n de Ucrania.</w:t>
      </w:r>
    </w:p>
    <w:p w:rsidR="002E475A" w:rsidRPr="00FF540A" w:rsidRDefault="002E475A" w:rsidP="002E475A">
      <w:r w:rsidRPr="00FF540A">
        <w:t>Este taller se ha organizado con arregl</w:t>
      </w:r>
      <w:r w:rsidR="002D50D4" w:rsidRPr="00FF540A">
        <w:t>o a una decisión de la Resolución 177 de la PP-10 que encarga "</w:t>
      </w:r>
      <w:r w:rsidR="002D50D4" w:rsidRPr="00FF540A">
        <w:rPr>
          <w:i/>
          <w:iCs/>
        </w:rPr>
        <w:t>al D</w:t>
      </w:r>
      <w:r w:rsidRPr="00FF540A">
        <w:rPr>
          <w:i/>
          <w:iCs/>
        </w:rPr>
        <w:t>irector de la TSB que, en estrecha colaboración con el Director de la BDT y la BR</w:t>
      </w:r>
      <w:r w:rsidR="002D50D4" w:rsidRPr="00FF540A">
        <w:rPr>
          <w:i/>
          <w:iCs/>
        </w:rPr>
        <w:t>,</w:t>
      </w:r>
      <w:r w:rsidRPr="00FF540A">
        <w:rPr>
          <w:i/>
          <w:iCs/>
        </w:rPr>
        <w:t xml:space="preserve"> pr</w:t>
      </w:r>
      <w:r w:rsidR="002D50D4" w:rsidRPr="00FF540A">
        <w:rPr>
          <w:i/>
          <w:iCs/>
        </w:rPr>
        <w:t>este asistencia a los Estados Miembros par</w:t>
      </w:r>
      <w:r w:rsidRPr="00FF540A">
        <w:rPr>
          <w:i/>
          <w:iCs/>
        </w:rPr>
        <w:t>a disipar sus inquietudes con resp</w:t>
      </w:r>
      <w:r w:rsidR="002D50D4" w:rsidRPr="00FF540A">
        <w:rPr>
          <w:i/>
          <w:iCs/>
        </w:rPr>
        <w:t>ecto a los equipos falsificados</w:t>
      </w:r>
      <w:r w:rsidR="002D50D4" w:rsidRPr="00FF540A">
        <w:t>"</w:t>
      </w:r>
      <w:r w:rsidR="008E3AA5" w:rsidRPr="00FF540A">
        <w:t>. La CE</w:t>
      </w:r>
      <w:r w:rsidR="007A3CB1">
        <w:t xml:space="preserve"> </w:t>
      </w:r>
      <w:r w:rsidR="002D50D4" w:rsidRPr="00FF540A">
        <w:t>11 del UIT-T está</w:t>
      </w:r>
      <w:r w:rsidRPr="00FF540A">
        <w:t xml:space="preserve"> estudiando lo</w:t>
      </w:r>
      <w:r w:rsidR="009C660F" w:rsidRPr="00FF540A">
        <w:t>s</w:t>
      </w:r>
      <w:r w:rsidRPr="00FF540A">
        <w:t xml:space="preserve"> temas de falsificación en el UIT-T y alienta el intercambi</w:t>
      </w:r>
      <w:r w:rsidR="002D50D4" w:rsidRPr="00FF540A">
        <w:t>o de informació</w:t>
      </w:r>
      <w:r w:rsidRPr="00FF540A">
        <w:t xml:space="preserve">n, experiencia y opiniones sobre este tema de acuerdo con el </w:t>
      </w:r>
      <w:r w:rsidR="009C660F" w:rsidRPr="00FF540A">
        <w:rPr>
          <w:u w:val="single"/>
        </w:rPr>
        <w:t>P</w:t>
      </w:r>
      <w:r w:rsidRPr="00FF540A">
        <w:rPr>
          <w:u w:val="single"/>
        </w:rPr>
        <w:t>lan de acción de la CE</w:t>
      </w:r>
      <w:r w:rsidR="007A3CB1">
        <w:rPr>
          <w:u w:val="single"/>
        </w:rPr>
        <w:t xml:space="preserve"> </w:t>
      </w:r>
      <w:r w:rsidRPr="00FF540A">
        <w:rPr>
          <w:u w:val="single"/>
        </w:rPr>
        <w:t>11.</w:t>
      </w:r>
    </w:p>
    <w:p w:rsidR="002E475A" w:rsidRPr="00FF540A" w:rsidRDefault="002D50D4" w:rsidP="002E475A">
      <w:r w:rsidRPr="00FF540A">
        <w:t>El taller dará</w:t>
      </w:r>
      <w:r w:rsidR="002E475A" w:rsidRPr="00FF540A">
        <w:t xml:space="preserve"> comienzo a las 09.30 horas y la inscripción de los part</w:t>
      </w:r>
      <w:r w:rsidR="00B46D97">
        <w:t>icipantes se abrirá a las 08.30 </w:t>
      </w:r>
      <w:r w:rsidR="002E475A" w:rsidRPr="00FF540A">
        <w:t>horas.</w:t>
      </w:r>
    </w:p>
    <w:p w:rsidR="00C34772" w:rsidRPr="00FF540A" w:rsidRDefault="00C34772" w:rsidP="006E78E1">
      <w:r w:rsidRPr="00FF540A">
        <w:rPr>
          <w:bCs/>
        </w:rPr>
        <w:t>2</w:t>
      </w:r>
      <w:r w:rsidRPr="00FF540A">
        <w:tab/>
      </w:r>
      <w:r w:rsidR="006E78E1" w:rsidRPr="00FF540A">
        <w:t>El taller se celebrará en inglés y ruso con interpretación simultánea entre estos dos idiomas.</w:t>
      </w:r>
    </w:p>
    <w:p w:rsidR="00C34772" w:rsidRPr="00FF540A" w:rsidRDefault="00C34772" w:rsidP="001301B4">
      <w:r w:rsidRPr="00FF540A">
        <w:rPr>
          <w:bCs/>
        </w:rPr>
        <w:t>3</w:t>
      </w:r>
      <w:r w:rsidRPr="00FF540A">
        <w:tab/>
      </w:r>
      <w:r w:rsidR="001301B4" w:rsidRPr="00FF540A"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</w:t>
      </w:r>
      <w:r w:rsidR="00B46D97">
        <w:t>ación en el t</w:t>
      </w:r>
      <w:r w:rsidR="00CE0B2D" w:rsidRPr="00FF540A">
        <w:t>aller es gratuita.</w:t>
      </w:r>
    </w:p>
    <w:p w:rsidR="00C34772" w:rsidRPr="00FF540A" w:rsidRDefault="00C34772" w:rsidP="009653A0">
      <w:r w:rsidRPr="00FF540A">
        <w:rPr>
          <w:bCs/>
        </w:rPr>
        <w:br w:type="page"/>
      </w:r>
      <w:r w:rsidRPr="00FF540A">
        <w:rPr>
          <w:bCs/>
        </w:rPr>
        <w:lastRenderedPageBreak/>
        <w:t>4</w:t>
      </w:r>
      <w:r w:rsidRPr="00FF540A">
        <w:tab/>
      </w:r>
      <w:r w:rsidR="009653A0" w:rsidRPr="00FF540A">
        <w:t>En la actualidad, la falsificación de productos de las TIC se considera un problema que está aumentando en todo el mundo y tiene una influencia muy negativa en todos los protagonistas de las TIC (vendedores, gobiernos, operadores, clientes). Para disminuir las consecuencias indeseables de los dispositivos móviles falsificados</w:t>
      </w:r>
      <w:r w:rsidR="00994FF5" w:rsidRPr="00FF540A">
        <w:t>,</w:t>
      </w:r>
      <w:r w:rsidR="009653A0" w:rsidRPr="00FF540A">
        <w:t xml:space="preserve"> algunos países ya han lanzado sus propios sistemas en su mercado (por ejemplo, Ucrania, India, Kenia, </w:t>
      </w:r>
      <w:r w:rsidR="00FF540A" w:rsidRPr="00FF540A">
        <w:t>Turquía</w:t>
      </w:r>
      <w:r w:rsidR="009653A0" w:rsidRPr="00FF540A">
        <w:t xml:space="preserve">, </w:t>
      </w:r>
      <w:proofErr w:type="spellStart"/>
      <w:r w:rsidR="009653A0" w:rsidRPr="00FF540A">
        <w:t>etc</w:t>
      </w:r>
      <w:proofErr w:type="spellEnd"/>
      <w:r w:rsidR="009653A0" w:rsidRPr="00FF540A">
        <w:t>). Se observa que estas prácticas con efecto positivo comparten algunos enfoques comunes que pueden beneficiar a otros países en desarrollo y a otros tipos de productos de las TIC diferentes a los dispositivos móviles.</w:t>
      </w:r>
    </w:p>
    <w:p w:rsidR="00C34772" w:rsidRPr="00FF540A" w:rsidRDefault="002D1885" w:rsidP="002D1885">
      <w:r w:rsidRPr="00FF540A">
        <w:t>Este taller estudiará</w:t>
      </w:r>
      <w:r w:rsidR="009653A0" w:rsidRPr="00FF540A">
        <w:t xml:space="preserve"> el alcance</w:t>
      </w:r>
      <w:r w:rsidRPr="00FF540A">
        <w:t xml:space="preserve"> y</w:t>
      </w:r>
      <w:r w:rsidR="009653A0" w:rsidRPr="00FF540A">
        <w:t xml:space="preserve"> la dimensión del tema de las falsificaciones en las TIC, se compartirán ex</w:t>
      </w:r>
      <w:r w:rsidRPr="00FF540A">
        <w:t>periencias de prá</w:t>
      </w:r>
      <w:r w:rsidR="009653A0" w:rsidRPr="00FF540A">
        <w:t>c</w:t>
      </w:r>
      <w:r w:rsidRPr="00FF540A">
        <w:t>t</w:t>
      </w:r>
      <w:r w:rsidR="009653A0" w:rsidRPr="00FF540A">
        <w:t>icas idóneas actuales, se discutirá si puede esta</w:t>
      </w:r>
      <w:r w:rsidRPr="00FF540A">
        <w:t>blecer</w:t>
      </w:r>
      <w:r w:rsidR="009653A0" w:rsidRPr="00FF540A">
        <w:t xml:space="preserve">se un posible marco a partir </w:t>
      </w:r>
      <w:r w:rsidRPr="00FF540A">
        <w:t>de un método común y se centrará en có</w:t>
      </w:r>
      <w:r w:rsidR="009653A0" w:rsidRPr="00FF540A">
        <w:t>mo la UIT y otras organizaciones internaci</w:t>
      </w:r>
      <w:r w:rsidRPr="00FF540A">
        <w:t>onales pueden ayudar a los países</w:t>
      </w:r>
      <w:r w:rsidR="009653A0" w:rsidRPr="00FF540A">
        <w:t xml:space="preserve"> en desarrollo a combatir los productos de TIC falsificados.</w:t>
      </w:r>
    </w:p>
    <w:p w:rsidR="009653A0" w:rsidRPr="00FF540A" w:rsidRDefault="002D1885" w:rsidP="002D1885">
      <w:r w:rsidRPr="00FF540A">
        <w:t>Al</w:t>
      </w:r>
      <w:r w:rsidR="009653A0" w:rsidRPr="00FF540A">
        <w:t xml:space="preserve"> taller asistirán especialistas en</w:t>
      </w:r>
      <w:r w:rsidRPr="00FF540A">
        <w:t xml:space="preserve"> este tema procedentes de las or</w:t>
      </w:r>
      <w:r w:rsidR="009653A0" w:rsidRPr="00FF540A">
        <w:t xml:space="preserve">ganizaciones internacionales, expertos en telecomunicaciones, reguladores, funcionarios del gobierno, expertos en </w:t>
      </w:r>
      <w:r w:rsidRPr="00FF540A">
        <w:t>materia de normalización y otros</w:t>
      </w:r>
      <w:r w:rsidR="009653A0" w:rsidRPr="00FF540A">
        <w:t xml:space="preserve"> interesados en el tema.</w:t>
      </w:r>
    </w:p>
    <w:p w:rsidR="006648A9" w:rsidRPr="00FF540A" w:rsidRDefault="006648A9" w:rsidP="006648A9">
      <w:r w:rsidRPr="00FF540A">
        <w:t>Se pondrá a disposici</w:t>
      </w:r>
      <w:r w:rsidR="00B46D97">
        <w:t>ón un proyecto de programa del t</w:t>
      </w:r>
      <w:r w:rsidRPr="00FF540A">
        <w:t xml:space="preserve">aller en la dirección web del evento: </w:t>
      </w:r>
      <w:hyperlink r:id="rId10" w:history="1">
        <w:r w:rsidRPr="00FF540A">
          <w:rPr>
            <w:rStyle w:val="Hyperlink"/>
            <w:szCs w:val="24"/>
          </w:rPr>
          <w:t>http://www.itu.int/en/ITU-T/C-I/Pages/Kyiv_WSHP_counterfeiting_Apr14.aspx</w:t>
        </w:r>
      </w:hyperlink>
      <w:r w:rsidRPr="00FF540A">
        <w:t xml:space="preserve">. Si necesita información adicional acerca del programa, no dude en comunicarse con el Sr. </w:t>
      </w:r>
      <w:r w:rsidRPr="00FF540A">
        <w:rPr>
          <w:szCs w:val="24"/>
        </w:rPr>
        <w:t>Denis Andreev</w:t>
      </w:r>
      <w:r w:rsidRPr="00FF540A">
        <w:t xml:space="preserve"> (</w:t>
      </w:r>
      <w:hyperlink r:id="rId11" w:history="1">
        <w:r w:rsidRPr="00FF540A">
          <w:rPr>
            <w:rStyle w:val="Hyperlink"/>
            <w:szCs w:val="24"/>
          </w:rPr>
          <w:t>denis.andreev@itu.int</w:t>
        </w:r>
      </w:hyperlink>
      <w:r w:rsidRPr="00FF540A">
        <w:t>).</w:t>
      </w:r>
    </w:p>
    <w:p w:rsidR="00C34772" w:rsidRPr="00FF540A" w:rsidRDefault="00C34772" w:rsidP="00A41184">
      <w:r w:rsidRPr="00FF540A">
        <w:rPr>
          <w:bCs/>
        </w:rPr>
        <w:t>5</w:t>
      </w:r>
      <w:r w:rsidRPr="00FF540A">
        <w:tab/>
      </w:r>
      <w:r w:rsidR="00A41184" w:rsidRPr="00FF540A">
        <w:rPr>
          <w:b/>
          <w:bCs/>
        </w:rPr>
        <w:t>Alojamiento</w:t>
      </w:r>
      <w:r w:rsidR="00A41184" w:rsidRPr="00FF540A">
        <w:t xml:space="preserve">: Puede encontrarse información acerca del alojamiento en hoteles, el transporte, los requisitos de visado y los requisitos sanitarios en la dirección web: </w:t>
      </w:r>
      <w:hyperlink r:id="rId12" w:history="1">
        <w:r w:rsidR="00A41184" w:rsidRPr="00FF540A">
          <w:rPr>
            <w:rStyle w:val="Hyperlink"/>
          </w:rPr>
          <w:t>http://www.itu.int/en/ITU-T/C-I/Pages/Kyiv_WSHP_counterfeiting_Apr14.aspx</w:t>
        </w:r>
      </w:hyperlink>
      <w:r w:rsidR="00A41184" w:rsidRPr="00FF540A">
        <w:t>.</w:t>
      </w:r>
    </w:p>
    <w:p w:rsidR="00C34772" w:rsidRPr="00FF540A" w:rsidRDefault="00C34772" w:rsidP="001E509C">
      <w:r w:rsidRPr="00FF540A">
        <w:rPr>
          <w:bCs/>
        </w:rPr>
        <w:t>6</w:t>
      </w:r>
      <w:r w:rsidRPr="00FF540A">
        <w:tab/>
      </w:r>
      <w:r w:rsidR="001E509C" w:rsidRPr="00FF540A">
        <w:rPr>
          <w:b/>
          <w:bCs/>
        </w:rPr>
        <w:t>Becas</w:t>
      </w:r>
      <w:r w:rsidR="001E509C" w:rsidRPr="00FF540A">
        <w:t>: Por desgracia, a causa de restricciones presupuestarias, la UIT no podrá conceder becas.</w:t>
      </w:r>
    </w:p>
    <w:p w:rsidR="00C34772" w:rsidRPr="00FF540A" w:rsidRDefault="00C34772" w:rsidP="00FD3D62">
      <w:pPr>
        <w:rPr>
          <w:rFonts w:asciiTheme="majorBidi" w:hAnsiTheme="majorBidi" w:cstheme="majorBidi"/>
          <w:szCs w:val="24"/>
        </w:rPr>
      </w:pPr>
      <w:r w:rsidRPr="00FF540A">
        <w:rPr>
          <w:bCs/>
        </w:rPr>
        <w:t>7</w:t>
      </w:r>
      <w:r w:rsidRPr="00FF540A">
        <w:tab/>
      </w:r>
      <w:r w:rsidR="001E509C" w:rsidRPr="00FF540A">
        <w:rPr>
          <w:b/>
          <w:bCs/>
        </w:rPr>
        <w:t>Inscripción</w:t>
      </w:r>
      <w:r w:rsidR="001E509C" w:rsidRPr="00FF540A">
        <w:t xml:space="preserve">: Para que </w:t>
      </w:r>
      <w:r w:rsidR="00FD3D62" w:rsidRPr="00FF540A">
        <w:t>el anfitrión</w:t>
      </w:r>
      <w:r w:rsidR="001E509C" w:rsidRPr="00FF540A">
        <w:t xml:space="preserve"> pueda tomar las disposiciones necesarias en re</w:t>
      </w:r>
      <w:r w:rsidR="00F21DF1">
        <w:t>lación con la organización del t</w:t>
      </w:r>
      <w:r w:rsidR="001E509C" w:rsidRPr="00FF540A">
        <w:t xml:space="preserve">aller, le agradecería que se inscribiese a la mayor brevedad posible utilizando el formulario en línea: </w:t>
      </w:r>
      <w:hyperlink r:id="rId13" w:history="1">
        <w:r w:rsidR="00FD3D62" w:rsidRPr="00FF540A">
          <w:rPr>
            <w:rStyle w:val="Hyperlink"/>
          </w:rPr>
          <w:t>http://www.itu.int/en/ITU-T/C-I/Pages/Kyiv_WSHP_counterfeiting_Apr14.aspx</w:t>
        </w:r>
      </w:hyperlink>
      <w:r w:rsidR="00247A50" w:rsidRPr="00FF540A">
        <w:t xml:space="preserve"> </w:t>
      </w:r>
      <w:r w:rsidR="00FD3D62" w:rsidRPr="00FF540A">
        <w:t>y</w:t>
      </w:r>
      <w:r w:rsidR="00247A50" w:rsidRPr="00FF540A">
        <w:t xml:space="preserve"> </w:t>
      </w:r>
      <w:r w:rsidR="00FD3D62" w:rsidRPr="00FF540A">
        <w:rPr>
          <w:b/>
          <w:bCs/>
        </w:rPr>
        <w:t>a más tardar el 10 de abril de 2014</w:t>
      </w:r>
      <w:r w:rsidR="00CE0B2D" w:rsidRPr="00FF540A">
        <w:t>.</w:t>
      </w:r>
    </w:p>
    <w:p w:rsidR="001E509C" w:rsidRPr="00FF540A" w:rsidRDefault="001E509C" w:rsidP="00FD3D62">
      <w:r w:rsidRPr="00FF540A">
        <w:rPr>
          <w:rFonts w:asciiTheme="majorBidi" w:hAnsiTheme="majorBidi" w:cstheme="majorBidi"/>
          <w:szCs w:val="24"/>
        </w:rPr>
        <w:t>8</w:t>
      </w:r>
      <w:r w:rsidRPr="00FF540A">
        <w:rPr>
          <w:rFonts w:asciiTheme="majorBidi" w:hAnsiTheme="majorBidi" w:cstheme="majorBidi"/>
          <w:szCs w:val="24"/>
        </w:rPr>
        <w:tab/>
      </w:r>
      <w:r w:rsidRPr="00FF540A">
        <w:t xml:space="preserve">Le recordamos que los ciudadanos procedentes de ciertos países necesitan visado para entrar y permanecer en </w:t>
      </w:r>
      <w:r w:rsidR="00FD3D62" w:rsidRPr="00FF540A">
        <w:t>Ucrania</w:t>
      </w:r>
      <w:r w:rsidRPr="00FF540A">
        <w:t xml:space="preserve">. Ese visado debe solicitarse en la Embajada de </w:t>
      </w:r>
      <w:r w:rsidR="00FD3D62" w:rsidRPr="00FF540A">
        <w:t>Ucrania</w:t>
      </w:r>
      <w:r w:rsidRPr="00FF540A">
        <w:t xml:space="preserve"> en s</w:t>
      </w:r>
      <w:r w:rsidR="00F21DF1">
        <w:t>u país o, en su defecto, en la e</w:t>
      </w:r>
      <w:r w:rsidRPr="00FF540A">
        <w:t xml:space="preserve">mbajada </w:t>
      </w:r>
      <w:r w:rsidR="00FD3D62" w:rsidRPr="00FF540A">
        <w:t>más próxima</w:t>
      </w:r>
      <w:r w:rsidRPr="00FF540A">
        <w:t xml:space="preserve"> a su país de partida. </w:t>
      </w:r>
      <w:r w:rsidR="00FD3D62" w:rsidRPr="00FF540A">
        <w:t xml:space="preserve">Los participantes que requieran una carta de invitación para facilitar su visado de entrada deben dirigir la solicitud al </w:t>
      </w:r>
      <w:r w:rsidR="00FD3D62" w:rsidRPr="00FF540A">
        <w:rPr>
          <w:b/>
          <w:bCs/>
        </w:rPr>
        <w:t xml:space="preserve">Sr </w:t>
      </w:r>
      <w:proofErr w:type="spellStart"/>
      <w:r w:rsidR="00FD3D62" w:rsidRPr="00FF540A">
        <w:rPr>
          <w:b/>
          <w:bCs/>
        </w:rPr>
        <w:t>Dmytro</w:t>
      </w:r>
      <w:proofErr w:type="spellEnd"/>
      <w:r w:rsidR="00FD3D62" w:rsidRPr="00FF540A">
        <w:rPr>
          <w:b/>
          <w:bCs/>
        </w:rPr>
        <w:t xml:space="preserve"> </w:t>
      </w:r>
      <w:proofErr w:type="spellStart"/>
      <w:r w:rsidR="00FD3D62" w:rsidRPr="00FF540A">
        <w:rPr>
          <w:b/>
          <w:bCs/>
        </w:rPr>
        <w:t>Protsenko</w:t>
      </w:r>
      <w:proofErr w:type="spellEnd"/>
      <w:r w:rsidR="00FD3D62" w:rsidRPr="00FF540A">
        <w:rPr>
          <w:b/>
          <w:bCs/>
        </w:rPr>
        <w:t xml:space="preserve">, </w:t>
      </w:r>
      <w:r w:rsidR="00F21DF1">
        <w:rPr>
          <w:b/>
          <w:bCs/>
        </w:rPr>
        <w:t>Sub-d</w:t>
      </w:r>
      <w:r w:rsidR="00FD3D62" w:rsidRPr="00FF540A">
        <w:rPr>
          <w:b/>
          <w:bCs/>
        </w:rPr>
        <w:t>irector del Departamento de Asignaciones</w:t>
      </w:r>
      <w:r w:rsidR="00F21DF1">
        <w:rPr>
          <w:b/>
          <w:bCs/>
        </w:rPr>
        <w:t xml:space="preserve"> de Radiofrecuencia, UCRF (Tel: </w:t>
      </w:r>
      <w:r w:rsidR="00FD3D62" w:rsidRPr="00FF540A">
        <w:rPr>
          <w:b/>
          <w:bCs/>
        </w:rPr>
        <w:t xml:space="preserve">+380 44 4228155; Fax: +380 44 4228181; Correo-e: </w:t>
      </w:r>
      <w:hyperlink r:id="rId14" w:history="1">
        <w:r w:rsidR="00FD3D62" w:rsidRPr="00FF540A">
          <w:rPr>
            <w:rStyle w:val="Hyperlink"/>
            <w:b/>
            <w:bCs/>
          </w:rPr>
          <w:t>protsenko@ucrf.gov.ua</w:t>
        </w:r>
      </w:hyperlink>
      <w:r w:rsidR="00FD3D62" w:rsidRPr="00FF540A">
        <w:rPr>
          <w:b/>
          <w:bCs/>
        </w:rPr>
        <w:t>)</w:t>
      </w:r>
      <w:r w:rsidR="00CE0B2D" w:rsidRPr="00FF540A">
        <w:t>.</w:t>
      </w:r>
    </w:p>
    <w:p w:rsidR="00C34772" w:rsidRPr="00FF540A" w:rsidRDefault="00FD3D62" w:rsidP="00B55A3E">
      <w:pPr>
        <w:ind w:right="92"/>
      </w:pPr>
      <w:r w:rsidRPr="00FF540A">
        <w:t>Atentamente</w:t>
      </w:r>
      <w:r w:rsidR="00B55A3E" w:rsidRPr="00FF540A">
        <w:t>.</w:t>
      </w:r>
    </w:p>
    <w:p w:rsidR="00C34772" w:rsidRPr="00FF540A" w:rsidRDefault="00C34772" w:rsidP="00303D62">
      <w:pPr>
        <w:spacing w:before="1701"/>
        <w:ind w:right="91"/>
      </w:pPr>
      <w:r w:rsidRPr="00FF540A">
        <w:t>Malcolm Johnson</w:t>
      </w:r>
      <w:r w:rsidRPr="00FF540A">
        <w:br/>
        <w:t>Director de la Oficina de</w:t>
      </w:r>
      <w:r w:rsidRPr="00FF540A">
        <w:br/>
        <w:t>Normalización de las Telecomunicaciones</w:t>
      </w:r>
    </w:p>
    <w:p w:rsidR="00EE6BAD" w:rsidRPr="00FF540A" w:rsidRDefault="00EE6BAD" w:rsidP="0032202E">
      <w:pPr>
        <w:pStyle w:val="Reasons"/>
        <w:rPr>
          <w:lang w:val="es-ES_tradnl"/>
        </w:rPr>
      </w:pPr>
      <w:bookmarkStart w:id="4" w:name="_GoBack"/>
      <w:bookmarkEnd w:id="4"/>
    </w:p>
    <w:sectPr w:rsidR="00EE6BAD" w:rsidRPr="00FF540A" w:rsidSect="00B87E9E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EE" w:rsidRDefault="002350EE">
      <w:r>
        <w:separator/>
      </w:r>
    </w:p>
  </w:endnote>
  <w:endnote w:type="continuationSeparator" w:id="0">
    <w:p w:rsidR="002350EE" w:rsidRDefault="0023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9A0BA0" w:rsidRDefault="00AB1645" w:rsidP="00AB1645">
    <w:pPr>
      <w:pStyle w:val="Footer"/>
      <w:rPr>
        <w:sz w:val="16"/>
        <w:szCs w:val="16"/>
        <w:lang w:val="fr-CH"/>
      </w:rPr>
    </w:pPr>
    <w:r>
      <w:t>ITU-T\BUREAU\CIRC\061S.DOC</w:t>
    </w:r>
    <w:r w:rsidR="009A0BA0" w:rsidRPr="009A0BA0">
      <w:rPr>
        <w:sz w:val="16"/>
        <w:szCs w:val="16"/>
        <w:lang w:val="fr-CH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B46D97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 w:rsidR="006969B4">
            <w:rPr>
              <w:rFonts w:ascii="Futura Lt BT" w:hAnsi="Futura Lt BT"/>
            </w:rPr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CD520E" w:rsidRPr="009A0BA0" w:rsidRDefault="00CD520E" w:rsidP="00B46D97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EE" w:rsidRDefault="002350EE">
      <w:r>
        <w:t>____________________</w:t>
      </w:r>
    </w:p>
  </w:footnote>
  <w:footnote w:type="continuationSeparator" w:id="0">
    <w:p w:rsidR="002350EE" w:rsidRDefault="0023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1E75A1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1E75A1" w:rsidRPr="00303D62">
      <w:rPr>
        <w:rStyle w:val="PageNumber"/>
        <w:sz w:val="18"/>
        <w:szCs w:val="18"/>
      </w:rPr>
      <w:fldChar w:fldCharType="separate"/>
    </w:r>
    <w:r w:rsidR="00AB1645">
      <w:rPr>
        <w:rStyle w:val="PageNumber"/>
        <w:noProof/>
        <w:sz w:val="18"/>
        <w:szCs w:val="18"/>
      </w:rPr>
      <w:t>2</w:t>
    </w:r>
    <w:r w:rsidR="001E75A1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350EE"/>
    <w:rsid w:val="00002529"/>
    <w:rsid w:val="000C382F"/>
    <w:rsid w:val="001173CC"/>
    <w:rsid w:val="001301B4"/>
    <w:rsid w:val="001A54CC"/>
    <w:rsid w:val="001A60D4"/>
    <w:rsid w:val="001E1FBE"/>
    <w:rsid w:val="001E3904"/>
    <w:rsid w:val="001E509C"/>
    <w:rsid w:val="001E75A1"/>
    <w:rsid w:val="00215092"/>
    <w:rsid w:val="002350EE"/>
    <w:rsid w:val="002422FD"/>
    <w:rsid w:val="00247A50"/>
    <w:rsid w:val="00257FB4"/>
    <w:rsid w:val="002B39F3"/>
    <w:rsid w:val="002C0C1A"/>
    <w:rsid w:val="002D1885"/>
    <w:rsid w:val="002D50D4"/>
    <w:rsid w:val="002E475A"/>
    <w:rsid w:val="00303D62"/>
    <w:rsid w:val="00335367"/>
    <w:rsid w:val="00370C2D"/>
    <w:rsid w:val="003D1E8D"/>
    <w:rsid w:val="003D673B"/>
    <w:rsid w:val="003F2855"/>
    <w:rsid w:val="00401C20"/>
    <w:rsid w:val="00481702"/>
    <w:rsid w:val="004C4144"/>
    <w:rsid w:val="0056507C"/>
    <w:rsid w:val="005D6BAE"/>
    <w:rsid w:val="00630BF2"/>
    <w:rsid w:val="00654874"/>
    <w:rsid w:val="006648A9"/>
    <w:rsid w:val="00695641"/>
    <w:rsid w:val="006969B4"/>
    <w:rsid w:val="006E78E1"/>
    <w:rsid w:val="00781E2A"/>
    <w:rsid w:val="007933A2"/>
    <w:rsid w:val="007A3CB1"/>
    <w:rsid w:val="00814503"/>
    <w:rsid w:val="008258C2"/>
    <w:rsid w:val="008474C9"/>
    <w:rsid w:val="008505BD"/>
    <w:rsid w:val="00850C78"/>
    <w:rsid w:val="00871157"/>
    <w:rsid w:val="008C17AD"/>
    <w:rsid w:val="008D02CD"/>
    <w:rsid w:val="008E3AA5"/>
    <w:rsid w:val="0095172A"/>
    <w:rsid w:val="009653A0"/>
    <w:rsid w:val="00994FF5"/>
    <w:rsid w:val="009A0BA0"/>
    <w:rsid w:val="009C660F"/>
    <w:rsid w:val="00A41184"/>
    <w:rsid w:val="00A54E47"/>
    <w:rsid w:val="00A83F88"/>
    <w:rsid w:val="00AB0CFE"/>
    <w:rsid w:val="00AB14AA"/>
    <w:rsid w:val="00AB1645"/>
    <w:rsid w:val="00AE7093"/>
    <w:rsid w:val="00AF2AB9"/>
    <w:rsid w:val="00B274B3"/>
    <w:rsid w:val="00B422BC"/>
    <w:rsid w:val="00B43F77"/>
    <w:rsid w:val="00B46D97"/>
    <w:rsid w:val="00B55A3E"/>
    <w:rsid w:val="00B87E9E"/>
    <w:rsid w:val="00B95F0A"/>
    <w:rsid w:val="00B96180"/>
    <w:rsid w:val="00C17AC0"/>
    <w:rsid w:val="00C34772"/>
    <w:rsid w:val="00C5465A"/>
    <w:rsid w:val="00C82686"/>
    <w:rsid w:val="00CC2A13"/>
    <w:rsid w:val="00CD520E"/>
    <w:rsid w:val="00CE0B2D"/>
    <w:rsid w:val="00D54642"/>
    <w:rsid w:val="00DA5292"/>
    <w:rsid w:val="00DD77C9"/>
    <w:rsid w:val="00DF3538"/>
    <w:rsid w:val="00E27118"/>
    <w:rsid w:val="00E839B0"/>
    <w:rsid w:val="00E92C09"/>
    <w:rsid w:val="00EE6BAD"/>
    <w:rsid w:val="00F14380"/>
    <w:rsid w:val="00F21DF1"/>
    <w:rsid w:val="00F502DC"/>
    <w:rsid w:val="00F6461F"/>
    <w:rsid w:val="00F77FD1"/>
    <w:rsid w:val="00FD2B2D"/>
    <w:rsid w:val="00FD3D62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5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E75A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E75A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E75A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E75A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E75A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E75A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E75A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E75A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E75A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1E75A1"/>
    <w:rPr>
      <w:vertAlign w:val="superscript"/>
    </w:rPr>
  </w:style>
  <w:style w:type="paragraph" w:styleId="TOC8">
    <w:name w:val="toc 8"/>
    <w:basedOn w:val="TOC3"/>
    <w:rsid w:val="001E75A1"/>
  </w:style>
  <w:style w:type="paragraph" w:styleId="TOC7">
    <w:name w:val="toc 7"/>
    <w:basedOn w:val="TOC3"/>
    <w:rsid w:val="001E75A1"/>
  </w:style>
  <w:style w:type="paragraph" w:styleId="TOC6">
    <w:name w:val="toc 6"/>
    <w:basedOn w:val="TOC3"/>
    <w:rsid w:val="001E75A1"/>
  </w:style>
  <w:style w:type="paragraph" w:styleId="TOC5">
    <w:name w:val="toc 5"/>
    <w:basedOn w:val="TOC3"/>
    <w:rsid w:val="001E75A1"/>
  </w:style>
  <w:style w:type="paragraph" w:styleId="TOC4">
    <w:name w:val="toc 4"/>
    <w:basedOn w:val="TOC3"/>
    <w:rsid w:val="001E75A1"/>
  </w:style>
  <w:style w:type="paragraph" w:styleId="TOC3">
    <w:name w:val="toc 3"/>
    <w:basedOn w:val="TOC2"/>
    <w:rsid w:val="001E75A1"/>
    <w:pPr>
      <w:spacing w:before="80"/>
    </w:pPr>
  </w:style>
  <w:style w:type="paragraph" w:styleId="TOC2">
    <w:name w:val="toc 2"/>
    <w:basedOn w:val="TOC1"/>
    <w:rsid w:val="001E75A1"/>
    <w:pPr>
      <w:spacing w:before="120"/>
    </w:pPr>
  </w:style>
  <w:style w:type="paragraph" w:styleId="TOC1">
    <w:name w:val="toc 1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E75A1"/>
    <w:pPr>
      <w:ind w:left="1698"/>
    </w:pPr>
  </w:style>
  <w:style w:type="paragraph" w:styleId="Index6">
    <w:name w:val="index 6"/>
    <w:basedOn w:val="Normal"/>
    <w:next w:val="Normal"/>
    <w:semiHidden/>
    <w:rsid w:val="001E75A1"/>
    <w:pPr>
      <w:ind w:left="1415"/>
    </w:pPr>
  </w:style>
  <w:style w:type="paragraph" w:styleId="Index5">
    <w:name w:val="index 5"/>
    <w:basedOn w:val="Normal"/>
    <w:next w:val="Normal"/>
    <w:semiHidden/>
    <w:rsid w:val="001E75A1"/>
    <w:pPr>
      <w:ind w:left="1132"/>
    </w:pPr>
  </w:style>
  <w:style w:type="paragraph" w:styleId="Index4">
    <w:name w:val="index 4"/>
    <w:basedOn w:val="Normal"/>
    <w:next w:val="Normal"/>
    <w:semiHidden/>
    <w:rsid w:val="001E75A1"/>
    <w:pPr>
      <w:ind w:left="849"/>
    </w:pPr>
  </w:style>
  <w:style w:type="paragraph" w:styleId="Index3">
    <w:name w:val="index 3"/>
    <w:basedOn w:val="Normal"/>
    <w:next w:val="Normal"/>
    <w:rsid w:val="001E75A1"/>
    <w:pPr>
      <w:ind w:left="566"/>
    </w:pPr>
  </w:style>
  <w:style w:type="paragraph" w:styleId="Index2">
    <w:name w:val="index 2"/>
    <w:basedOn w:val="Normal"/>
    <w:next w:val="Normal"/>
    <w:rsid w:val="001E75A1"/>
    <w:pPr>
      <w:ind w:left="283"/>
    </w:pPr>
  </w:style>
  <w:style w:type="paragraph" w:styleId="Index1">
    <w:name w:val="index 1"/>
    <w:basedOn w:val="Normal"/>
    <w:next w:val="Normal"/>
    <w:rsid w:val="001E75A1"/>
  </w:style>
  <w:style w:type="character" w:styleId="LineNumber">
    <w:name w:val="line number"/>
    <w:basedOn w:val="DefaultParagraphFont"/>
    <w:rsid w:val="001E75A1"/>
  </w:style>
  <w:style w:type="paragraph" w:styleId="IndexHeading">
    <w:name w:val="index heading"/>
    <w:basedOn w:val="Normal"/>
    <w:next w:val="Index1"/>
    <w:semiHidden/>
    <w:rsid w:val="001E75A1"/>
  </w:style>
  <w:style w:type="paragraph" w:styleId="Footer">
    <w:name w:val="footer"/>
    <w:basedOn w:val="Normal"/>
    <w:link w:val="FooterChar"/>
    <w:rsid w:val="001E75A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E75A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1E75A1"/>
    <w:rPr>
      <w:position w:val="6"/>
      <w:sz w:val="16"/>
    </w:rPr>
  </w:style>
  <w:style w:type="paragraph" w:styleId="FootnoteText">
    <w:name w:val="footnote text"/>
    <w:basedOn w:val="Normal"/>
    <w:rsid w:val="001E75A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E75A1"/>
    <w:pPr>
      <w:ind w:left="794"/>
    </w:pPr>
  </w:style>
  <w:style w:type="paragraph" w:customStyle="1" w:styleId="TableLegend">
    <w:name w:val="Table_Legend"/>
    <w:basedOn w:val="TableText"/>
    <w:rsid w:val="001E75A1"/>
    <w:pPr>
      <w:spacing w:before="120"/>
    </w:pPr>
  </w:style>
  <w:style w:type="paragraph" w:customStyle="1" w:styleId="TableText">
    <w:name w:val="Table_Text"/>
    <w:basedOn w:val="Normal"/>
    <w:rsid w:val="001E7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E75A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E75A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E75A1"/>
    <w:pPr>
      <w:spacing w:before="80"/>
      <w:ind w:left="794" w:hanging="794"/>
    </w:pPr>
  </w:style>
  <w:style w:type="paragraph" w:customStyle="1" w:styleId="enumlev2">
    <w:name w:val="enumlev2"/>
    <w:basedOn w:val="enumlev1"/>
    <w:rsid w:val="001E75A1"/>
    <w:pPr>
      <w:ind w:left="1191" w:hanging="397"/>
    </w:pPr>
  </w:style>
  <w:style w:type="paragraph" w:customStyle="1" w:styleId="enumlev3">
    <w:name w:val="enumlev3"/>
    <w:basedOn w:val="enumlev2"/>
    <w:rsid w:val="001E75A1"/>
    <w:pPr>
      <w:ind w:left="1588"/>
    </w:pPr>
  </w:style>
  <w:style w:type="paragraph" w:customStyle="1" w:styleId="TableHead">
    <w:name w:val="Table_Head"/>
    <w:basedOn w:val="TableText"/>
    <w:rsid w:val="001E75A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E75A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E75A1"/>
    <w:pPr>
      <w:spacing w:before="480"/>
    </w:pPr>
  </w:style>
  <w:style w:type="paragraph" w:customStyle="1" w:styleId="FigureTitle">
    <w:name w:val="Figure_Title"/>
    <w:basedOn w:val="TableTitle"/>
    <w:next w:val="Normal"/>
    <w:rsid w:val="001E75A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E75A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E75A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E75A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E75A1"/>
  </w:style>
  <w:style w:type="paragraph" w:customStyle="1" w:styleId="AppendixRef">
    <w:name w:val="Appendix_Ref"/>
    <w:basedOn w:val="AnnexRef"/>
    <w:next w:val="AppendixTitle"/>
    <w:rsid w:val="001E75A1"/>
  </w:style>
  <w:style w:type="paragraph" w:customStyle="1" w:styleId="AppendixTitle">
    <w:name w:val="Appendix_Title"/>
    <w:basedOn w:val="AnnexTitle"/>
    <w:next w:val="Normal"/>
    <w:rsid w:val="001E75A1"/>
  </w:style>
  <w:style w:type="paragraph" w:customStyle="1" w:styleId="RefTitle">
    <w:name w:val="Ref_Title"/>
    <w:basedOn w:val="Normal"/>
    <w:next w:val="RefText"/>
    <w:rsid w:val="001E75A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E75A1"/>
    <w:pPr>
      <w:ind w:left="794" w:hanging="794"/>
    </w:pPr>
  </w:style>
  <w:style w:type="paragraph" w:customStyle="1" w:styleId="Equation">
    <w:name w:val="Equation"/>
    <w:basedOn w:val="Normal"/>
    <w:rsid w:val="001E75A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E75A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E75A1"/>
    <w:pPr>
      <w:spacing w:before="320"/>
    </w:pPr>
  </w:style>
  <w:style w:type="paragraph" w:customStyle="1" w:styleId="call">
    <w:name w:val="call"/>
    <w:basedOn w:val="Normal"/>
    <w:next w:val="Normal"/>
    <w:rsid w:val="001E75A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E75A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E75A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E75A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E75A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E75A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1E75A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E75A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1E75A1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1E75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1E75A1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1E75A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1E75A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1E75A1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1E75A1"/>
  </w:style>
  <w:style w:type="paragraph" w:customStyle="1" w:styleId="listitem">
    <w:name w:val="listitem"/>
    <w:basedOn w:val="Normal"/>
    <w:rsid w:val="001E75A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1E75A1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1E75A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E75A1"/>
    <w:pPr>
      <w:tabs>
        <w:tab w:val="left" w:pos="397"/>
      </w:tabs>
    </w:pPr>
  </w:style>
  <w:style w:type="paragraph" w:customStyle="1" w:styleId="FirstFooter">
    <w:name w:val="FirstFooter"/>
    <w:basedOn w:val="Footer"/>
    <w:rsid w:val="001E75A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E75A1"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E6B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EE6B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C-I/Pages/Kyiv_WSHP_counterfeiting_Apr14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C-I/Pages/Kyiv_WSHP_counterfeiting_Apr14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.andreev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C-I/Pages/Kyiv_WSHP_counterfeiting_Apr14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protsenko@ucrf.gov.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4495-C67E-4C2A-A387-AE443EF6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110</TotalTime>
  <Pages>2</Pages>
  <Words>801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5593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 Grau, Ricardo</dc:creator>
  <cp:lastModifiedBy>quist</cp:lastModifiedBy>
  <cp:revision>50</cp:revision>
  <cp:lastPrinted>2013-11-12T10:34:00Z</cp:lastPrinted>
  <dcterms:created xsi:type="dcterms:W3CDTF">2013-11-12T09:07:00Z</dcterms:created>
  <dcterms:modified xsi:type="dcterms:W3CDTF">2013-12-02T11:04:00Z</dcterms:modified>
</cp:coreProperties>
</file>