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803630" w:rsidTr="00303D62">
        <w:trPr>
          <w:cantSplit/>
        </w:trPr>
        <w:tc>
          <w:tcPr>
            <w:tcW w:w="6426" w:type="dxa"/>
            <w:vAlign w:val="center"/>
          </w:tcPr>
          <w:p w:rsidR="00C34772" w:rsidRPr="00803630" w:rsidRDefault="00C34772" w:rsidP="00D969D1">
            <w:pPr>
              <w:tabs>
                <w:tab w:val="right" w:pos="8732"/>
              </w:tabs>
              <w:spacing w:before="0"/>
              <w:rPr>
                <w:rFonts w:ascii="Verdana" w:hAnsi="Verdana"/>
                <w:b/>
                <w:bCs/>
                <w:color w:val="FFFFFF"/>
                <w:sz w:val="26"/>
                <w:szCs w:val="26"/>
                <w:lang w:val="es-ES"/>
              </w:rPr>
            </w:pPr>
            <w:r w:rsidRPr="00803630">
              <w:rPr>
                <w:rFonts w:ascii="Verdana" w:hAnsi="Verdana"/>
                <w:b/>
                <w:bCs/>
                <w:sz w:val="26"/>
                <w:szCs w:val="26"/>
                <w:lang w:val="es-ES"/>
              </w:rPr>
              <w:t>Oficina de Normalización</w:t>
            </w:r>
            <w:r w:rsidRPr="00803630">
              <w:rPr>
                <w:rFonts w:ascii="Verdana" w:hAnsi="Verdana"/>
                <w:b/>
                <w:bCs/>
                <w:sz w:val="26"/>
                <w:szCs w:val="26"/>
                <w:lang w:val="es-ES"/>
              </w:rPr>
              <w:br/>
              <w:t>de las Telecomunicaciones</w:t>
            </w:r>
          </w:p>
        </w:tc>
        <w:tc>
          <w:tcPr>
            <w:tcW w:w="3355" w:type="dxa"/>
            <w:vAlign w:val="center"/>
          </w:tcPr>
          <w:p w:rsidR="00C34772" w:rsidRPr="00803630" w:rsidRDefault="00C34772" w:rsidP="00D969D1">
            <w:pPr>
              <w:spacing w:before="0"/>
              <w:jc w:val="right"/>
              <w:rPr>
                <w:rFonts w:ascii="Verdana" w:hAnsi="Verdana"/>
                <w:color w:val="FFFFFF"/>
                <w:sz w:val="26"/>
                <w:szCs w:val="26"/>
                <w:lang w:val="es-ES"/>
              </w:rPr>
            </w:pPr>
            <w:r w:rsidRPr="00803630">
              <w:rPr>
                <w:rFonts w:ascii="Verdana" w:hAnsi="Verdana"/>
                <w:b/>
                <w:bCs/>
                <w:noProof/>
                <w:color w:val="FFFFFF"/>
                <w:sz w:val="26"/>
                <w:szCs w:val="24"/>
                <w:lang w:val="en-US" w:eastAsia="zh-CN"/>
              </w:rPr>
              <w:drawing>
                <wp:inline distT="0" distB="0" distL="0" distR="0" wp14:anchorId="035211C1" wp14:editId="7E7FB821">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803630" w:rsidTr="00303D62">
        <w:trPr>
          <w:cantSplit/>
        </w:trPr>
        <w:tc>
          <w:tcPr>
            <w:tcW w:w="6426" w:type="dxa"/>
            <w:vAlign w:val="center"/>
          </w:tcPr>
          <w:p w:rsidR="00C34772" w:rsidRPr="00803630" w:rsidRDefault="00C34772" w:rsidP="00D969D1">
            <w:pPr>
              <w:tabs>
                <w:tab w:val="right" w:pos="8732"/>
              </w:tabs>
              <w:spacing w:before="0"/>
              <w:rPr>
                <w:rFonts w:ascii="Verdana" w:hAnsi="Verdana"/>
                <w:b/>
                <w:bCs/>
                <w:iCs/>
                <w:sz w:val="18"/>
                <w:szCs w:val="18"/>
                <w:lang w:val="es-ES"/>
              </w:rPr>
            </w:pPr>
          </w:p>
        </w:tc>
        <w:tc>
          <w:tcPr>
            <w:tcW w:w="3355" w:type="dxa"/>
            <w:vAlign w:val="center"/>
          </w:tcPr>
          <w:p w:rsidR="00C34772" w:rsidRPr="00803630" w:rsidRDefault="00C34772" w:rsidP="00D969D1">
            <w:pPr>
              <w:spacing w:before="0"/>
              <w:ind w:left="993" w:hanging="993"/>
              <w:jc w:val="right"/>
              <w:rPr>
                <w:rFonts w:ascii="Verdana" w:hAnsi="Verdana"/>
                <w:sz w:val="18"/>
                <w:szCs w:val="18"/>
                <w:lang w:val="es-ES"/>
              </w:rPr>
            </w:pPr>
          </w:p>
        </w:tc>
      </w:tr>
    </w:tbl>
    <w:p w:rsidR="00C34772" w:rsidRPr="00803630" w:rsidRDefault="00C34772" w:rsidP="00D969D1">
      <w:pPr>
        <w:tabs>
          <w:tab w:val="clear" w:pos="794"/>
          <w:tab w:val="clear" w:pos="1191"/>
          <w:tab w:val="clear" w:pos="1588"/>
          <w:tab w:val="clear" w:pos="1985"/>
          <w:tab w:val="left" w:pos="4962"/>
        </w:tabs>
        <w:rPr>
          <w:lang w:val="es-ES"/>
        </w:rPr>
      </w:pPr>
    </w:p>
    <w:p w:rsidR="00C34772" w:rsidRPr="00803630" w:rsidRDefault="00C34772" w:rsidP="00D969D1">
      <w:pPr>
        <w:tabs>
          <w:tab w:val="clear" w:pos="794"/>
          <w:tab w:val="clear" w:pos="1191"/>
          <w:tab w:val="clear" w:pos="1588"/>
          <w:tab w:val="clear" w:pos="1985"/>
          <w:tab w:val="left" w:pos="4962"/>
        </w:tabs>
        <w:rPr>
          <w:lang w:val="es-ES"/>
        </w:rPr>
      </w:pPr>
      <w:r w:rsidRPr="00803630">
        <w:rPr>
          <w:lang w:val="es-ES"/>
        </w:rPr>
        <w:tab/>
        <w:t xml:space="preserve">Ginebra, </w:t>
      </w:r>
      <w:r w:rsidR="00360D76" w:rsidRPr="00803630">
        <w:rPr>
          <w:lang w:val="es-ES"/>
        </w:rPr>
        <w:t>1</w:t>
      </w:r>
      <w:r w:rsidR="005C14B9" w:rsidRPr="00803630">
        <w:rPr>
          <w:lang w:val="es-ES"/>
        </w:rPr>
        <w:t xml:space="preserve"> de </w:t>
      </w:r>
      <w:r w:rsidR="00360D76" w:rsidRPr="00803630">
        <w:rPr>
          <w:lang w:val="es-ES"/>
        </w:rPr>
        <w:t>marz</w:t>
      </w:r>
      <w:r w:rsidR="005C14B9" w:rsidRPr="00803630">
        <w:rPr>
          <w:lang w:val="es-ES"/>
        </w:rPr>
        <w:t>o de 201</w:t>
      </w:r>
      <w:r w:rsidR="00360D76" w:rsidRPr="00803630">
        <w:rPr>
          <w:lang w:val="es-ES"/>
        </w:rPr>
        <w:t>3</w:t>
      </w:r>
    </w:p>
    <w:p w:rsidR="00C34772" w:rsidRPr="00803630" w:rsidRDefault="00C34772" w:rsidP="00D969D1">
      <w:pPr>
        <w:spacing w:before="0" w:after="24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803630" w:rsidTr="00303D62">
        <w:trPr>
          <w:cantSplit/>
          <w:trHeight w:val="340"/>
        </w:trPr>
        <w:tc>
          <w:tcPr>
            <w:tcW w:w="1084" w:type="dxa"/>
          </w:tcPr>
          <w:p w:rsidR="00C34772" w:rsidRPr="007D2C8B" w:rsidRDefault="00C34772" w:rsidP="00D969D1">
            <w:pPr>
              <w:tabs>
                <w:tab w:val="left" w:pos="4111"/>
              </w:tabs>
              <w:spacing w:before="10"/>
              <w:ind w:left="57"/>
              <w:rPr>
                <w:szCs w:val="24"/>
                <w:lang w:val="es-ES"/>
              </w:rPr>
            </w:pPr>
            <w:r w:rsidRPr="007D2C8B">
              <w:rPr>
                <w:szCs w:val="24"/>
                <w:lang w:val="es-ES"/>
              </w:rPr>
              <w:t>Ref.:</w:t>
            </w:r>
          </w:p>
        </w:tc>
        <w:tc>
          <w:tcPr>
            <w:tcW w:w="3793" w:type="dxa"/>
          </w:tcPr>
          <w:p w:rsidR="00C34772" w:rsidRPr="00803630" w:rsidRDefault="00FB2243" w:rsidP="00D969D1">
            <w:pPr>
              <w:tabs>
                <w:tab w:val="left" w:pos="4111"/>
              </w:tabs>
              <w:spacing w:before="0"/>
              <w:ind w:left="57"/>
              <w:rPr>
                <w:u w:val="single"/>
                <w:lang w:val="es-ES"/>
              </w:rPr>
            </w:pPr>
            <w:r>
              <w:rPr>
                <w:b/>
                <w:lang w:val="es-ES"/>
              </w:rPr>
              <w:t>Circular</w:t>
            </w:r>
            <w:r w:rsidR="00C34772" w:rsidRPr="00803630">
              <w:rPr>
                <w:b/>
                <w:lang w:val="es-ES"/>
              </w:rPr>
              <w:t xml:space="preserve"> TSB </w:t>
            </w:r>
            <w:r w:rsidR="00DB2031" w:rsidRPr="00803630">
              <w:rPr>
                <w:b/>
                <w:lang w:val="es-ES"/>
              </w:rPr>
              <w:t>1</w:t>
            </w:r>
            <w:r w:rsidR="005C14B9" w:rsidRPr="00803630">
              <w:rPr>
                <w:b/>
                <w:lang w:val="es-ES"/>
              </w:rPr>
              <w:t>3</w:t>
            </w:r>
          </w:p>
          <w:p w:rsidR="00C34772" w:rsidRPr="00803630" w:rsidRDefault="00DB2031" w:rsidP="00D969D1">
            <w:pPr>
              <w:tabs>
                <w:tab w:val="left" w:pos="4111"/>
              </w:tabs>
              <w:spacing w:before="0"/>
              <w:ind w:left="57"/>
              <w:rPr>
                <w:lang w:val="es-ES"/>
              </w:rPr>
            </w:pPr>
            <w:r w:rsidRPr="00803630">
              <w:rPr>
                <w:lang w:val="es-ES"/>
              </w:rPr>
              <w:t>COM 5/CB</w:t>
            </w:r>
          </w:p>
          <w:p w:rsidR="00C34772" w:rsidRPr="00803630" w:rsidRDefault="00C34772" w:rsidP="00D969D1">
            <w:pPr>
              <w:tabs>
                <w:tab w:val="left" w:pos="4111"/>
              </w:tabs>
              <w:spacing w:before="0"/>
              <w:ind w:left="57"/>
              <w:rPr>
                <w:lang w:val="es-ES"/>
              </w:rPr>
            </w:pPr>
          </w:p>
        </w:tc>
        <w:tc>
          <w:tcPr>
            <w:tcW w:w="4762" w:type="dxa"/>
          </w:tcPr>
          <w:p w:rsidR="00C34772" w:rsidRPr="00803630" w:rsidRDefault="00C34772" w:rsidP="00D969D1">
            <w:pPr>
              <w:tabs>
                <w:tab w:val="left" w:pos="4111"/>
              </w:tabs>
              <w:spacing w:before="0"/>
              <w:ind w:left="57"/>
              <w:rPr>
                <w:b/>
                <w:lang w:val="es-ES"/>
              </w:rPr>
            </w:pPr>
          </w:p>
        </w:tc>
      </w:tr>
      <w:tr w:rsidR="00C34772" w:rsidRPr="00803630" w:rsidTr="00303D62">
        <w:trPr>
          <w:cantSplit/>
        </w:trPr>
        <w:tc>
          <w:tcPr>
            <w:tcW w:w="1084" w:type="dxa"/>
          </w:tcPr>
          <w:p w:rsidR="00C34772" w:rsidRPr="007D2C8B" w:rsidRDefault="00C34772" w:rsidP="00D969D1">
            <w:pPr>
              <w:tabs>
                <w:tab w:val="left" w:pos="4111"/>
              </w:tabs>
              <w:spacing w:before="10"/>
              <w:ind w:left="57"/>
              <w:rPr>
                <w:szCs w:val="24"/>
                <w:lang w:val="es-ES"/>
              </w:rPr>
            </w:pPr>
            <w:r w:rsidRPr="007D2C8B">
              <w:rPr>
                <w:szCs w:val="24"/>
                <w:lang w:val="es-ES"/>
              </w:rPr>
              <w:t>Tel.:</w:t>
            </w:r>
          </w:p>
        </w:tc>
        <w:tc>
          <w:tcPr>
            <w:tcW w:w="3793" w:type="dxa"/>
          </w:tcPr>
          <w:p w:rsidR="00C34772" w:rsidRPr="00803630" w:rsidRDefault="00DB2031" w:rsidP="00D969D1">
            <w:pPr>
              <w:tabs>
                <w:tab w:val="left" w:pos="4111"/>
              </w:tabs>
              <w:spacing w:before="0"/>
              <w:ind w:left="57"/>
              <w:rPr>
                <w:lang w:val="es-ES"/>
              </w:rPr>
            </w:pPr>
            <w:r w:rsidRPr="00803630">
              <w:rPr>
                <w:lang w:val="es-ES"/>
              </w:rPr>
              <w:t>+41 22 730 6301</w:t>
            </w:r>
          </w:p>
        </w:tc>
        <w:tc>
          <w:tcPr>
            <w:tcW w:w="4762" w:type="dxa"/>
          </w:tcPr>
          <w:p w:rsidR="00C34772" w:rsidRPr="00803630" w:rsidRDefault="00F8524F" w:rsidP="00D969D1">
            <w:pPr>
              <w:tabs>
                <w:tab w:val="left" w:pos="4111"/>
              </w:tabs>
              <w:spacing w:before="0"/>
              <w:ind w:left="57"/>
              <w:rPr>
                <w:lang w:val="es-ES"/>
              </w:rPr>
            </w:pPr>
            <w:r w:rsidRPr="00803630">
              <w:rPr>
                <w:lang w:val="es-ES"/>
              </w:rPr>
              <w:t>A:</w:t>
            </w:r>
          </w:p>
        </w:tc>
      </w:tr>
      <w:tr w:rsidR="00C34772" w:rsidRPr="00803630" w:rsidTr="00303D62">
        <w:trPr>
          <w:cantSplit/>
        </w:trPr>
        <w:tc>
          <w:tcPr>
            <w:tcW w:w="1084" w:type="dxa"/>
          </w:tcPr>
          <w:p w:rsidR="00C34772" w:rsidRPr="007D2C8B" w:rsidRDefault="00C34772" w:rsidP="007D2C8B">
            <w:pPr>
              <w:tabs>
                <w:tab w:val="left" w:pos="4111"/>
              </w:tabs>
              <w:spacing w:before="0"/>
              <w:ind w:left="57"/>
              <w:rPr>
                <w:szCs w:val="24"/>
                <w:lang w:val="es-ES"/>
              </w:rPr>
            </w:pPr>
            <w:r w:rsidRPr="007D2C8B">
              <w:rPr>
                <w:szCs w:val="24"/>
                <w:lang w:val="es-ES"/>
              </w:rPr>
              <w:t>Fax:</w:t>
            </w:r>
          </w:p>
          <w:p w:rsidR="00C34772" w:rsidRPr="007D2C8B" w:rsidRDefault="00C34772" w:rsidP="00D969D1">
            <w:pPr>
              <w:tabs>
                <w:tab w:val="left" w:pos="4111"/>
              </w:tabs>
              <w:spacing w:before="10"/>
              <w:ind w:left="57"/>
              <w:rPr>
                <w:szCs w:val="24"/>
                <w:lang w:val="es-ES"/>
              </w:rPr>
            </w:pPr>
            <w:r w:rsidRPr="007D2C8B">
              <w:rPr>
                <w:szCs w:val="24"/>
                <w:lang w:val="es-ES"/>
              </w:rPr>
              <w:t>Correo-e:</w:t>
            </w:r>
          </w:p>
        </w:tc>
        <w:tc>
          <w:tcPr>
            <w:tcW w:w="3793" w:type="dxa"/>
          </w:tcPr>
          <w:p w:rsidR="00C34772" w:rsidRPr="00803630" w:rsidRDefault="00C34772" w:rsidP="00D969D1">
            <w:pPr>
              <w:tabs>
                <w:tab w:val="left" w:pos="4111"/>
              </w:tabs>
              <w:spacing w:before="0"/>
              <w:ind w:left="57"/>
              <w:rPr>
                <w:lang w:val="es-ES"/>
              </w:rPr>
            </w:pPr>
            <w:r w:rsidRPr="00803630">
              <w:rPr>
                <w:lang w:val="es-ES"/>
              </w:rPr>
              <w:t>+41 22 730 5853</w:t>
            </w:r>
          </w:p>
          <w:p w:rsidR="00C34772" w:rsidRPr="00803630" w:rsidRDefault="0015039E" w:rsidP="00D969D1">
            <w:pPr>
              <w:tabs>
                <w:tab w:val="left" w:pos="4111"/>
              </w:tabs>
              <w:spacing w:before="0"/>
              <w:ind w:left="57"/>
              <w:rPr>
                <w:lang w:val="es-ES"/>
              </w:rPr>
            </w:pPr>
            <w:hyperlink r:id="rId10" w:history="1">
              <w:r w:rsidR="00360D76" w:rsidRPr="00803630">
                <w:rPr>
                  <w:color w:val="0000FF"/>
                  <w:u w:val="single"/>
                  <w:lang w:val="es-ES"/>
                </w:rPr>
                <w:t>tsbfgssc@itu.int</w:t>
              </w:r>
            </w:hyperlink>
          </w:p>
        </w:tc>
        <w:tc>
          <w:tcPr>
            <w:tcW w:w="4762" w:type="dxa"/>
          </w:tcPr>
          <w:p w:rsidR="00F8524F" w:rsidRPr="00803630" w:rsidRDefault="00F8524F"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 xml:space="preserve">Las </w:t>
            </w:r>
            <w:r w:rsidR="00C34772" w:rsidRPr="00803630">
              <w:rPr>
                <w:lang w:val="es-ES"/>
              </w:rPr>
              <w:t>Administraciones de los Estados Miembros de la Unión,</w:t>
            </w:r>
          </w:p>
          <w:p w:rsidR="00F8524F" w:rsidRPr="00803630" w:rsidRDefault="00F8524F"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L</w:t>
            </w:r>
            <w:r w:rsidR="00C34772" w:rsidRPr="00803630">
              <w:rPr>
                <w:lang w:val="es-ES"/>
              </w:rPr>
              <w:t>os Miembros del Sector UIT</w:t>
            </w:r>
            <w:r w:rsidR="00C34772" w:rsidRPr="00803630">
              <w:rPr>
                <w:lang w:val="es-ES"/>
              </w:rPr>
              <w:noBreakHyphen/>
              <w:t>T</w:t>
            </w:r>
            <w:r w:rsidR="00D75BBB" w:rsidRPr="00803630">
              <w:rPr>
                <w:lang w:val="es-ES"/>
              </w:rPr>
              <w:t>,</w:t>
            </w:r>
          </w:p>
          <w:p w:rsidR="00F8524F" w:rsidRPr="00803630" w:rsidRDefault="00F8524F"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L</w:t>
            </w:r>
            <w:r w:rsidR="00C34772" w:rsidRPr="00803630">
              <w:rPr>
                <w:lang w:val="es-ES"/>
              </w:rPr>
              <w:t xml:space="preserve">os Asociados </w:t>
            </w:r>
            <w:r w:rsidR="00D75BBB" w:rsidRPr="00803630">
              <w:rPr>
                <w:lang w:val="es-ES"/>
              </w:rPr>
              <w:t>del UIT-T,</w:t>
            </w:r>
          </w:p>
          <w:p w:rsidR="00C34772" w:rsidRPr="00803630" w:rsidRDefault="00F8524F"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L</w:t>
            </w:r>
            <w:r w:rsidR="003D4DFE" w:rsidRPr="00803630">
              <w:rPr>
                <w:lang w:val="es-ES"/>
              </w:rPr>
              <w:t>as Instituciones Académicas del UIT-T</w:t>
            </w:r>
          </w:p>
        </w:tc>
      </w:tr>
      <w:tr w:rsidR="005C14B9" w:rsidRPr="00803630" w:rsidTr="00303D62">
        <w:trPr>
          <w:cantSplit/>
        </w:trPr>
        <w:tc>
          <w:tcPr>
            <w:tcW w:w="1084" w:type="dxa"/>
          </w:tcPr>
          <w:p w:rsidR="005C14B9" w:rsidRPr="00803630" w:rsidRDefault="005C14B9" w:rsidP="00D969D1">
            <w:pPr>
              <w:tabs>
                <w:tab w:val="left" w:pos="4111"/>
              </w:tabs>
              <w:spacing w:before="10"/>
              <w:ind w:left="57"/>
              <w:rPr>
                <w:sz w:val="22"/>
                <w:lang w:val="es-ES"/>
              </w:rPr>
            </w:pPr>
          </w:p>
        </w:tc>
        <w:tc>
          <w:tcPr>
            <w:tcW w:w="3793" w:type="dxa"/>
          </w:tcPr>
          <w:p w:rsidR="005C14B9" w:rsidRPr="00803630" w:rsidRDefault="005C14B9" w:rsidP="00D969D1">
            <w:pPr>
              <w:tabs>
                <w:tab w:val="left" w:pos="4111"/>
              </w:tabs>
              <w:spacing w:before="0"/>
              <w:ind w:left="57"/>
              <w:rPr>
                <w:lang w:val="es-ES"/>
              </w:rPr>
            </w:pPr>
          </w:p>
        </w:tc>
        <w:tc>
          <w:tcPr>
            <w:tcW w:w="4762" w:type="dxa"/>
          </w:tcPr>
          <w:p w:rsidR="005C14B9" w:rsidRPr="007D2C8B" w:rsidRDefault="005C14B9" w:rsidP="007D2C8B">
            <w:pPr>
              <w:pStyle w:val="ListParagraph"/>
              <w:numPr>
                <w:ilvl w:val="0"/>
                <w:numId w:val="5"/>
              </w:numPr>
              <w:tabs>
                <w:tab w:val="clear" w:pos="794"/>
                <w:tab w:val="clear" w:pos="1191"/>
                <w:tab w:val="left" w:pos="502"/>
                <w:tab w:val="left" w:pos="4111"/>
              </w:tabs>
              <w:ind w:left="73" w:hanging="357"/>
              <w:rPr>
                <w:b/>
                <w:bCs/>
                <w:lang w:val="es-ES"/>
              </w:rPr>
            </w:pPr>
            <w:r w:rsidRPr="007D2C8B">
              <w:rPr>
                <w:b/>
                <w:bCs/>
                <w:lang w:val="es-ES"/>
              </w:rPr>
              <w:t>Copia:</w:t>
            </w:r>
          </w:p>
        </w:tc>
      </w:tr>
      <w:tr w:rsidR="005C14B9" w:rsidRPr="00803630" w:rsidTr="00303D62">
        <w:trPr>
          <w:cantSplit/>
        </w:trPr>
        <w:tc>
          <w:tcPr>
            <w:tcW w:w="1084" w:type="dxa"/>
          </w:tcPr>
          <w:p w:rsidR="005C14B9" w:rsidRPr="00803630" w:rsidRDefault="005C14B9" w:rsidP="00D969D1">
            <w:pPr>
              <w:tabs>
                <w:tab w:val="left" w:pos="4111"/>
              </w:tabs>
              <w:spacing w:before="10"/>
              <w:ind w:left="57"/>
              <w:rPr>
                <w:sz w:val="22"/>
                <w:lang w:val="es-ES"/>
              </w:rPr>
            </w:pPr>
          </w:p>
        </w:tc>
        <w:tc>
          <w:tcPr>
            <w:tcW w:w="3793" w:type="dxa"/>
          </w:tcPr>
          <w:p w:rsidR="005C14B9" w:rsidRPr="00803630" w:rsidRDefault="005C14B9" w:rsidP="00D969D1">
            <w:pPr>
              <w:tabs>
                <w:tab w:val="left" w:pos="4111"/>
              </w:tabs>
              <w:spacing w:before="0"/>
              <w:ind w:left="57"/>
              <w:rPr>
                <w:lang w:val="es-ES"/>
              </w:rPr>
            </w:pPr>
          </w:p>
        </w:tc>
        <w:tc>
          <w:tcPr>
            <w:tcW w:w="4762" w:type="dxa"/>
          </w:tcPr>
          <w:p w:rsidR="005C14B9" w:rsidRPr="00803630" w:rsidRDefault="00D75BBB"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A los Presidentes y Vicepresidentes de todas las Comisiones de Estudio del UIT-T,</w:t>
            </w:r>
          </w:p>
          <w:p w:rsidR="00D75BBB" w:rsidRPr="00803630" w:rsidRDefault="00D75BBB"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Al Director de la Oficina de Desarrollo de las Telecomunicaciones,</w:t>
            </w:r>
          </w:p>
          <w:p w:rsidR="00D75BBB" w:rsidRPr="00803630" w:rsidRDefault="00D75BBB" w:rsidP="00D969D1">
            <w:pPr>
              <w:pStyle w:val="ListParagraph"/>
              <w:numPr>
                <w:ilvl w:val="0"/>
                <w:numId w:val="5"/>
              </w:numPr>
              <w:tabs>
                <w:tab w:val="clear" w:pos="794"/>
                <w:tab w:val="clear" w:pos="1191"/>
                <w:tab w:val="left" w:pos="502"/>
                <w:tab w:val="left" w:pos="4111"/>
              </w:tabs>
              <w:spacing w:before="0"/>
              <w:ind w:left="341" w:hanging="284"/>
              <w:rPr>
                <w:lang w:val="es-ES"/>
              </w:rPr>
            </w:pPr>
            <w:r w:rsidRPr="00803630">
              <w:rPr>
                <w:lang w:val="es-ES"/>
              </w:rPr>
              <w:t>Al Director de la Oficina de Radiocomunicaciones</w:t>
            </w:r>
          </w:p>
        </w:tc>
      </w:tr>
    </w:tbl>
    <w:p w:rsidR="00C34772" w:rsidRPr="00803630" w:rsidRDefault="00C34772" w:rsidP="00D969D1">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7711"/>
      </w:tblGrid>
      <w:tr w:rsidR="00C34772" w:rsidRPr="00803630" w:rsidTr="00B90541">
        <w:trPr>
          <w:cantSplit/>
          <w:trHeight w:val="680"/>
        </w:trPr>
        <w:tc>
          <w:tcPr>
            <w:tcW w:w="1070" w:type="dxa"/>
          </w:tcPr>
          <w:p w:rsidR="00C34772" w:rsidRPr="00803630" w:rsidRDefault="00C34772" w:rsidP="00D969D1">
            <w:pPr>
              <w:tabs>
                <w:tab w:val="left" w:pos="4111"/>
              </w:tabs>
              <w:spacing w:before="10"/>
              <w:ind w:left="57"/>
              <w:rPr>
                <w:sz w:val="22"/>
                <w:lang w:val="es-ES"/>
              </w:rPr>
            </w:pPr>
            <w:r w:rsidRPr="00803630">
              <w:rPr>
                <w:sz w:val="22"/>
                <w:lang w:val="es-ES"/>
              </w:rPr>
              <w:t>Asunto:</w:t>
            </w:r>
          </w:p>
        </w:tc>
        <w:tc>
          <w:tcPr>
            <w:tcW w:w="7711" w:type="dxa"/>
          </w:tcPr>
          <w:p w:rsidR="00360D76" w:rsidRPr="00803630" w:rsidRDefault="00B90541" w:rsidP="007D2C8B">
            <w:pPr>
              <w:tabs>
                <w:tab w:val="clear" w:pos="794"/>
                <w:tab w:val="left" w:pos="4111"/>
              </w:tabs>
              <w:overflowPunct/>
              <w:autoSpaceDE/>
              <w:autoSpaceDN/>
              <w:adjustRightInd/>
              <w:spacing w:before="0"/>
              <w:textAlignment w:val="auto"/>
              <w:rPr>
                <w:b/>
                <w:bCs/>
                <w:lang w:val="es-ES"/>
              </w:rPr>
            </w:pPr>
            <w:r w:rsidRPr="00803630">
              <w:rPr>
                <w:b/>
                <w:bCs/>
                <w:lang w:val="es-ES"/>
              </w:rPr>
              <w:t xml:space="preserve">Creación de un nuevo Grupo Temático sobre </w:t>
            </w:r>
            <w:r w:rsidR="00D969D1" w:rsidRPr="00803630">
              <w:rPr>
                <w:b/>
                <w:bCs/>
                <w:lang w:val="es-ES"/>
              </w:rPr>
              <w:t xml:space="preserve">Ciudades sostenibles </w:t>
            </w:r>
            <w:r w:rsidR="00A107B8">
              <w:rPr>
                <w:b/>
                <w:bCs/>
                <w:lang w:val="es-ES"/>
              </w:rPr>
              <w:t xml:space="preserve">e </w:t>
            </w:r>
            <w:r w:rsidR="00D969D1" w:rsidRPr="00803630">
              <w:rPr>
                <w:b/>
                <w:bCs/>
                <w:lang w:val="es-ES"/>
              </w:rPr>
              <w:t>inteligentes</w:t>
            </w:r>
            <w:r w:rsidR="00360D76" w:rsidRPr="00803630">
              <w:rPr>
                <w:b/>
                <w:bCs/>
                <w:lang w:val="es-ES"/>
              </w:rPr>
              <w:t xml:space="preserve"> (FG-SSC);</w:t>
            </w:r>
          </w:p>
          <w:p w:rsidR="00C34772" w:rsidRPr="00803630" w:rsidRDefault="00B90541" w:rsidP="00D277A9">
            <w:pPr>
              <w:tabs>
                <w:tab w:val="left" w:pos="4111"/>
              </w:tabs>
              <w:spacing w:before="0"/>
              <w:rPr>
                <w:b/>
                <w:bCs/>
                <w:lang w:val="es-ES"/>
              </w:rPr>
            </w:pPr>
            <w:r w:rsidRPr="00803630">
              <w:rPr>
                <w:b/>
                <w:bCs/>
                <w:lang w:val="es-ES"/>
              </w:rPr>
              <w:t xml:space="preserve">Primera reunión del </w:t>
            </w:r>
            <w:r w:rsidR="00360D76" w:rsidRPr="00803630">
              <w:rPr>
                <w:b/>
                <w:bCs/>
                <w:lang w:val="es-ES"/>
              </w:rPr>
              <w:t>FG-SSC</w:t>
            </w:r>
            <w:r w:rsidRPr="00803630">
              <w:rPr>
                <w:b/>
                <w:bCs/>
                <w:lang w:val="es-ES"/>
              </w:rPr>
              <w:t xml:space="preserve">, </w:t>
            </w:r>
            <w:r w:rsidR="00360D76" w:rsidRPr="00803630">
              <w:rPr>
                <w:b/>
                <w:bCs/>
                <w:lang w:val="es-ES"/>
              </w:rPr>
              <w:t>Tur</w:t>
            </w:r>
            <w:r w:rsidR="003B4BFC">
              <w:rPr>
                <w:b/>
                <w:bCs/>
                <w:lang w:val="es-ES"/>
              </w:rPr>
              <w:t>í</w:t>
            </w:r>
            <w:r w:rsidR="00360D76" w:rsidRPr="00803630">
              <w:rPr>
                <w:b/>
                <w:bCs/>
                <w:lang w:val="es-ES"/>
              </w:rPr>
              <w:t>n, Ital</w:t>
            </w:r>
            <w:r w:rsidR="004E2AF7">
              <w:rPr>
                <w:b/>
                <w:bCs/>
                <w:lang w:val="es-ES"/>
              </w:rPr>
              <w:t>ia</w:t>
            </w:r>
            <w:r w:rsidR="00360D76" w:rsidRPr="00803630">
              <w:rPr>
                <w:b/>
                <w:bCs/>
                <w:lang w:val="es-ES"/>
              </w:rPr>
              <w:t xml:space="preserve">, 8 </w:t>
            </w:r>
            <w:r w:rsidR="004E2AF7">
              <w:rPr>
                <w:b/>
                <w:bCs/>
                <w:lang w:val="es-ES"/>
              </w:rPr>
              <w:t>de mayo de</w:t>
            </w:r>
            <w:r w:rsidR="00360D76" w:rsidRPr="00803630">
              <w:rPr>
                <w:b/>
                <w:bCs/>
                <w:lang w:val="es-ES"/>
              </w:rPr>
              <w:t xml:space="preserve"> 2013</w:t>
            </w:r>
          </w:p>
        </w:tc>
      </w:tr>
    </w:tbl>
    <w:p w:rsidR="00C34772" w:rsidRPr="00803630" w:rsidRDefault="00C34772" w:rsidP="00D969D1">
      <w:pPr>
        <w:spacing w:before="240"/>
        <w:ind w:left="-199"/>
        <w:rPr>
          <w:rFonts w:ascii="Century Gothic" w:hAnsi="Century Gothic"/>
          <w:szCs w:val="24"/>
          <w:lang w:val="es-ES"/>
        </w:rPr>
      </w:pPr>
    </w:p>
    <w:p w:rsidR="00C34772" w:rsidRPr="00803630" w:rsidRDefault="00C34772" w:rsidP="00D969D1">
      <w:pPr>
        <w:pStyle w:val="ITUintr"/>
        <w:tabs>
          <w:tab w:val="clear" w:pos="737"/>
          <w:tab w:val="clear" w:pos="1134"/>
          <w:tab w:val="left" w:pos="794"/>
        </w:tabs>
        <w:spacing w:before="120"/>
        <w:ind w:right="92"/>
        <w:rPr>
          <w:sz w:val="24"/>
          <w:lang w:val="es-ES"/>
        </w:rPr>
      </w:pPr>
      <w:r w:rsidRPr="00803630">
        <w:rPr>
          <w:rFonts w:ascii="Times New Roman" w:hAnsi="Times New Roman"/>
          <w:sz w:val="24"/>
          <w:lang w:val="es-ES"/>
        </w:rPr>
        <w:t>Muy Señor mío/Muy Señora mía</w:t>
      </w:r>
      <w:r w:rsidRPr="00803630">
        <w:rPr>
          <w:sz w:val="24"/>
          <w:lang w:val="es-ES"/>
        </w:rPr>
        <w:t>:</w:t>
      </w:r>
    </w:p>
    <w:p w:rsidR="00B90541" w:rsidRPr="00803630" w:rsidRDefault="00B90541" w:rsidP="00D969D1">
      <w:pPr>
        <w:rPr>
          <w:lang w:val="es-ES"/>
        </w:rPr>
      </w:pPr>
      <w:r w:rsidRPr="00803630">
        <w:rPr>
          <w:lang w:val="es-ES"/>
        </w:rPr>
        <w:t>1</w:t>
      </w:r>
      <w:r w:rsidRPr="00803630">
        <w:rPr>
          <w:lang w:val="es-ES"/>
        </w:rPr>
        <w:tab/>
        <w:t xml:space="preserve">Me complace informarle de la creación del Grupo Temático del UIT-T sobre </w:t>
      </w:r>
      <w:r w:rsidR="00D969D1" w:rsidRPr="003B4BFC">
        <w:rPr>
          <w:lang w:val="es-ES"/>
        </w:rPr>
        <w:t xml:space="preserve">Ciudades sostenibles </w:t>
      </w:r>
      <w:r w:rsidR="00A107B8" w:rsidRPr="003B4BFC">
        <w:rPr>
          <w:lang w:val="es-ES"/>
        </w:rPr>
        <w:t xml:space="preserve">e </w:t>
      </w:r>
      <w:r w:rsidR="00D969D1" w:rsidRPr="003B4BFC">
        <w:rPr>
          <w:lang w:val="es-ES"/>
        </w:rPr>
        <w:t>inteligentes</w:t>
      </w:r>
      <w:r w:rsidR="00360D76" w:rsidRPr="003B4BFC">
        <w:rPr>
          <w:lang w:val="es-ES"/>
        </w:rPr>
        <w:t xml:space="preserve"> (FG-SSC)</w:t>
      </w:r>
      <w:r w:rsidRPr="00803630">
        <w:rPr>
          <w:lang w:val="es-ES"/>
        </w:rPr>
        <w:t xml:space="preserve"> </w:t>
      </w:r>
      <w:r w:rsidR="00D969D1" w:rsidRPr="00803630">
        <w:rPr>
          <w:lang w:val="es-ES"/>
        </w:rPr>
        <w:t>conforme a lo acordado en la reunión d</w:t>
      </w:r>
      <w:r w:rsidRPr="00803630">
        <w:rPr>
          <w:lang w:val="es-ES"/>
        </w:rPr>
        <w:t>el GANT del UIT-T celebrada en Ginebra</w:t>
      </w:r>
      <w:r w:rsidR="00D969D1" w:rsidRPr="00803630">
        <w:rPr>
          <w:lang w:val="es-ES"/>
        </w:rPr>
        <w:t xml:space="preserve"> del </w:t>
      </w:r>
      <w:r w:rsidR="00360D76" w:rsidRPr="00803630">
        <w:rPr>
          <w:lang w:val="es-ES"/>
        </w:rPr>
        <w:t xml:space="preserve">29 </w:t>
      </w:r>
      <w:r w:rsidR="00D969D1" w:rsidRPr="00803630">
        <w:rPr>
          <w:lang w:val="es-ES"/>
        </w:rPr>
        <w:t xml:space="preserve">de enero al </w:t>
      </w:r>
      <w:r w:rsidR="00360D76" w:rsidRPr="00803630">
        <w:rPr>
          <w:lang w:val="es-ES"/>
        </w:rPr>
        <w:t xml:space="preserve">7 </w:t>
      </w:r>
      <w:r w:rsidR="00D969D1" w:rsidRPr="00803630">
        <w:rPr>
          <w:lang w:val="es-ES"/>
        </w:rPr>
        <w:t xml:space="preserve">de febrero de </w:t>
      </w:r>
      <w:r w:rsidR="00360D76" w:rsidRPr="00803630">
        <w:rPr>
          <w:lang w:val="es-ES"/>
        </w:rPr>
        <w:t>2013</w:t>
      </w:r>
      <w:r w:rsidRPr="00803630">
        <w:rPr>
          <w:lang w:val="es-ES"/>
        </w:rPr>
        <w:t>.</w:t>
      </w:r>
    </w:p>
    <w:p w:rsidR="00360D76" w:rsidRPr="00803630" w:rsidRDefault="00B90541" w:rsidP="007D2C8B">
      <w:pPr>
        <w:rPr>
          <w:color w:val="000000"/>
          <w:lang w:val="es-ES"/>
        </w:rPr>
      </w:pPr>
      <w:r w:rsidRPr="00803630">
        <w:rPr>
          <w:lang w:val="es-ES"/>
        </w:rPr>
        <w:t>2</w:t>
      </w:r>
      <w:r w:rsidRPr="00803630">
        <w:rPr>
          <w:lang w:val="es-ES"/>
        </w:rPr>
        <w:tab/>
        <w:t xml:space="preserve">Este Grupo Temático </w:t>
      </w:r>
      <w:r w:rsidR="00803630">
        <w:rPr>
          <w:color w:val="000000"/>
          <w:lang w:val="es-ES"/>
        </w:rPr>
        <w:t>analizará las soluciones y los proyectos de T</w:t>
      </w:r>
      <w:r w:rsidR="00360D76" w:rsidRPr="00803630">
        <w:rPr>
          <w:lang w:val="es-ES"/>
        </w:rPr>
        <w:t xml:space="preserve">IC </w:t>
      </w:r>
      <w:r w:rsidR="00803630">
        <w:rPr>
          <w:lang w:val="es-ES"/>
        </w:rPr>
        <w:t xml:space="preserve">que </w:t>
      </w:r>
      <w:r w:rsidR="00A107B8">
        <w:rPr>
          <w:lang w:val="es-ES"/>
        </w:rPr>
        <w:t>fomenten</w:t>
      </w:r>
      <w:r w:rsidR="00803630">
        <w:rPr>
          <w:lang w:val="es-ES"/>
        </w:rPr>
        <w:t xml:space="preserve"> la sostenibilidad ambie</w:t>
      </w:r>
      <w:r w:rsidR="00A107B8">
        <w:rPr>
          <w:lang w:val="es-ES"/>
        </w:rPr>
        <w:t>ntal en las ciudades y que pueda</w:t>
      </w:r>
      <w:r w:rsidR="00803630">
        <w:rPr>
          <w:lang w:val="es-ES"/>
        </w:rPr>
        <w:t>n normalizarse en el marco de la CE</w:t>
      </w:r>
      <w:r w:rsidR="007D2C8B">
        <w:rPr>
          <w:lang w:val="es-ES"/>
        </w:rPr>
        <w:t> </w:t>
      </w:r>
      <w:r w:rsidR="00803630">
        <w:rPr>
          <w:lang w:val="es-ES"/>
        </w:rPr>
        <w:t>5 del UIT</w:t>
      </w:r>
      <w:r w:rsidR="007D2C8B">
        <w:rPr>
          <w:lang w:val="es-ES"/>
        </w:rPr>
        <w:noBreakHyphen/>
      </w:r>
      <w:r w:rsidR="00360D76" w:rsidRPr="00803630">
        <w:rPr>
          <w:lang w:val="es-ES"/>
        </w:rPr>
        <w:t>T</w:t>
      </w:r>
      <w:r w:rsidR="00A107B8">
        <w:rPr>
          <w:lang w:val="es-ES"/>
        </w:rPr>
        <w:t>,</w:t>
      </w:r>
      <w:r w:rsidR="00360D76" w:rsidRPr="00803630">
        <w:rPr>
          <w:lang w:val="es-ES"/>
        </w:rPr>
        <w:t xml:space="preserve"> </w:t>
      </w:r>
      <w:r w:rsidR="00A107B8">
        <w:rPr>
          <w:lang w:val="es-ES"/>
        </w:rPr>
        <w:t>y</w:t>
      </w:r>
      <w:r w:rsidR="00803630">
        <w:rPr>
          <w:lang w:val="es-ES"/>
        </w:rPr>
        <w:t xml:space="preserve"> </w:t>
      </w:r>
      <w:r w:rsidR="00A107B8">
        <w:rPr>
          <w:lang w:val="es-ES"/>
        </w:rPr>
        <w:t xml:space="preserve">determinará </w:t>
      </w:r>
      <w:r w:rsidR="00803630">
        <w:rPr>
          <w:lang w:val="es-ES"/>
        </w:rPr>
        <w:t xml:space="preserve">las prácticas idóneas que podrían facilitar la aplicación de tales soluciones </w:t>
      </w:r>
      <w:r w:rsidR="004E2AF7">
        <w:rPr>
          <w:lang w:val="es-ES"/>
        </w:rPr>
        <w:t>a</w:t>
      </w:r>
      <w:r w:rsidR="00803630">
        <w:rPr>
          <w:lang w:val="es-ES"/>
        </w:rPr>
        <w:t xml:space="preserve"> las ciudades</w:t>
      </w:r>
      <w:r w:rsidR="00360D76" w:rsidRPr="00803630">
        <w:rPr>
          <w:lang w:val="es-ES"/>
        </w:rPr>
        <w:t xml:space="preserve">. </w:t>
      </w:r>
    </w:p>
    <w:p w:rsidR="00360D76" w:rsidRPr="00803630" w:rsidRDefault="00803630" w:rsidP="00803630">
      <w:pPr>
        <w:rPr>
          <w:lang w:val="es-ES"/>
        </w:rPr>
      </w:pPr>
      <w:r>
        <w:rPr>
          <w:lang w:val="es-ES"/>
        </w:rPr>
        <w:t>El Grupo preparará una hoja de ruta para la normalización, teniendo en cuenta las actividades que realizan otras organizaciones y foros de normalización</w:t>
      </w:r>
      <w:r w:rsidR="00360D76" w:rsidRPr="00803630">
        <w:rPr>
          <w:lang w:val="es-ES"/>
        </w:rPr>
        <w:t>.</w:t>
      </w:r>
    </w:p>
    <w:p w:rsidR="00360D76" w:rsidRPr="00803630" w:rsidRDefault="00803630" w:rsidP="00A107B8">
      <w:pPr>
        <w:rPr>
          <w:lang w:val="es-ES"/>
        </w:rPr>
      </w:pPr>
      <w:r>
        <w:rPr>
          <w:lang w:val="es-ES"/>
        </w:rPr>
        <w:t xml:space="preserve">Este Grupo Temático aprovechará el papel </w:t>
      </w:r>
      <w:r w:rsidR="00621A06">
        <w:rPr>
          <w:lang w:val="es-ES"/>
        </w:rPr>
        <w:t xml:space="preserve">que desempeña </w:t>
      </w:r>
      <w:r>
        <w:rPr>
          <w:lang w:val="es-ES"/>
        </w:rPr>
        <w:t xml:space="preserve">el sector de las TIC para fomentar el crecimiento de ciudades sostenibles </w:t>
      </w:r>
      <w:r w:rsidR="00A107B8">
        <w:rPr>
          <w:lang w:val="es-ES"/>
        </w:rPr>
        <w:t xml:space="preserve">e inteligentes </w:t>
      </w:r>
      <w:r>
        <w:rPr>
          <w:lang w:val="es-ES"/>
        </w:rPr>
        <w:t xml:space="preserve">y </w:t>
      </w:r>
      <w:r w:rsidR="00621A06">
        <w:rPr>
          <w:lang w:val="es-ES"/>
        </w:rPr>
        <w:t xml:space="preserve">colaborará con la comunidad mundial del caso </w:t>
      </w:r>
      <w:r w:rsidR="00360D76" w:rsidRPr="00803630">
        <w:rPr>
          <w:lang w:val="es-ES"/>
        </w:rPr>
        <w:t>(</w:t>
      </w:r>
      <w:r w:rsidR="00621A06">
        <w:rPr>
          <w:lang w:val="es-ES"/>
        </w:rPr>
        <w:t>por ejemplo</w:t>
      </w:r>
      <w:r w:rsidR="00360D76" w:rsidRPr="00803630">
        <w:rPr>
          <w:lang w:val="es-ES"/>
        </w:rPr>
        <w:t xml:space="preserve">, </w:t>
      </w:r>
      <w:r w:rsidR="00621A06">
        <w:rPr>
          <w:lang w:val="es-ES"/>
        </w:rPr>
        <w:t>institutos de investigación, foros e instituciones académicas</w:t>
      </w:r>
      <w:r w:rsidR="00360D76" w:rsidRPr="00803630">
        <w:rPr>
          <w:lang w:val="es-ES"/>
        </w:rPr>
        <w:t>)</w:t>
      </w:r>
      <w:r w:rsidR="00621A06">
        <w:rPr>
          <w:lang w:val="es-ES"/>
        </w:rPr>
        <w:t>, en particular con otros organismos de normalización y consorcios</w:t>
      </w:r>
      <w:r w:rsidR="00360D76" w:rsidRPr="00803630">
        <w:rPr>
          <w:lang w:val="es-ES"/>
        </w:rPr>
        <w:t>.</w:t>
      </w:r>
    </w:p>
    <w:p w:rsidR="00360D76" w:rsidRPr="00803630" w:rsidRDefault="00621A06" w:rsidP="00621A06">
      <w:pPr>
        <w:rPr>
          <w:lang w:val="es-ES"/>
        </w:rPr>
      </w:pPr>
      <w:r>
        <w:rPr>
          <w:lang w:val="es-ES"/>
        </w:rPr>
        <w:t xml:space="preserve">La página web del </w:t>
      </w:r>
      <w:r w:rsidR="00360D76" w:rsidRPr="00803630">
        <w:rPr>
          <w:lang w:val="es-ES"/>
        </w:rPr>
        <w:t xml:space="preserve">FG-SSC </w:t>
      </w:r>
      <w:r>
        <w:rPr>
          <w:lang w:val="es-ES"/>
        </w:rPr>
        <w:t xml:space="preserve">figura en </w:t>
      </w:r>
      <w:hyperlink r:id="rId11" w:history="1">
        <w:r w:rsidR="00360D76" w:rsidRPr="00803630">
          <w:rPr>
            <w:color w:val="0000FF"/>
            <w:u w:val="single"/>
            <w:lang w:val="es-ES"/>
          </w:rPr>
          <w:t>http://itu.int/en/ITU-T/focusgroups/ssc</w:t>
        </w:r>
      </w:hyperlink>
      <w:r w:rsidR="00360D76" w:rsidRPr="00803630">
        <w:rPr>
          <w:lang w:val="es-ES"/>
        </w:rPr>
        <w:t>.</w:t>
      </w:r>
    </w:p>
    <w:p w:rsidR="004E2AF7" w:rsidRDefault="004E2AF7">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B90541" w:rsidRPr="00803630" w:rsidRDefault="00B90541" w:rsidP="003B4BFC">
      <w:pPr>
        <w:rPr>
          <w:lang w:val="es-ES"/>
        </w:rPr>
      </w:pPr>
      <w:r w:rsidRPr="00803630">
        <w:rPr>
          <w:lang w:val="es-ES"/>
        </w:rPr>
        <w:lastRenderedPageBreak/>
        <w:t>3</w:t>
      </w:r>
      <w:r w:rsidRPr="00803630">
        <w:rPr>
          <w:lang w:val="es-ES"/>
        </w:rPr>
        <w:tab/>
        <w:t>El Grupo</w:t>
      </w:r>
      <w:r w:rsidR="00170CD3" w:rsidRPr="00803630">
        <w:rPr>
          <w:lang w:val="es-ES"/>
        </w:rPr>
        <w:t xml:space="preserve"> Temático realizará</w:t>
      </w:r>
      <w:r w:rsidRPr="00803630">
        <w:rPr>
          <w:lang w:val="es-ES"/>
        </w:rPr>
        <w:t xml:space="preserve"> sus trabajos con arreglo a los procedimientos previsto</w:t>
      </w:r>
      <w:r w:rsidR="00443CE3" w:rsidRPr="00803630">
        <w:rPr>
          <w:lang w:val="es-ES"/>
        </w:rPr>
        <w:t>s</w:t>
      </w:r>
      <w:r w:rsidRPr="00803630">
        <w:rPr>
          <w:lang w:val="es-ES"/>
        </w:rPr>
        <w:t xml:space="preserve"> en la Recomendación UIT-T A.7 y tendrá como grupo tutor a la Comisión de </w:t>
      </w:r>
      <w:r w:rsidR="00170CD3" w:rsidRPr="00803630">
        <w:rPr>
          <w:lang w:val="es-ES"/>
        </w:rPr>
        <w:t xml:space="preserve">Estudio </w:t>
      </w:r>
      <w:r w:rsidR="00621A06">
        <w:rPr>
          <w:lang w:val="es-ES"/>
        </w:rPr>
        <w:t>5</w:t>
      </w:r>
      <w:r w:rsidRPr="00803630">
        <w:rPr>
          <w:lang w:val="es-ES"/>
        </w:rPr>
        <w:t xml:space="preserve"> del UIT-T. En el </w:t>
      </w:r>
      <w:r w:rsidRPr="00803630">
        <w:rPr>
          <w:b/>
          <w:bCs/>
          <w:lang w:val="es-ES"/>
        </w:rPr>
        <w:t>Anexo 1</w:t>
      </w:r>
      <w:r w:rsidR="00621A06">
        <w:rPr>
          <w:b/>
          <w:bCs/>
          <w:lang w:val="es-ES"/>
        </w:rPr>
        <w:t xml:space="preserve"> </w:t>
      </w:r>
      <w:r w:rsidR="00621A06" w:rsidRPr="00621A06">
        <w:rPr>
          <w:lang w:val="es-ES"/>
        </w:rPr>
        <w:t>se reproduce el mandato convenido de este FG-SSC</w:t>
      </w:r>
      <w:r w:rsidR="000F747F" w:rsidRPr="00803630">
        <w:rPr>
          <w:lang w:val="es-ES"/>
        </w:rPr>
        <w:t xml:space="preserve">. </w:t>
      </w:r>
      <w:r w:rsidR="00621A06">
        <w:rPr>
          <w:szCs w:val="24"/>
          <w:lang w:val="es-ES"/>
        </w:rPr>
        <w:t>La Sra. Silvia Guzmá</w:t>
      </w:r>
      <w:r w:rsidR="000F747F" w:rsidRPr="00803630">
        <w:rPr>
          <w:szCs w:val="24"/>
          <w:lang w:val="es-ES"/>
        </w:rPr>
        <w:t xml:space="preserve">n (Telefónica, </w:t>
      </w:r>
      <w:r w:rsidR="00621A06">
        <w:rPr>
          <w:szCs w:val="24"/>
          <w:lang w:val="es-ES"/>
        </w:rPr>
        <w:t>España</w:t>
      </w:r>
      <w:r w:rsidR="000F747F" w:rsidRPr="00803630">
        <w:rPr>
          <w:szCs w:val="24"/>
          <w:lang w:val="es-ES"/>
        </w:rPr>
        <w:t xml:space="preserve">) </w:t>
      </w:r>
      <w:r w:rsidR="00621A06">
        <w:rPr>
          <w:szCs w:val="24"/>
          <w:lang w:val="es-ES"/>
        </w:rPr>
        <w:t>presidirá el Grupo Temático</w:t>
      </w:r>
      <w:r w:rsidR="000F747F" w:rsidRPr="00803630">
        <w:rPr>
          <w:szCs w:val="24"/>
          <w:lang w:val="es-ES"/>
        </w:rPr>
        <w:t xml:space="preserve">. </w:t>
      </w:r>
      <w:r w:rsidR="00621A06">
        <w:rPr>
          <w:szCs w:val="24"/>
          <w:lang w:val="es-ES"/>
        </w:rPr>
        <w:t xml:space="preserve">El Sr. </w:t>
      </w:r>
      <w:r w:rsidR="000F747F" w:rsidRPr="00803630">
        <w:rPr>
          <w:lang w:val="es-ES"/>
        </w:rPr>
        <w:t xml:space="preserve">Flavio </w:t>
      </w:r>
      <w:proofErr w:type="spellStart"/>
      <w:r w:rsidR="000F747F" w:rsidRPr="00803630">
        <w:rPr>
          <w:lang w:val="es-ES"/>
        </w:rPr>
        <w:t>Cucchietti</w:t>
      </w:r>
      <w:proofErr w:type="spellEnd"/>
      <w:r w:rsidR="000F747F" w:rsidRPr="00803630">
        <w:rPr>
          <w:szCs w:val="24"/>
          <w:lang w:val="es-ES"/>
        </w:rPr>
        <w:t xml:space="preserve"> (Telecom Italia), </w:t>
      </w:r>
      <w:r w:rsidR="00621A06">
        <w:rPr>
          <w:szCs w:val="24"/>
          <w:lang w:val="es-ES"/>
        </w:rPr>
        <w:t xml:space="preserve">el Sr. </w:t>
      </w:r>
      <w:r w:rsidR="000F747F" w:rsidRPr="00803630">
        <w:rPr>
          <w:lang w:val="es-ES"/>
        </w:rPr>
        <w:t>Pablo Bilbao (Federación Argentina de Municipios, Argentina)</w:t>
      </w:r>
      <w:r w:rsidR="000F747F" w:rsidRPr="00803630">
        <w:rPr>
          <w:szCs w:val="24"/>
          <w:lang w:val="es-ES"/>
        </w:rPr>
        <w:t xml:space="preserve">, </w:t>
      </w:r>
      <w:r w:rsidR="00621A06">
        <w:rPr>
          <w:szCs w:val="24"/>
          <w:lang w:val="es-ES"/>
        </w:rPr>
        <w:t xml:space="preserve">el Sr. </w:t>
      </w:r>
      <w:r w:rsidR="000F747F" w:rsidRPr="00803630">
        <w:rPr>
          <w:lang w:val="es-ES"/>
        </w:rPr>
        <w:t>Franz Zichy (</w:t>
      </w:r>
      <w:r w:rsidR="00621A06">
        <w:rPr>
          <w:lang w:val="es-ES"/>
        </w:rPr>
        <w:t>Estados Unidos</w:t>
      </w:r>
      <w:r w:rsidR="000F747F" w:rsidRPr="00803630">
        <w:rPr>
          <w:lang w:val="es-ES"/>
        </w:rPr>
        <w:t xml:space="preserve">), </w:t>
      </w:r>
      <w:r w:rsidR="00621A06">
        <w:rPr>
          <w:szCs w:val="24"/>
          <w:lang w:val="es-ES"/>
        </w:rPr>
        <w:t>el Sr.</w:t>
      </w:r>
      <w:r w:rsidR="003B4BFC">
        <w:rPr>
          <w:szCs w:val="24"/>
          <w:lang w:val="es-ES"/>
        </w:rPr>
        <w:t> </w:t>
      </w:r>
      <w:proofErr w:type="spellStart"/>
      <w:r w:rsidR="000F747F" w:rsidRPr="00803630">
        <w:rPr>
          <w:lang w:val="es-ES"/>
        </w:rPr>
        <w:t>Nasser</w:t>
      </w:r>
      <w:proofErr w:type="spellEnd"/>
      <w:r w:rsidR="000F747F" w:rsidRPr="00803630">
        <w:rPr>
          <w:lang w:val="es-ES"/>
        </w:rPr>
        <w:t xml:space="preserve"> </w:t>
      </w:r>
      <w:proofErr w:type="spellStart"/>
      <w:r w:rsidR="000F747F" w:rsidRPr="00803630">
        <w:rPr>
          <w:lang w:val="es-ES"/>
        </w:rPr>
        <w:t>Saleh</w:t>
      </w:r>
      <w:proofErr w:type="spellEnd"/>
      <w:r w:rsidR="000F747F" w:rsidRPr="00803630">
        <w:rPr>
          <w:lang w:val="es-ES"/>
        </w:rPr>
        <w:t xml:space="preserve"> Al </w:t>
      </w:r>
      <w:proofErr w:type="spellStart"/>
      <w:r w:rsidR="000F747F" w:rsidRPr="00803630">
        <w:rPr>
          <w:lang w:val="es-ES"/>
        </w:rPr>
        <w:t>Marzouqi</w:t>
      </w:r>
      <w:proofErr w:type="spellEnd"/>
      <w:r w:rsidR="000F747F" w:rsidRPr="00803630">
        <w:rPr>
          <w:lang w:val="es-ES"/>
        </w:rPr>
        <w:t xml:space="preserve"> (UAE), </w:t>
      </w:r>
      <w:r w:rsidR="00621A06">
        <w:rPr>
          <w:szCs w:val="24"/>
          <w:lang w:val="es-ES"/>
        </w:rPr>
        <w:t xml:space="preserve">el Sr. </w:t>
      </w:r>
      <w:proofErr w:type="spellStart"/>
      <w:r w:rsidR="000F747F" w:rsidRPr="00803630">
        <w:rPr>
          <w:lang w:val="es-ES"/>
        </w:rPr>
        <w:t>Ziqin</w:t>
      </w:r>
      <w:proofErr w:type="spellEnd"/>
      <w:r w:rsidR="000F747F" w:rsidRPr="00803630">
        <w:rPr>
          <w:lang w:val="es-ES"/>
        </w:rPr>
        <w:t xml:space="preserve"> </w:t>
      </w:r>
      <w:proofErr w:type="spellStart"/>
      <w:r w:rsidR="000F747F" w:rsidRPr="00803630">
        <w:rPr>
          <w:lang w:val="es-ES"/>
        </w:rPr>
        <w:t>Sang</w:t>
      </w:r>
      <w:proofErr w:type="spellEnd"/>
      <w:r w:rsidR="000F747F" w:rsidRPr="00803630">
        <w:rPr>
          <w:lang w:val="es-ES"/>
        </w:rPr>
        <w:t xml:space="preserve"> (</w:t>
      </w:r>
      <w:proofErr w:type="spellStart"/>
      <w:r w:rsidR="000F747F" w:rsidRPr="00803630">
        <w:rPr>
          <w:lang w:val="es-ES"/>
        </w:rPr>
        <w:t>Fiberhome</w:t>
      </w:r>
      <w:proofErr w:type="spellEnd"/>
      <w:r w:rsidR="000F747F" w:rsidRPr="00803630">
        <w:rPr>
          <w:lang w:val="es-ES"/>
        </w:rPr>
        <w:t xml:space="preserve"> Technologies </w:t>
      </w:r>
      <w:proofErr w:type="spellStart"/>
      <w:r w:rsidR="000F747F" w:rsidRPr="00803630">
        <w:rPr>
          <w:lang w:val="es-ES"/>
        </w:rPr>
        <w:t>Group</w:t>
      </w:r>
      <w:proofErr w:type="spellEnd"/>
      <w:r w:rsidR="000F747F" w:rsidRPr="00803630">
        <w:rPr>
          <w:lang w:val="es-ES"/>
        </w:rPr>
        <w:t xml:space="preserve">, China) </w:t>
      </w:r>
      <w:r w:rsidR="00621A06">
        <w:rPr>
          <w:lang w:val="es-ES"/>
        </w:rPr>
        <w:t>y el Sr.</w:t>
      </w:r>
      <w:r w:rsidR="000F747F" w:rsidRPr="00803630">
        <w:rPr>
          <w:szCs w:val="24"/>
          <w:lang w:val="es-ES"/>
        </w:rPr>
        <w:t xml:space="preserve"> </w:t>
      </w:r>
      <w:proofErr w:type="spellStart"/>
      <w:r w:rsidR="000F747F" w:rsidRPr="00803630">
        <w:rPr>
          <w:lang w:val="es-ES"/>
        </w:rPr>
        <w:t>Sekhar</w:t>
      </w:r>
      <w:proofErr w:type="spellEnd"/>
      <w:r w:rsidR="000F747F" w:rsidRPr="00803630">
        <w:rPr>
          <w:lang w:val="es-ES"/>
        </w:rPr>
        <w:t xml:space="preserve"> </w:t>
      </w:r>
      <w:proofErr w:type="spellStart"/>
      <w:r w:rsidR="000F747F" w:rsidRPr="00803630">
        <w:rPr>
          <w:lang w:val="es-ES"/>
        </w:rPr>
        <w:t>Kondepudi</w:t>
      </w:r>
      <w:proofErr w:type="spellEnd"/>
      <w:r w:rsidR="000F747F" w:rsidRPr="00803630">
        <w:rPr>
          <w:lang w:val="es-ES"/>
        </w:rPr>
        <w:t xml:space="preserve"> (</w:t>
      </w:r>
      <w:r w:rsidR="00621A06">
        <w:rPr>
          <w:lang w:val="es-ES"/>
        </w:rPr>
        <w:t>Universidad Nacional de Singapur</w:t>
      </w:r>
      <w:r w:rsidR="000F747F" w:rsidRPr="00803630">
        <w:rPr>
          <w:lang w:val="es-ES"/>
        </w:rPr>
        <w:t>, Singap</w:t>
      </w:r>
      <w:r w:rsidR="00621A06">
        <w:rPr>
          <w:lang w:val="es-ES"/>
        </w:rPr>
        <w:t>u</w:t>
      </w:r>
      <w:r w:rsidR="000F747F" w:rsidRPr="00803630">
        <w:rPr>
          <w:lang w:val="es-ES"/>
        </w:rPr>
        <w:t xml:space="preserve">r) </w:t>
      </w:r>
      <w:r w:rsidR="00621A06">
        <w:rPr>
          <w:lang w:val="es-ES"/>
        </w:rPr>
        <w:t>serán los Vicepresidentes</w:t>
      </w:r>
      <w:r w:rsidR="000F747F" w:rsidRPr="00803630">
        <w:rPr>
          <w:szCs w:val="24"/>
          <w:lang w:val="es-ES"/>
        </w:rPr>
        <w:t xml:space="preserve">. </w:t>
      </w:r>
      <w:r w:rsidRPr="00803630">
        <w:rPr>
          <w:lang w:val="es-ES"/>
        </w:rPr>
        <w:t>Estoy convencido de que, al crear el Grupo Temático, el UIT-T cumplirá las expectati</w:t>
      </w:r>
      <w:r w:rsidR="00443CE3" w:rsidRPr="00803630">
        <w:rPr>
          <w:lang w:val="es-ES"/>
        </w:rPr>
        <w:t>vas de sus miembros y demostrará</w:t>
      </w:r>
      <w:r w:rsidRPr="00803630">
        <w:rPr>
          <w:lang w:val="es-ES"/>
        </w:rPr>
        <w:t xml:space="preserve"> su capacidad para abordar los temas que requieren una atención urgente.</w:t>
      </w:r>
    </w:p>
    <w:p w:rsidR="00B90541" w:rsidRPr="00803630" w:rsidRDefault="00B90541" w:rsidP="003B4BFC">
      <w:pPr>
        <w:rPr>
          <w:lang w:val="es-ES"/>
        </w:rPr>
      </w:pPr>
      <w:r w:rsidRPr="00803630">
        <w:rPr>
          <w:lang w:val="es-ES"/>
        </w:rPr>
        <w:t>4</w:t>
      </w:r>
      <w:r w:rsidRPr="00803630">
        <w:rPr>
          <w:lang w:val="es-ES"/>
        </w:rPr>
        <w:tab/>
      </w:r>
      <w:r w:rsidR="002F6BA1">
        <w:rPr>
          <w:lang w:val="es-ES"/>
        </w:rPr>
        <w:t xml:space="preserve">Podrán participar </w:t>
      </w:r>
      <w:r w:rsidRPr="00803630">
        <w:rPr>
          <w:lang w:val="es-ES"/>
        </w:rPr>
        <w:t xml:space="preserve">en el </w:t>
      </w:r>
      <w:r w:rsidR="00D144FD" w:rsidRPr="003B4BFC">
        <w:rPr>
          <w:lang w:val="es-ES"/>
        </w:rPr>
        <w:t>FG-SSC</w:t>
      </w:r>
      <w:r w:rsidRPr="00803630">
        <w:rPr>
          <w:lang w:val="es-ES"/>
        </w:rPr>
        <w:t xml:space="preserve"> los Estados Miembros, Miembros de Sector, Asociados e Instituciones </w:t>
      </w:r>
      <w:r w:rsidR="00170CD3" w:rsidRPr="00803630">
        <w:rPr>
          <w:lang w:val="es-ES"/>
        </w:rPr>
        <w:t xml:space="preserve">Académicas </w:t>
      </w:r>
      <w:r w:rsidRPr="00803630">
        <w:rPr>
          <w:lang w:val="es-ES"/>
        </w:rPr>
        <w:t xml:space="preserve">de la UIT, </w:t>
      </w:r>
      <w:r w:rsidR="00170CD3" w:rsidRPr="00803630">
        <w:rPr>
          <w:lang w:val="es-ES"/>
        </w:rPr>
        <w:t>así como</w:t>
      </w:r>
      <w:r w:rsidRPr="00803630">
        <w:rPr>
          <w:lang w:val="es-ES"/>
        </w:rPr>
        <w:t xml:space="preserve"> cualquier persona de un país Miembro de la UIT que desee contribuir a los trabajos, en particular las personas que también sean miembros o representantes de organizaciones de normalización interesadas.</w:t>
      </w:r>
    </w:p>
    <w:p w:rsidR="00B90541" w:rsidRPr="00803630" w:rsidRDefault="00B90541" w:rsidP="007D2C8B">
      <w:pPr>
        <w:rPr>
          <w:lang w:val="es-ES"/>
        </w:rPr>
      </w:pPr>
      <w:r w:rsidRPr="00803630">
        <w:rPr>
          <w:lang w:val="es-ES"/>
        </w:rPr>
        <w:t>5</w:t>
      </w:r>
      <w:r w:rsidRPr="00803630">
        <w:rPr>
          <w:lang w:val="es-ES"/>
        </w:rPr>
        <w:tab/>
      </w:r>
      <w:r w:rsidR="002F6BA1">
        <w:rPr>
          <w:lang w:val="es-ES"/>
        </w:rPr>
        <w:t xml:space="preserve">La primera reunión del </w:t>
      </w:r>
      <w:r w:rsidR="00D144FD" w:rsidRPr="00803630">
        <w:rPr>
          <w:lang w:val="es-ES"/>
        </w:rPr>
        <w:t xml:space="preserve">FG-SSC </w:t>
      </w:r>
      <w:r w:rsidR="002F6BA1">
        <w:rPr>
          <w:lang w:val="es-ES"/>
        </w:rPr>
        <w:t xml:space="preserve">tendrá lugar en los laboratorios de innovación de </w:t>
      </w:r>
      <w:r w:rsidR="00D144FD" w:rsidRPr="00803630">
        <w:rPr>
          <w:lang w:val="es-ES"/>
        </w:rPr>
        <w:t>Telecom Italia</w:t>
      </w:r>
      <w:r w:rsidR="002F6BA1">
        <w:rPr>
          <w:lang w:val="es-ES"/>
        </w:rPr>
        <w:t>, Turí</w:t>
      </w:r>
      <w:r w:rsidR="00D144FD" w:rsidRPr="00803630">
        <w:rPr>
          <w:lang w:val="es-ES"/>
        </w:rPr>
        <w:t>n</w:t>
      </w:r>
      <w:r w:rsidR="002F6BA1">
        <w:rPr>
          <w:lang w:val="es-ES"/>
        </w:rPr>
        <w:t xml:space="preserve"> (</w:t>
      </w:r>
      <w:r w:rsidR="00D144FD" w:rsidRPr="00803630">
        <w:rPr>
          <w:lang w:val="es-ES"/>
        </w:rPr>
        <w:t>Ital</w:t>
      </w:r>
      <w:r w:rsidR="002F6BA1">
        <w:rPr>
          <w:lang w:val="es-ES"/>
        </w:rPr>
        <w:t>ia)</w:t>
      </w:r>
      <w:r w:rsidR="00D144FD" w:rsidRPr="00803630">
        <w:rPr>
          <w:lang w:val="es-ES"/>
        </w:rPr>
        <w:t xml:space="preserve">, </w:t>
      </w:r>
      <w:r w:rsidR="002F6BA1">
        <w:rPr>
          <w:lang w:val="es-ES"/>
        </w:rPr>
        <w:t xml:space="preserve">el </w:t>
      </w:r>
      <w:r w:rsidR="00D144FD" w:rsidRPr="00803630">
        <w:rPr>
          <w:lang w:val="es-ES"/>
        </w:rPr>
        <w:t xml:space="preserve">8 </w:t>
      </w:r>
      <w:r w:rsidR="002F6BA1">
        <w:rPr>
          <w:lang w:val="es-ES"/>
        </w:rPr>
        <w:t xml:space="preserve">de mayo de </w:t>
      </w:r>
      <w:r w:rsidR="00D144FD" w:rsidRPr="00803630">
        <w:rPr>
          <w:lang w:val="es-ES"/>
        </w:rPr>
        <w:t xml:space="preserve">2013. </w:t>
      </w:r>
      <w:r w:rsidR="002F6BA1">
        <w:rPr>
          <w:lang w:val="es-ES"/>
        </w:rPr>
        <w:t>Se celebrarán otros dos eventos en este mismo lugar, a saber</w:t>
      </w:r>
      <w:r w:rsidR="00D144FD" w:rsidRPr="00803630">
        <w:rPr>
          <w:lang w:val="es-ES"/>
        </w:rPr>
        <w:t xml:space="preserve">: </w:t>
      </w:r>
      <w:r w:rsidR="002F6BA1">
        <w:rPr>
          <w:lang w:val="es-ES"/>
        </w:rPr>
        <w:t>el Octavo Simposio sobre las T</w:t>
      </w:r>
      <w:r w:rsidR="00D144FD" w:rsidRPr="00803630">
        <w:rPr>
          <w:lang w:val="es-ES"/>
        </w:rPr>
        <w:t xml:space="preserve">IC, </w:t>
      </w:r>
      <w:r w:rsidR="002F6BA1">
        <w:rPr>
          <w:lang w:val="es-ES"/>
        </w:rPr>
        <w:t xml:space="preserve">el medio ambiente y el cambio climático, los días </w:t>
      </w:r>
      <w:r w:rsidR="00D144FD" w:rsidRPr="00803630">
        <w:rPr>
          <w:lang w:val="es-ES"/>
        </w:rPr>
        <w:t xml:space="preserve">6 </w:t>
      </w:r>
      <w:r w:rsidR="002F6BA1">
        <w:rPr>
          <w:lang w:val="es-ES"/>
        </w:rPr>
        <w:t xml:space="preserve">y </w:t>
      </w:r>
      <w:r w:rsidR="00D144FD" w:rsidRPr="00803630">
        <w:rPr>
          <w:lang w:val="es-ES"/>
        </w:rPr>
        <w:t xml:space="preserve">7 </w:t>
      </w:r>
      <w:r w:rsidR="002F6BA1">
        <w:rPr>
          <w:lang w:val="es-ES"/>
        </w:rPr>
        <w:t xml:space="preserve">de mayo de </w:t>
      </w:r>
      <w:r w:rsidR="00D144FD" w:rsidRPr="00803630">
        <w:rPr>
          <w:lang w:val="es-ES"/>
        </w:rPr>
        <w:t xml:space="preserve">2013, </w:t>
      </w:r>
      <w:r w:rsidR="002F6BA1">
        <w:rPr>
          <w:lang w:val="es-ES"/>
        </w:rPr>
        <w:t>y el Taller sobre exposición humana a los campos electromagnéticos</w:t>
      </w:r>
      <w:r w:rsidR="00D144FD" w:rsidRPr="00803630">
        <w:rPr>
          <w:lang w:val="es-ES"/>
        </w:rPr>
        <w:t xml:space="preserve"> (EMF)</w:t>
      </w:r>
      <w:r w:rsidR="002F6BA1">
        <w:rPr>
          <w:lang w:val="es-ES"/>
        </w:rPr>
        <w:t xml:space="preserve">, el </w:t>
      </w:r>
      <w:r w:rsidR="00D144FD" w:rsidRPr="00803630">
        <w:rPr>
          <w:lang w:val="es-ES"/>
        </w:rPr>
        <w:t>9 </w:t>
      </w:r>
      <w:r w:rsidR="002F6BA1">
        <w:rPr>
          <w:lang w:val="es-ES"/>
        </w:rPr>
        <w:t xml:space="preserve">de mayo de </w:t>
      </w:r>
      <w:r w:rsidR="00D144FD" w:rsidRPr="00803630">
        <w:rPr>
          <w:lang w:val="es-ES"/>
        </w:rPr>
        <w:t xml:space="preserve">2013. </w:t>
      </w:r>
      <w:r w:rsidR="002F6BA1">
        <w:rPr>
          <w:lang w:val="es-ES"/>
        </w:rPr>
        <w:t>Para más información, véase</w:t>
      </w:r>
      <w:r w:rsidR="00D144FD" w:rsidRPr="00803630">
        <w:rPr>
          <w:lang w:val="es-ES"/>
        </w:rPr>
        <w:t xml:space="preserve">: </w:t>
      </w:r>
      <w:hyperlink r:id="rId12" w:history="1">
        <w:r w:rsidR="00D144FD" w:rsidRPr="00803630">
          <w:rPr>
            <w:color w:val="0000FF"/>
            <w:u w:val="single"/>
            <w:lang w:val="es-ES"/>
          </w:rPr>
          <w:t>http://itu.int/en/ITU-T/climatechange/Pages/events-201305.aspx</w:t>
        </w:r>
      </w:hyperlink>
    </w:p>
    <w:p w:rsidR="006437A5" w:rsidRPr="00803630" w:rsidRDefault="00DB05C0" w:rsidP="007F018F">
      <w:pPr>
        <w:rPr>
          <w:lang w:val="es-ES"/>
        </w:rPr>
      </w:pPr>
      <w:r w:rsidRPr="00803630">
        <w:rPr>
          <w:lang w:val="es-ES"/>
        </w:rPr>
        <w:t>6</w:t>
      </w:r>
      <w:r w:rsidR="00A035A9" w:rsidRPr="00803630">
        <w:rPr>
          <w:lang w:val="es-ES"/>
        </w:rPr>
        <w:tab/>
      </w:r>
      <w:r w:rsidRPr="00803630">
        <w:rPr>
          <w:lang w:val="es-ES"/>
        </w:rPr>
        <w:t>S</w:t>
      </w:r>
      <w:r w:rsidR="00A035A9" w:rsidRPr="00803630">
        <w:rPr>
          <w:lang w:val="es-ES"/>
        </w:rPr>
        <w:t>e posibilitará la participación a distancia</w:t>
      </w:r>
      <w:r w:rsidRPr="00803630">
        <w:rPr>
          <w:lang w:val="es-ES"/>
        </w:rPr>
        <w:t xml:space="preserve"> en la reunión.</w:t>
      </w:r>
      <w:r w:rsidR="00A035A9" w:rsidRPr="00803630">
        <w:rPr>
          <w:lang w:val="es-ES"/>
        </w:rPr>
        <w:t xml:space="preserve"> </w:t>
      </w:r>
      <w:r w:rsidR="007F018F" w:rsidRPr="00803630">
        <w:rPr>
          <w:lang w:val="es-ES"/>
        </w:rPr>
        <w:t>En la página web de</w:t>
      </w:r>
      <w:r w:rsidR="003B4BFC">
        <w:rPr>
          <w:lang w:val="es-ES"/>
        </w:rPr>
        <w:t>l</w:t>
      </w:r>
      <w:r w:rsidR="007F018F" w:rsidRPr="00803630">
        <w:rPr>
          <w:lang w:val="es-ES"/>
        </w:rPr>
        <w:t xml:space="preserve"> Grupo Temático </w:t>
      </w:r>
      <w:r w:rsidR="007F018F">
        <w:rPr>
          <w:lang w:val="es-ES"/>
        </w:rPr>
        <w:t>s</w:t>
      </w:r>
      <w:r w:rsidR="00A035A9" w:rsidRPr="00803630">
        <w:rPr>
          <w:lang w:val="es-ES"/>
        </w:rPr>
        <w:t>e publicará más información sobre la participación a distancia</w:t>
      </w:r>
      <w:r w:rsidR="001E0839" w:rsidRPr="00803630">
        <w:rPr>
          <w:lang w:val="es-ES"/>
        </w:rPr>
        <w:t>.</w:t>
      </w:r>
    </w:p>
    <w:p w:rsidR="00A035A9" w:rsidRPr="00803630" w:rsidRDefault="00DB05C0" w:rsidP="007F018F">
      <w:pPr>
        <w:rPr>
          <w:lang w:val="es-ES"/>
        </w:rPr>
      </w:pPr>
      <w:r w:rsidRPr="00803630">
        <w:rPr>
          <w:lang w:val="es-ES"/>
        </w:rPr>
        <w:t>7</w:t>
      </w:r>
      <w:r w:rsidR="00A035A9" w:rsidRPr="00803630">
        <w:rPr>
          <w:lang w:val="es-ES"/>
        </w:rPr>
        <w:tab/>
        <w:t>Los temas de debate de la reunión se publicarán en l</w:t>
      </w:r>
      <w:r w:rsidR="007F018F">
        <w:rPr>
          <w:lang w:val="es-ES"/>
        </w:rPr>
        <w:t xml:space="preserve">a página web del Grupo Temático, junto con </w:t>
      </w:r>
      <w:r w:rsidR="00A035A9" w:rsidRPr="00803630">
        <w:rPr>
          <w:lang w:val="es-ES"/>
        </w:rPr>
        <w:t xml:space="preserve">información </w:t>
      </w:r>
      <w:r w:rsidR="007F018F">
        <w:rPr>
          <w:lang w:val="es-ES"/>
        </w:rPr>
        <w:t>sobre</w:t>
      </w:r>
      <w:r w:rsidR="00A035A9" w:rsidRPr="00803630">
        <w:rPr>
          <w:lang w:val="es-ES"/>
        </w:rPr>
        <w:t xml:space="preserve"> la reunión</w:t>
      </w:r>
      <w:r w:rsidRPr="00803630">
        <w:rPr>
          <w:lang w:val="es-ES"/>
        </w:rPr>
        <w:t xml:space="preserve">, </w:t>
      </w:r>
      <w:r w:rsidR="007F018F">
        <w:rPr>
          <w:lang w:val="es-ES"/>
        </w:rPr>
        <w:t>el</w:t>
      </w:r>
      <w:r w:rsidRPr="00803630">
        <w:rPr>
          <w:lang w:val="es-ES"/>
        </w:rPr>
        <w:t xml:space="preserve"> proyecto de orden del día</w:t>
      </w:r>
      <w:r w:rsidR="00A035A9" w:rsidRPr="00803630">
        <w:rPr>
          <w:lang w:val="es-ES"/>
        </w:rPr>
        <w:t xml:space="preserve"> y las contribuciones recibidas.</w:t>
      </w:r>
    </w:p>
    <w:p w:rsidR="00A035A9" w:rsidRPr="00803630" w:rsidRDefault="00DB05C0" w:rsidP="007622FC">
      <w:pPr>
        <w:rPr>
          <w:lang w:val="es-ES"/>
        </w:rPr>
      </w:pPr>
      <w:r w:rsidRPr="00803630">
        <w:rPr>
          <w:lang w:val="es-ES"/>
        </w:rPr>
        <w:t>La reunión comenzará a las 09</w:t>
      </w:r>
      <w:r w:rsidR="00A035A9" w:rsidRPr="00803630">
        <w:rPr>
          <w:lang w:val="es-ES"/>
        </w:rPr>
        <w:t>.</w:t>
      </w:r>
      <w:r w:rsidRPr="00803630">
        <w:rPr>
          <w:lang w:val="es-ES"/>
        </w:rPr>
        <w:t>3</w:t>
      </w:r>
      <w:r w:rsidR="00A035A9" w:rsidRPr="00803630">
        <w:rPr>
          <w:lang w:val="es-ES"/>
        </w:rPr>
        <w:t xml:space="preserve">0 horas del </w:t>
      </w:r>
      <w:r w:rsidR="007622FC">
        <w:rPr>
          <w:lang w:val="es-ES"/>
        </w:rPr>
        <w:t>8</w:t>
      </w:r>
      <w:r w:rsidR="00A035A9" w:rsidRPr="00803630">
        <w:rPr>
          <w:lang w:val="es-ES"/>
        </w:rPr>
        <w:t xml:space="preserve"> de </w:t>
      </w:r>
      <w:r w:rsidR="007622FC">
        <w:rPr>
          <w:lang w:val="es-ES"/>
        </w:rPr>
        <w:t>mayo</w:t>
      </w:r>
      <w:r w:rsidRPr="00803630">
        <w:rPr>
          <w:lang w:val="es-ES"/>
        </w:rPr>
        <w:t xml:space="preserve"> </w:t>
      </w:r>
      <w:r w:rsidR="007622FC">
        <w:rPr>
          <w:lang w:val="es-ES"/>
        </w:rPr>
        <w:t>de 2013</w:t>
      </w:r>
      <w:r w:rsidR="00A035A9" w:rsidRPr="00803630">
        <w:rPr>
          <w:lang w:val="es-ES"/>
        </w:rPr>
        <w:t xml:space="preserve">. La inscripción de </w:t>
      </w:r>
      <w:r w:rsidR="007622FC">
        <w:rPr>
          <w:lang w:val="es-ES"/>
        </w:rPr>
        <w:t xml:space="preserve">los </w:t>
      </w:r>
      <w:r w:rsidR="00A035A9" w:rsidRPr="00803630">
        <w:rPr>
          <w:lang w:val="es-ES"/>
        </w:rPr>
        <w:t xml:space="preserve">participantes comenzará a las </w:t>
      </w:r>
      <w:r w:rsidRPr="00803630">
        <w:rPr>
          <w:lang w:val="es-ES"/>
        </w:rPr>
        <w:t>08</w:t>
      </w:r>
      <w:r w:rsidR="00A035A9" w:rsidRPr="00803630">
        <w:rPr>
          <w:lang w:val="es-ES"/>
        </w:rPr>
        <w:t xml:space="preserve">.30 horas en la entrada de </w:t>
      </w:r>
      <w:proofErr w:type="spellStart"/>
      <w:r w:rsidR="00A035A9" w:rsidRPr="00803630">
        <w:rPr>
          <w:lang w:val="es-ES"/>
        </w:rPr>
        <w:t>Montbrillant</w:t>
      </w:r>
      <w:proofErr w:type="spellEnd"/>
      <w:r w:rsidR="00A035A9" w:rsidRPr="00803630">
        <w:rPr>
          <w:lang w:val="es-ES"/>
        </w:rPr>
        <w:t>. No hay cuota de inscripción para participar en esta reunión.</w:t>
      </w:r>
    </w:p>
    <w:p w:rsidR="00A035A9" w:rsidRPr="00803630" w:rsidRDefault="00A035A9" w:rsidP="00D969D1">
      <w:pPr>
        <w:rPr>
          <w:lang w:val="es-ES"/>
        </w:rPr>
      </w:pPr>
      <w:r w:rsidRPr="00803630">
        <w:rPr>
          <w:lang w:val="es-ES"/>
        </w:rPr>
        <w:t>Los debates se celebrarán exclusivamente en inglés.</w:t>
      </w:r>
    </w:p>
    <w:p w:rsidR="00D144FD" w:rsidRPr="00803630" w:rsidRDefault="00A035A9" w:rsidP="00D969D1">
      <w:pPr>
        <w:rPr>
          <w:lang w:val="es-ES"/>
        </w:rPr>
      </w:pPr>
      <w:r w:rsidRPr="00803630">
        <w:rPr>
          <w:lang w:val="es-ES"/>
        </w:rPr>
        <w:t xml:space="preserve">Los documentos para esta </w:t>
      </w:r>
      <w:r w:rsidR="00C452D7">
        <w:rPr>
          <w:lang w:val="es-ES"/>
        </w:rPr>
        <w:t xml:space="preserve">primera </w:t>
      </w:r>
      <w:r w:rsidRPr="00803630">
        <w:rPr>
          <w:lang w:val="es-ES"/>
        </w:rPr>
        <w:t xml:space="preserve">reunión se pondrán a disposición del público. </w:t>
      </w:r>
    </w:p>
    <w:p w:rsidR="00A035A9" w:rsidRPr="00803630" w:rsidRDefault="00FA3AED" w:rsidP="00550ECC">
      <w:pPr>
        <w:rPr>
          <w:lang w:val="es-ES"/>
        </w:rPr>
      </w:pPr>
      <w:r>
        <w:rPr>
          <w:lang w:val="es-ES"/>
        </w:rPr>
        <w:t>Al preparar las contribuciones</w:t>
      </w:r>
      <w:r w:rsidR="00A035A9" w:rsidRPr="00803630">
        <w:rPr>
          <w:lang w:val="es-ES"/>
        </w:rPr>
        <w:t>,</w:t>
      </w:r>
      <w:r>
        <w:rPr>
          <w:lang w:val="es-ES"/>
        </w:rPr>
        <w:t xml:space="preserve"> le ruego tenga a bien utilizar</w:t>
      </w:r>
      <w:r w:rsidR="00A035A9" w:rsidRPr="00803630">
        <w:rPr>
          <w:lang w:val="es-ES"/>
        </w:rPr>
        <w:t xml:space="preserve"> la plantilla básica para documentos de los Grupos Temáticos que encontrará en la página web del Grupo Temático. Los participantes </w:t>
      </w:r>
      <w:r w:rsidR="00550ECC">
        <w:rPr>
          <w:lang w:val="es-ES"/>
        </w:rPr>
        <w:t>enviarán</w:t>
      </w:r>
      <w:r w:rsidR="00A035A9" w:rsidRPr="00803630">
        <w:rPr>
          <w:lang w:val="es-ES"/>
        </w:rPr>
        <w:t xml:space="preserve"> </w:t>
      </w:r>
      <w:r w:rsidR="00550ECC">
        <w:rPr>
          <w:lang w:val="es-ES"/>
        </w:rPr>
        <w:t xml:space="preserve">a la </w:t>
      </w:r>
      <w:r w:rsidR="00550ECC" w:rsidRPr="00803630">
        <w:rPr>
          <w:lang w:val="es-ES"/>
        </w:rPr>
        <w:t xml:space="preserve">TSB </w:t>
      </w:r>
      <w:r w:rsidR="00A035A9" w:rsidRPr="00803630">
        <w:rPr>
          <w:lang w:val="es-ES"/>
        </w:rPr>
        <w:t xml:space="preserve">sus contribuciones al Grupo Temático </w:t>
      </w:r>
      <w:r w:rsidR="001E0839" w:rsidRPr="003B4BFC">
        <w:rPr>
          <w:lang w:val="es-ES"/>
        </w:rPr>
        <w:t>FG-SSC</w:t>
      </w:r>
      <w:r w:rsidR="00DB05C0" w:rsidRPr="00803630">
        <w:rPr>
          <w:lang w:val="es-ES"/>
        </w:rPr>
        <w:t xml:space="preserve"> </w:t>
      </w:r>
      <w:r w:rsidR="00A035A9" w:rsidRPr="00803630">
        <w:rPr>
          <w:lang w:val="es-ES"/>
        </w:rPr>
        <w:t>en formato electrónico</w:t>
      </w:r>
      <w:r w:rsidR="00550ECC">
        <w:rPr>
          <w:lang w:val="es-ES"/>
        </w:rPr>
        <w:t>, utilizando para ello la siguiente dirección de correo electrónico</w:t>
      </w:r>
      <w:r w:rsidR="001E0839" w:rsidRPr="00803630">
        <w:rPr>
          <w:lang w:val="es-ES"/>
        </w:rPr>
        <w:t xml:space="preserve"> </w:t>
      </w:r>
      <w:hyperlink r:id="rId13" w:history="1">
        <w:r w:rsidR="001E0839" w:rsidRPr="00803630">
          <w:rPr>
            <w:color w:val="0000FF"/>
            <w:u w:val="single"/>
            <w:lang w:val="es-ES"/>
          </w:rPr>
          <w:t>tsbfgssc@itu.int</w:t>
        </w:r>
      </w:hyperlink>
      <w:r w:rsidR="001E0839" w:rsidRPr="00803630">
        <w:rPr>
          <w:lang w:val="es-ES"/>
        </w:rPr>
        <w:t>.</w:t>
      </w:r>
    </w:p>
    <w:p w:rsidR="00A035A9" w:rsidRPr="00803630" w:rsidRDefault="00A035A9" w:rsidP="00550ECC">
      <w:pPr>
        <w:tabs>
          <w:tab w:val="left" w:pos="1418"/>
          <w:tab w:val="left" w:pos="1702"/>
          <w:tab w:val="left" w:pos="2160"/>
        </w:tabs>
        <w:ind w:right="92"/>
        <w:rPr>
          <w:lang w:val="es-ES"/>
        </w:rPr>
      </w:pPr>
      <w:r w:rsidRPr="00803630">
        <w:rPr>
          <w:szCs w:val="24"/>
          <w:lang w:val="es-ES"/>
        </w:rPr>
        <w:t xml:space="preserve">De acuerdo con el equipo </w:t>
      </w:r>
      <w:r w:rsidR="00550ECC">
        <w:rPr>
          <w:szCs w:val="24"/>
          <w:lang w:val="es-ES"/>
        </w:rPr>
        <w:t>directivo</w:t>
      </w:r>
      <w:r w:rsidRPr="00803630">
        <w:rPr>
          <w:szCs w:val="24"/>
          <w:lang w:val="es-ES"/>
        </w:rPr>
        <w:t xml:space="preserve"> del Grupo Temático, el plazo </w:t>
      </w:r>
      <w:r w:rsidR="00550ECC">
        <w:rPr>
          <w:szCs w:val="24"/>
          <w:lang w:val="es-ES"/>
        </w:rPr>
        <w:t xml:space="preserve">de </w:t>
      </w:r>
      <w:r w:rsidRPr="00803630">
        <w:rPr>
          <w:szCs w:val="24"/>
          <w:lang w:val="es-ES"/>
        </w:rPr>
        <w:t xml:space="preserve">presentación de documentos </w:t>
      </w:r>
      <w:r w:rsidR="00550ECC">
        <w:rPr>
          <w:szCs w:val="24"/>
          <w:lang w:val="es-ES"/>
        </w:rPr>
        <w:t>par</w:t>
      </w:r>
      <w:r w:rsidRPr="00803630">
        <w:rPr>
          <w:szCs w:val="24"/>
          <w:lang w:val="es-ES"/>
        </w:rPr>
        <w:t xml:space="preserve">a esta primera reunión vence el </w:t>
      </w:r>
      <w:r w:rsidR="00550ECC">
        <w:rPr>
          <w:b/>
          <w:bCs/>
          <w:szCs w:val="24"/>
          <w:lang w:val="es-ES"/>
        </w:rPr>
        <w:t xml:space="preserve">30 </w:t>
      </w:r>
      <w:r w:rsidRPr="00803630">
        <w:rPr>
          <w:b/>
          <w:bCs/>
          <w:szCs w:val="24"/>
          <w:lang w:val="es-ES"/>
        </w:rPr>
        <w:t xml:space="preserve">de </w:t>
      </w:r>
      <w:r w:rsidR="006F21E5" w:rsidRPr="00803630">
        <w:rPr>
          <w:b/>
          <w:bCs/>
          <w:szCs w:val="24"/>
          <w:lang w:val="es-ES"/>
        </w:rPr>
        <w:t xml:space="preserve">abril </w:t>
      </w:r>
      <w:r w:rsidRPr="00803630">
        <w:rPr>
          <w:b/>
          <w:bCs/>
          <w:szCs w:val="24"/>
          <w:lang w:val="es-ES"/>
        </w:rPr>
        <w:t>de 201</w:t>
      </w:r>
      <w:r w:rsidR="00550ECC">
        <w:rPr>
          <w:b/>
          <w:bCs/>
          <w:szCs w:val="24"/>
          <w:lang w:val="es-ES"/>
        </w:rPr>
        <w:t>3</w:t>
      </w:r>
      <w:r w:rsidRPr="00803630">
        <w:rPr>
          <w:b/>
          <w:bCs/>
          <w:szCs w:val="24"/>
          <w:lang w:val="es-ES"/>
        </w:rPr>
        <w:t>.</w:t>
      </w:r>
      <w:r w:rsidRPr="00803630">
        <w:rPr>
          <w:szCs w:val="24"/>
          <w:lang w:val="es-ES"/>
        </w:rPr>
        <w:t xml:space="preserve"> </w:t>
      </w:r>
      <w:r w:rsidR="00550ECC">
        <w:rPr>
          <w:szCs w:val="24"/>
          <w:lang w:val="es-ES"/>
        </w:rPr>
        <w:t xml:space="preserve">Le ruego </w:t>
      </w:r>
      <w:r w:rsidRPr="00803630">
        <w:rPr>
          <w:szCs w:val="24"/>
          <w:lang w:val="es-ES"/>
        </w:rPr>
        <w:t>tenga presente que no se utilizarán documentos impresos durante la reunión.</w:t>
      </w:r>
    </w:p>
    <w:p w:rsidR="00A035A9" w:rsidRPr="00803630" w:rsidRDefault="00A4661A" w:rsidP="00826D9C">
      <w:pPr>
        <w:rPr>
          <w:lang w:val="es-ES"/>
        </w:rPr>
      </w:pPr>
      <w:r w:rsidRPr="00803630">
        <w:rPr>
          <w:lang w:val="es-ES"/>
        </w:rPr>
        <w:t>8</w:t>
      </w:r>
      <w:r w:rsidR="00A035A9" w:rsidRPr="00803630">
        <w:rPr>
          <w:lang w:val="es-ES"/>
        </w:rPr>
        <w:tab/>
        <w:t xml:space="preserve">A fin de que la TSB pueda tomar las disposiciones necesarias para la organización de la reunión del Grupo Temático, le </w:t>
      </w:r>
      <w:r w:rsidR="005C2D8A">
        <w:rPr>
          <w:lang w:val="es-ES"/>
        </w:rPr>
        <w:t>agradecería que se inscribiera</w:t>
      </w:r>
      <w:r w:rsidR="00A035A9" w:rsidRPr="00803630">
        <w:rPr>
          <w:lang w:val="es-ES"/>
        </w:rPr>
        <w:t xml:space="preserve"> a la mayor brevedad posible por medio del formulario en línea</w:t>
      </w:r>
      <w:r w:rsidR="005C2D8A">
        <w:rPr>
          <w:lang w:val="es-ES"/>
        </w:rPr>
        <w:t xml:space="preserve"> disponible en el sitio web del FG-SSC</w:t>
      </w:r>
      <w:r w:rsidR="00A035A9" w:rsidRPr="00803630">
        <w:rPr>
          <w:lang w:val="es-ES"/>
        </w:rPr>
        <w:t xml:space="preserve">, y </w:t>
      </w:r>
      <w:r w:rsidR="00A035A9" w:rsidRPr="00803630">
        <w:rPr>
          <w:b/>
          <w:bCs/>
          <w:lang w:val="es-ES"/>
        </w:rPr>
        <w:t xml:space="preserve">a más tardar el </w:t>
      </w:r>
      <w:r w:rsidR="005C2D8A">
        <w:rPr>
          <w:b/>
          <w:bCs/>
          <w:lang w:val="es-ES"/>
        </w:rPr>
        <w:t>24</w:t>
      </w:r>
      <w:r w:rsidR="00A035A9" w:rsidRPr="00803630">
        <w:rPr>
          <w:b/>
          <w:bCs/>
          <w:lang w:val="es-ES"/>
        </w:rPr>
        <w:t xml:space="preserve"> de </w:t>
      </w:r>
      <w:r w:rsidR="006F21E5" w:rsidRPr="00803630">
        <w:rPr>
          <w:b/>
          <w:bCs/>
          <w:lang w:val="es-ES"/>
        </w:rPr>
        <w:t xml:space="preserve">abril </w:t>
      </w:r>
      <w:r w:rsidR="00A035A9" w:rsidRPr="00803630">
        <w:rPr>
          <w:b/>
          <w:bCs/>
          <w:lang w:val="es-ES"/>
        </w:rPr>
        <w:t>de 201</w:t>
      </w:r>
      <w:r w:rsidR="005C2D8A">
        <w:rPr>
          <w:b/>
          <w:bCs/>
          <w:lang w:val="es-ES"/>
        </w:rPr>
        <w:t>3</w:t>
      </w:r>
      <w:r w:rsidR="00A035A9" w:rsidRPr="00803630">
        <w:rPr>
          <w:b/>
          <w:bCs/>
          <w:i/>
          <w:iCs/>
          <w:lang w:val="es-ES"/>
        </w:rPr>
        <w:t>.</w:t>
      </w:r>
      <w:r w:rsidR="00A035A9" w:rsidRPr="00803630">
        <w:rPr>
          <w:lang w:val="es-ES"/>
        </w:rPr>
        <w:t xml:space="preserve"> </w:t>
      </w:r>
      <w:r w:rsidR="005C2D8A">
        <w:rPr>
          <w:b/>
          <w:bCs/>
          <w:lang w:val="es-ES"/>
        </w:rPr>
        <w:t>T</w:t>
      </w:r>
      <w:r w:rsidR="00A035A9" w:rsidRPr="00803630">
        <w:rPr>
          <w:b/>
          <w:bCs/>
          <w:lang w:val="es-ES"/>
        </w:rPr>
        <w:t xml:space="preserve">ome nota </w:t>
      </w:r>
      <w:proofErr w:type="gramStart"/>
      <w:r w:rsidR="00A035A9" w:rsidRPr="00803630">
        <w:rPr>
          <w:b/>
          <w:bCs/>
          <w:lang w:val="es-ES"/>
        </w:rPr>
        <w:t>de que</w:t>
      </w:r>
      <w:proofErr w:type="gramEnd"/>
      <w:r w:rsidR="00A035A9" w:rsidRPr="00803630">
        <w:rPr>
          <w:b/>
          <w:bCs/>
          <w:lang w:val="es-ES"/>
        </w:rPr>
        <w:t xml:space="preserve"> la preinscripción de los participantes en la reunión se lleva a cabo exclusivamente </w:t>
      </w:r>
      <w:r w:rsidR="00A035A9" w:rsidRPr="00803630">
        <w:rPr>
          <w:b/>
          <w:bCs/>
          <w:i/>
          <w:iCs/>
          <w:lang w:val="es-ES"/>
        </w:rPr>
        <w:t xml:space="preserve">en línea. </w:t>
      </w:r>
      <w:r w:rsidR="006F21E5" w:rsidRPr="00803630">
        <w:rPr>
          <w:lang w:val="es-ES"/>
        </w:rPr>
        <w:t>Consulte periódicamente la página web del FG</w:t>
      </w:r>
      <w:r w:rsidR="005C2D8A">
        <w:rPr>
          <w:lang w:val="es-ES"/>
        </w:rPr>
        <w:t>-SSC</w:t>
      </w:r>
      <w:r w:rsidR="006F21E5" w:rsidRPr="00803630">
        <w:rPr>
          <w:lang w:val="es-ES"/>
        </w:rPr>
        <w:t xml:space="preserve"> para </w:t>
      </w:r>
      <w:r w:rsidR="005C2D8A">
        <w:rPr>
          <w:lang w:val="es-ES"/>
        </w:rPr>
        <w:t xml:space="preserve">mantenerse al corriente de los últimos detalles </w:t>
      </w:r>
      <w:r w:rsidR="006F21E5" w:rsidRPr="00803630">
        <w:rPr>
          <w:lang w:val="es-ES"/>
        </w:rPr>
        <w:t>sobre la planificación de la reunión.</w:t>
      </w:r>
    </w:p>
    <w:p w:rsidR="0015039E" w:rsidRDefault="0015039E">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A035A9" w:rsidRPr="00803630" w:rsidRDefault="00AA1325" w:rsidP="00BB3B28">
      <w:pPr>
        <w:rPr>
          <w:lang w:val="es-ES"/>
        </w:rPr>
      </w:pPr>
      <w:r w:rsidRPr="00803630">
        <w:rPr>
          <w:lang w:val="es-ES"/>
        </w:rPr>
        <w:lastRenderedPageBreak/>
        <w:t>9</w:t>
      </w:r>
      <w:r w:rsidR="00A035A9" w:rsidRPr="00803630">
        <w:rPr>
          <w:lang w:val="es-ES"/>
        </w:rPr>
        <w:tab/>
        <w:t xml:space="preserve">Le recordamos que los ciudadanos procedentes de ciertos países necesitan visado para entrar y permanecer en </w:t>
      </w:r>
      <w:r w:rsidR="00BB3B28">
        <w:rPr>
          <w:lang w:val="es-ES"/>
        </w:rPr>
        <w:t>Italia</w:t>
      </w:r>
      <w:r w:rsidR="00A035A9" w:rsidRPr="00803630">
        <w:rPr>
          <w:lang w:val="es-ES"/>
        </w:rPr>
        <w:t>.</w:t>
      </w:r>
      <w:r w:rsidR="00A035A9" w:rsidRPr="00803630">
        <w:rPr>
          <w:b/>
          <w:bCs/>
          <w:lang w:val="es-ES"/>
        </w:rPr>
        <w:t xml:space="preserve"> Ese visado debe solicitarse antes del </w:t>
      </w:r>
      <w:r w:rsidR="00BB3B28">
        <w:rPr>
          <w:b/>
          <w:bCs/>
          <w:lang w:val="es-ES"/>
        </w:rPr>
        <w:t xml:space="preserve">8 de abril de 2013 </w:t>
      </w:r>
      <w:r w:rsidR="00A035A9" w:rsidRPr="00803630">
        <w:rPr>
          <w:lang w:val="es-ES"/>
        </w:rPr>
        <w:t xml:space="preserve">en la oficina (embajada o consulado) que representa a </w:t>
      </w:r>
      <w:r w:rsidR="00BB3B28">
        <w:rPr>
          <w:lang w:val="es-ES"/>
        </w:rPr>
        <w:t>Italia</w:t>
      </w:r>
      <w:r w:rsidR="00A035A9" w:rsidRPr="00803630">
        <w:rPr>
          <w:lang w:val="es-ES"/>
        </w:rPr>
        <w:t xml:space="preserve"> en su país o, en su defecto, en la más próxima a su país de partida.</w:t>
      </w:r>
      <w:r w:rsidR="00A4661A" w:rsidRPr="00803630">
        <w:rPr>
          <w:lang w:val="es-ES"/>
        </w:rPr>
        <w:t xml:space="preserve"> </w:t>
      </w:r>
      <w:r w:rsidR="00BB3B28">
        <w:rPr>
          <w:lang w:val="es-ES"/>
        </w:rPr>
        <w:t xml:space="preserve">Para más información, </w:t>
      </w:r>
      <w:proofErr w:type="spellStart"/>
      <w:r w:rsidR="00BB3B28">
        <w:rPr>
          <w:lang w:val="es-ES"/>
        </w:rPr>
        <w:t>veáse</w:t>
      </w:r>
      <w:proofErr w:type="spellEnd"/>
      <w:r w:rsidR="00A4661A" w:rsidRPr="00803630">
        <w:rPr>
          <w:lang w:val="es-ES"/>
        </w:rPr>
        <w:t xml:space="preserve">: </w:t>
      </w:r>
      <w:hyperlink r:id="rId14" w:history="1">
        <w:r w:rsidR="00A4661A" w:rsidRPr="00803630">
          <w:rPr>
            <w:color w:val="0000FF"/>
            <w:u w:val="single"/>
            <w:lang w:val="es-ES"/>
          </w:rPr>
          <w:t>http://itu.int/en/ITU-T/climatechange/Pages/events-201305.aspx</w:t>
        </w:r>
      </w:hyperlink>
      <w:r w:rsidR="00A4661A" w:rsidRPr="00803630">
        <w:rPr>
          <w:lang w:val="es-ES"/>
        </w:rPr>
        <w:t xml:space="preserve">. </w:t>
      </w:r>
    </w:p>
    <w:p w:rsidR="00A035A9" w:rsidRPr="00803630" w:rsidRDefault="00A035A9" w:rsidP="00D969D1">
      <w:pPr>
        <w:ind w:right="91"/>
        <w:rPr>
          <w:lang w:val="es-ES"/>
        </w:rPr>
      </w:pPr>
      <w:bookmarkStart w:id="0" w:name="_GoBack"/>
      <w:bookmarkEnd w:id="0"/>
      <w:r w:rsidRPr="00803630">
        <w:rPr>
          <w:szCs w:val="24"/>
          <w:lang w:val="es-ES"/>
        </w:rPr>
        <w:t>Con este motivo, lo saluda atentamente.</w:t>
      </w:r>
    </w:p>
    <w:p w:rsidR="00A035A9" w:rsidRPr="00803630" w:rsidRDefault="00A035A9" w:rsidP="00D969D1">
      <w:pPr>
        <w:pStyle w:val="BodyText3"/>
        <w:spacing w:before="960"/>
        <w:rPr>
          <w:rFonts w:eastAsia="Times New Roman"/>
          <w:sz w:val="24"/>
          <w:szCs w:val="24"/>
          <w:lang w:val="es-ES"/>
        </w:rPr>
      </w:pPr>
      <w:r w:rsidRPr="00803630">
        <w:rPr>
          <w:rFonts w:eastAsia="Times New Roman"/>
          <w:sz w:val="24"/>
          <w:szCs w:val="24"/>
          <w:lang w:val="es-ES"/>
        </w:rPr>
        <w:t>Malcolm Johnson</w:t>
      </w:r>
      <w:r w:rsidRPr="00803630">
        <w:rPr>
          <w:rFonts w:eastAsia="Times New Roman"/>
          <w:sz w:val="24"/>
          <w:szCs w:val="24"/>
          <w:lang w:val="es-ES"/>
        </w:rPr>
        <w:br/>
        <w:t>Director de la Oficina de Normalización</w:t>
      </w:r>
      <w:r w:rsidRPr="00803630">
        <w:rPr>
          <w:rFonts w:eastAsia="Times New Roman"/>
          <w:sz w:val="24"/>
          <w:szCs w:val="24"/>
          <w:lang w:val="es-ES"/>
        </w:rPr>
        <w:br/>
        <w:t>de las Telecomunicaciones</w:t>
      </w:r>
    </w:p>
    <w:p w:rsidR="00A035A9" w:rsidRPr="00803630" w:rsidRDefault="00A035A9" w:rsidP="00D969D1">
      <w:pPr>
        <w:rPr>
          <w:lang w:val="es-ES"/>
        </w:rPr>
      </w:pPr>
    </w:p>
    <w:p w:rsidR="00A035A9" w:rsidRPr="00803630" w:rsidRDefault="00A035A9" w:rsidP="00D969D1">
      <w:pPr>
        <w:rPr>
          <w:lang w:val="es-ES"/>
        </w:rPr>
      </w:pPr>
    </w:p>
    <w:p w:rsidR="00826D9C" w:rsidRDefault="00826D9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B24F81" w:rsidRPr="00803630" w:rsidRDefault="00B24F81" w:rsidP="00D969D1">
      <w:pPr>
        <w:pStyle w:val="Annex"/>
        <w:spacing w:before="240"/>
        <w:rPr>
          <w:lang w:val="es-ES"/>
        </w:rPr>
      </w:pPr>
      <w:r w:rsidRPr="00803630">
        <w:rPr>
          <w:lang w:val="es-ES"/>
        </w:rPr>
        <w:lastRenderedPageBreak/>
        <w:t>ANEXO 1</w:t>
      </w:r>
      <w:r w:rsidRPr="00803630">
        <w:rPr>
          <w:lang w:val="es-ES"/>
        </w:rPr>
        <w:br/>
        <w:t>(</w:t>
      </w:r>
      <w:r w:rsidR="00537B7B" w:rsidRPr="00803630">
        <w:rPr>
          <w:caps w:val="0"/>
          <w:lang w:val="es-ES"/>
        </w:rPr>
        <w:t xml:space="preserve">a la Circular </w:t>
      </w:r>
      <w:r w:rsidRPr="00803630">
        <w:rPr>
          <w:lang w:val="es-ES"/>
        </w:rPr>
        <w:t xml:space="preserve">TSB </w:t>
      </w:r>
      <w:r w:rsidR="00A4661A" w:rsidRPr="00803630">
        <w:rPr>
          <w:lang w:val="es-ES"/>
        </w:rPr>
        <w:t>1</w:t>
      </w:r>
      <w:r w:rsidRPr="00803630">
        <w:rPr>
          <w:lang w:val="es-ES"/>
        </w:rPr>
        <w:t>3)</w:t>
      </w:r>
    </w:p>
    <w:p w:rsidR="00131E67" w:rsidRPr="00803630" w:rsidRDefault="00935935" w:rsidP="00935935">
      <w:pPr>
        <w:pStyle w:val="AnnexNotitle"/>
        <w:rPr>
          <w:lang w:val="es-ES"/>
        </w:rPr>
      </w:pPr>
      <w:r>
        <w:rPr>
          <w:lang w:val="es-ES"/>
        </w:rPr>
        <w:t>Mandato del</w:t>
      </w:r>
      <w:r w:rsidR="00131E67" w:rsidRPr="00803630">
        <w:rPr>
          <w:lang w:val="es-ES"/>
        </w:rPr>
        <w:t xml:space="preserve"> Grupo Temático del UIT-T sobre </w:t>
      </w:r>
      <w:r>
        <w:rPr>
          <w:lang w:val="es-ES"/>
        </w:rPr>
        <w:t xml:space="preserve">ciudades sostenibles </w:t>
      </w:r>
      <w:r w:rsidR="00A107B8">
        <w:rPr>
          <w:lang w:val="es-ES"/>
        </w:rPr>
        <w:t xml:space="preserve">e </w:t>
      </w:r>
      <w:r>
        <w:rPr>
          <w:lang w:val="es-ES"/>
        </w:rPr>
        <w:t xml:space="preserve">inteligentes </w:t>
      </w:r>
      <w:r w:rsidR="00131E67" w:rsidRPr="00803630">
        <w:rPr>
          <w:lang w:val="es-ES"/>
        </w:rPr>
        <w:t>(FG</w:t>
      </w:r>
      <w:r w:rsidR="00131E67" w:rsidRPr="00803630">
        <w:rPr>
          <w:lang w:val="es-ES"/>
        </w:rPr>
        <w:noBreakHyphen/>
        <w:t>SSC)</w:t>
      </w:r>
    </w:p>
    <w:p w:rsidR="00B90541" w:rsidRPr="00803630" w:rsidRDefault="00B90541" w:rsidP="004E2AF7">
      <w:pPr>
        <w:pStyle w:val="Heading1"/>
        <w:tabs>
          <w:tab w:val="clear" w:pos="3261"/>
          <w:tab w:val="left" w:pos="6428"/>
        </w:tabs>
        <w:rPr>
          <w:lang w:val="es-ES"/>
        </w:rPr>
      </w:pPr>
      <w:r w:rsidRPr="00803630">
        <w:rPr>
          <w:lang w:val="es-ES"/>
        </w:rPr>
        <w:t>1</w:t>
      </w:r>
      <w:r w:rsidRPr="00803630">
        <w:rPr>
          <w:lang w:val="es-ES"/>
        </w:rPr>
        <w:tab/>
        <w:t>Justificación y alcance</w:t>
      </w:r>
    </w:p>
    <w:p w:rsidR="007503A8" w:rsidRPr="00803630" w:rsidRDefault="00935935" w:rsidP="00E279D6">
      <w:pPr>
        <w:rPr>
          <w:lang w:val="es-ES"/>
        </w:rPr>
      </w:pPr>
      <w:r>
        <w:rPr>
          <w:lang w:val="es-ES"/>
        </w:rPr>
        <w:t xml:space="preserve">Uno de los principales retos que ha de afrontar nuestra sociedad en las próximas décadas es lograr una urbanización sostenible </w:t>
      </w:r>
      <w:r w:rsidR="00A96DEA">
        <w:rPr>
          <w:lang w:val="es-ES"/>
        </w:rPr>
        <w:t>que</w:t>
      </w:r>
      <w:r>
        <w:rPr>
          <w:lang w:val="es-ES"/>
        </w:rPr>
        <w:t>, a su vez, preserv</w:t>
      </w:r>
      <w:r w:rsidR="00A96DEA">
        <w:rPr>
          <w:lang w:val="es-ES"/>
        </w:rPr>
        <w:t>e</w:t>
      </w:r>
      <w:r>
        <w:rPr>
          <w:lang w:val="es-ES"/>
        </w:rPr>
        <w:t xml:space="preserve"> el planeta</w:t>
      </w:r>
      <w:r w:rsidR="007503A8" w:rsidRPr="00803630">
        <w:rPr>
          <w:lang w:val="es-ES"/>
        </w:rPr>
        <w:t xml:space="preserve">. </w:t>
      </w:r>
      <w:r>
        <w:rPr>
          <w:lang w:val="es-ES"/>
        </w:rPr>
        <w:t>Las zonas urbanas reflejan la complejidad de nuestras sociedades</w:t>
      </w:r>
      <w:r w:rsidR="007503A8" w:rsidRPr="00803630">
        <w:rPr>
          <w:lang w:val="es-ES"/>
        </w:rPr>
        <w:t xml:space="preserve">, </w:t>
      </w:r>
      <w:r>
        <w:rPr>
          <w:lang w:val="es-ES"/>
        </w:rPr>
        <w:t>en las que los aspectos sociales, econ</w:t>
      </w:r>
      <w:r w:rsidR="00736172">
        <w:rPr>
          <w:lang w:val="es-ES"/>
        </w:rPr>
        <w:t>ómicos y ambie</w:t>
      </w:r>
      <w:r>
        <w:rPr>
          <w:lang w:val="es-ES"/>
        </w:rPr>
        <w:t>ntales</w:t>
      </w:r>
      <w:r w:rsidR="00736172">
        <w:rPr>
          <w:lang w:val="es-ES"/>
        </w:rPr>
        <w:t xml:space="preserve"> están estrechamente relacionados</w:t>
      </w:r>
      <w:r w:rsidR="007503A8" w:rsidRPr="00803630">
        <w:rPr>
          <w:lang w:val="es-ES"/>
        </w:rPr>
        <w:t xml:space="preserve">. </w:t>
      </w:r>
      <w:r w:rsidR="00736172">
        <w:rPr>
          <w:lang w:val="es-ES"/>
        </w:rPr>
        <w:t xml:space="preserve">Las ciudades son responsables de más del </w:t>
      </w:r>
      <w:r w:rsidR="007503A8" w:rsidRPr="00803630">
        <w:rPr>
          <w:lang w:val="es-ES"/>
        </w:rPr>
        <w:t xml:space="preserve">70% </w:t>
      </w:r>
      <w:r w:rsidR="00736172">
        <w:rPr>
          <w:lang w:val="es-ES"/>
        </w:rPr>
        <w:t>de las emisiones de gases de efecto invernadero</w:t>
      </w:r>
      <w:r w:rsidR="007503A8" w:rsidRPr="00803630">
        <w:rPr>
          <w:vertAlign w:val="superscript"/>
          <w:lang w:val="es-ES"/>
        </w:rPr>
        <w:endnoteReference w:id="1"/>
      </w:r>
      <w:r w:rsidR="007503A8" w:rsidRPr="00803630">
        <w:rPr>
          <w:lang w:val="es-ES"/>
        </w:rPr>
        <w:t xml:space="preserve">, </w:t>
      </w:r>
      <w:r w:rsidR="00736172">
        <w:rPr>
          <w:lang w:val="es-ES"/>
        </w:rPr>
        <w:t xml:space="preserve">y representan el </w:t>
      </w:r>
      <w:r w:rsidR="007503A8" w:rsidRPr="00803630">
        <w:rPr>
          <w:lang w:val="es-ES"/>
        </w:rPr>
        <w:t>60-80%</w:t>
      </w:r>
      <w:r w:rsidR="007503A8" w:rsidRPr="00803630">
        <w:rPr>
          <w:vertAlign w:val="superscript"/>
          <w:lang w:val="es-ES"/>
        </w:rPr>
        <w:endnoteReference w:id="2"/>
      </w:r>
      <w:r w:rsidR="00736172">
        <w:rPr>
          <w:lang w:val="es-ES"/>
        </w:rPr>
        <w:t xml:space="preserve"> del consumo mundial de energía</w:t>
      </w:r>
      <w:r w:rsidR="007503A8" w:rsidRPr="00803630">
        <w:rPr>
          <w:vertAlign w:val="superscript"/>
          <w:lang w:val="es-ES"/>
        </w:rPr>
        <w:endnoteReference w:id="3"/>
      </w:r>
      <w:r w:rsidR="007503A8" w:rsidRPr="00803630">
        <w:rPr>
          <w:lang w:val="es-ES"/>
        </w:rPr>
        <w:t xml:space="preserve">, </w:t>
      </w:r>
      <w:r w:rsidR="00736172">
        <w:rPr>
          <w:lang w:val="es-ES"/>
        </w:rPr>
        <w:t>contribuyendo así a la degradación del medio ambiente a escala local, regional y mundial</w:t>
      </w:r>
      <w:r w:rsidR="007503A8" w:rsidRPr="00803630">
        <w:rPr>
          <w:lang w:val="es-ES"/>
        </w:rPr>
        <w:t>.</w:t>
      </w:r>
    </w:p>
    <w:p w:rsidR="007503A8" w:rsidRPr="00803630" w:rsidRDefault="00736172" w:rsidP="007D2C8B">
      <w:pPr>
        <w:rPr>
          <w:lang w:val="es-ES"/>
        </w:rPr>
      </w:pPr>
      <w:r>
        <w:rPr>
          <w:lang w:val="es-ES"/>
        </w:rPr>
        <w:t xml:space="preserve">Las tecnologías de la información y la comunicación </w:t>
      </w:r>
      <w:r w:rsidR="007503A8" w:rsidRPr="00803630">
        <w:rPr>
          <w:lang w:val="es-ES"/>
        </w:rPr>
        <w:t>(</w:t>
      </w:r>
      <w:r>
        <w:rPr>
          <w:lang w:val="es-ES"/>
        </w:rPr>
        <w:t>T</w:t>
      </w:r>
      <w:r w:rsidR="007503A8" w:rsidRPr="00803630">
        <w:rPr>
          <w:lang w:val="es-ES"/>
        </w:rPr>
        <w:t xml:space="preserve">IC) </w:t>
      </w:r>
      <w:r w:rsidRPr="00736172">
        <w:rPr>
          <w:lang w:val="es-ES"/>
        </w:rPr>
        <w:t>ofrecen soluciones a muchos de los problemas que aquejan a las ciudades, a medida que se están convirtiendo en imanes para las poblaciones migrantes, y las hacen más ecológicas y económicamente viables</w:t>
      </w:r>
      <w:r w:rsidR="007503A8" w:rsidRPr="00803630">
        <w:rPr>
          <w:lang w:val="es-ES"/>
        </w:rPr>
        <w:t>.</w:t>
      </w:r>
    </w:p>
    <w:p w:rsidR="007503A8" w:rsidRPr="00803630" w:rsidRDefault="005C6183" w:rsidP="005C6183">
      <w:pPr>
        <w:rPr>
          <w:lang w:val="es-ES"/>
        </w:rPr>
      </w:pPr>
      <w:r>
        <w:rPr>
          <w:lang w:val="es-ES"/>
        </w:rPr>
        <w:t>En este sentido, es importante destacar el papel que desempeñan las TIC para resolver los problemas ambientales de las ciudades del todo el mundo</w:t>
      </w:r>
      <w:r w:rsidR="007503A8" w:rsidRPr="00803630">
        <w:rPr>
          <w:lang w:val="es-ES"/>
        </w:rPr>
        <w:t xml:space="preserve">; </w:t>
      </w:r>
      <w:r>
        <w:rPr>
          <w:lang w:val="es-ES"/>
        </w:rPr>
        <w:t>por ejemplo</w:t>
      </w:r>
      <w:r w:rsidR="007503A8" w:rsidRPr="00803630">
        <w:rPr>
          <w:lang w:val="es-ES"/>
        </w:rPr>
        <w:t xml:space="preserve">: </w:t>
      </w:r>
      <w:r>
        <w:rPr>
          <w:lang w:val="es-ES"/>
        </w:rPr>
        <w:t>gestión del agua</w:t>
      </w:r>
      <w:r w:rsidR="007503A8" w:rsidRPr="00803630">
        <w:rPr>
          <w:lang w:val="es-ES"/>
        </w:rPr>
        <w:t xml:space="preserve">, </w:t>
      </w:r>
      <w:r>
        <w:rPr>
          <w:lang w:val="es-ES"/>
        </w:rPr>
        <w:t>energía</w:t>
      </w:r>
      <w:r w:rsidR="007503A8" w:rsidRPr="00803630">
        <w:rPr>
          <w:lang w:val="es-ES"/>
        </w:rPr>
        <w:t xml:space="preserve">, </w:t>
      </w:r>
      <w:r>
        <w:rPr>
          <w:lang w:val="es-ES"/>
        </w:rPr>
        <w:t>eficiencia energética</w:t>
      </w:r>
      <w:r w:rsidR="007503A8" w:rsidRPr="00803630">
        <w:rPr>
          <w:lang w:val="es-ES"/>
        </w:rPr>
        <w:t xml:space="preserve">, </w:t>
      </w:r>
      <w:r>
        <w:rPr>
          <w:lang w:val="es-ES"/>
        </w:rPr>
        <w:t>residuos sólidos</w:t>
      </w:r>
      <w:r w:rsidR="007503A8" w:rsidRPr="00803630">
        <w:rPr>
          <w:lang w:val="es-ES"/>
        </w:rPr>
        <w:t>, transport</w:t>
      </w:r>
      <w:r>
        <w:rPr>
          <w:lang w:val="es-ES"/>
        </w:rPr>
        <w:t>e público</w:t>
      </w:r>
      <w:r w:rsidR="007503A8" w:rsidRPr="00803630">
        <w:rPr>
          <w:lang w:val="es-ES"/>
        </w:rPr>
        <w:t>, tr</w:t>
      </w:r>
      <w:r>
        <w:rPr>
          <w:lang w:val="es-ES"/>
        </w:rPr>
        <w:t>á</w:t>
      </w:r>
      <w:r w:rsidR="007503A8" w:rsidRPr="00803630">
        <w:rPr>
          <w:lang w:val="es-ES"/>
        </w:rPr>
        <w:t>fic</w:t>
      </w:r>
      <w:r>
        <w:rPr>
          <w:lang w:val="es-ES"/>
        </w:rPr>
        <w:t>o, congestió</w:t>
      </w:r>
      <w:r w:rsidR="007503A8" w:rsidRPr="00803630">
        <w:rPr>
          <w:lang w:val="es-ES"/>
        </w:rPr>
        <w:t xml:space="preserve">n, </w:t>
      </w:r>
      <w:r>
        <w:rPr>
          <w:lang w:val="es-ES"/>
        </w:rPr>
        <w:t>crecimiento de la infraestructura de T</w:t>
      </w:r>
      <w:r w:rsidR="007503A8" w:rsidRPr="00803630">
        <w:rPr>
          <w:lang w:val="es-ES"/>
        </w:rPr>
        <w:t xml:space="preserve">IC </w:t>
      </w:r>
      <w:r>
        <w:rPr>
          <w:lang w:val="es-ES"/>
        </w:rPr>
        <w:t>y sus impacto ambiental, como el relacionado con los campos electromagnéticos (</w:t>
      </w:r>
      <w:r w:rsidR="007503A8" w:rsidRPr="00803630">
        <w:rPr>
          <w:lang w:val="es-ES"/>
        </w:rPr>
        <w:t>EMF</w:t>
      </w:r>
      <w:r>
        <w:rPr>
          <w:lang w:val="es-ES"/>
        </w:rPr>
        <w:t>)</w:t>
      </w:r>
      <w:r w:rsidR="007503A8" w:rsidRPr="00803630">
        <w:rPr>
          <w:lang w:val="es-ES"/>
        </w:rPr>
        <w:t xml:space="preserve">, </w:t>
      </w:r>
      <w:r>
        <w:rPr>
          <w:lang w:val="es-ES"/>
        </w:rPr>
        <w:t>la estética visual, la calidad del aire</w:t>
      </w:r>
      <w:r w:rsidR="007503A8" w:rsidRPr="00803630">
        <w:rPr>
          <w:lang w:val="es-ES"/>
        </w:rPr>
        <w:t xml:space="preserve">, etc. </w:t>
      </w:r>
    </w:p>
    <w:p w:rsidR="007503A8" w:rsidRPr="00803630" w:rsidRDefault="005C6183" w:rsidP="00DA4805">
      <w:pPr>
        <w:rPr>
          <w:lang w:val="es-ES"/>
        </w:rPr>
      </w:pPr>
      <w:r>
        <w:rPr>
          <w:lang w:val="es-ES"/>
        </w:rPr>
        <w:t xml:space="preserve">Por el momento aún no se han determinado ni reconocido plenamente </w:t>
      </w:r>
      <w:r w:rsidR="00DA4805">
        <w:rPr>
          <w:lang w:val="es-ES"/>
        </w:rPr>
        <w:t>el papel que desempeñan</w:t>
      </w:r>
      <w:r>
        <w:rPr>
          <w:lang w:val="es-ES"/>
        </w:rPr>
        <w:t xml:space="preserve"> las TIC </w:t>
      </w:r>
      <w:r w:rsidR="00DA4805">
        <w:rPr>
          <w:lang w:val="es-ES"/>
        </w:rPr>
        <w:t>en la resolución de</w:t>
      </w:r>
      <w:r>
        <w:rPr>
          <w:lang w:val="es-ES"/>
        </w:rPr>
        <w:t xml:space="preserve"> los problemas ambientales </w:t>
      </w:r>
      <w:r w:rsidR="00DA4805">
        <w:rPr>
          <w:lang w:val="es-ES"/>
        </w:rPr>
        <w:t xml:space="preserve">en </w:t>
      </w:r>
      <w:r>
        <w:rPr>
          <w:lang w:val="es-ES"/>
        </w:rPr>
        <w:t>las ciudades</w:t>
      </w:r>
      <w:r w:rsidR="007503A8" w:rsidRPr="00803630">
        <w:rPr>
          <w:lang w:val="es-ES"/>
        </w:rPr>
        <w:t xml:space="preserve">. </w:t>
      </w:r>
    </w:p>
    <w:p w:rsidR="007503A8" w:rsidRPr="00803630" w:rsidRDefault="00DA4805" w:rsidP="00E279D6">
      <w:pPr>
        <w:rPr>
          <w:lang w:val="es-ES"/>
        </w:rPr>
      </w:pPr>
      <w:r>
        <w:rPr>
          <w:lang w:val="es-ES"/>
        </w:rPr>
        <w:t>La Comisión de Estudio 5 (CE</w:t>
      </w:r>
      <w:r w:rsidR="007D2C8B">
        <w:rPr>
          <w:lang w:val="es-ES"/>
        </w:rPr>
        <w:t> </w:t>
      </w:r>
      <w:r>
        <w:rPr>
          <w:lang w:val="es-ES"/>
        </w:rPr>
        <w:t>5) del U</w:t>
      </w:r>
      <w:r w:rsidR="007503A8" w:rsidRPr="00803630">
        <w:rPr>
          <w:lang w:val="es-ES"/>
        </w:rPr>
        <w:t xml:space="preserve">IT-T </w:t>
      </w:r>
      <w:r>
        <w:rPr>
          <w:lang w:val="es-ES"/>
        </w:rPr>
        <w:t>estudia las cuestiones relativas al medio ambiente y al cambio climático, en particular el desarrollo de una metodología para evaluar el impacto ambiental de las TIC en las ciudades</w:t>
      </w:r>
      <w:r w:rsidR="007503A8" w:rsidRPr="00803630">
        <w:rPr>
          <w:lang w:val="es-ES"/>
        </w:rPr>
        <w:t xml:space="preserve">. </w:t>
      </w:r>
      <w:r>
        <w:rPr>
          <w:lang w:val="es-ES"/>
        </w:rPr>
        <w:t xml:space="preserve">Habida cuenta de que el tema de las ciudades sostenibles inteligentes afecta a diversos actores, este Grupo Temático será fundamental en </w:t>
      </w:r>
      <w:proofErr w:type="gramStart"/>
      <w:r>
        <w:rPr>
          <w:lang w:val="es-ES"/>
        </w:rPr>
        <w:t>cuanto</w:t>
      </w:r>
      <w:proofErr w:type="gramEnd"/>
      <w:r>
        <w:rPr>
          <w:lang w:val="es-ES"/>
        </w:rPr>
        <w:t xml:space="preserve"> plataforma para el intercambio de ideas</w:t>
      </w:r>
      <w:r w:rsidR="007503A8" w:rsidRPr="00803630">
        <w:rPr>
          <w:lang w:val="es-ES"/>
        </w:rPr>
        <w:t xml:space="preserve">, </w:t>
      </w:r>
      <w:r>
        <w:rPr>
          <w:lang w:val="es-ES"/>
        </w:rPr>
        <w:t>la preparación de diversos resultados e iniciativas ejemplares</w:t>
      </w:r>
      <w:r w:rsidR="007503A8" w:rsidRPr="00803630">
        <w:rPr>
          <w:lang w:val="es-ES"/>
        </w:rPr>
        <w:t xml:space="preserve">, </w:t>
      </w:r>
      <w:r>
        <w:rPr>
          <w:lang w:val="es-ES"/>
        </w:rPr>
        <w:t>proyectos, políticas y actividades de normalización en el ámbito de las ciudades sostenibles e inteligentes</w:t>
      </w:r>
      <w:r w:rsidR="007503A8" w:rsidRPr="00803630">
        <w:rPr>
          <w:lang w:val="es-ES"/>
        </w:rPr>
        <w:t xml:space="preserve">. </w:t>
      </w:r>
    </w:p>
    <w:p w:rsidR="00A107B8" w:rsidRPr="00803630" w:rsidRDefault="009501BC" w:rsidP="004E2AF7">
      <w:pPr>
        <w:rPr>
          <w:color w:val="000000"/>
          <w:lang w:val="es-ES"/>
        </w:rPr>
      </w:pPr>
      <w:r>
        <w:rPr>
          <w:lang w:val="es-ES"/>
        </w:rPr>
        <w:t xml:space="preserve">El </w:t>
      </w:r>
      <w:r w:rsidR="007503A8" w:rsidRPr="00803630">
        <w:rPr>
          <w:lang w:val="es-ES"/>
        </w:rPr>
        <w:t xml:space="preserve">FG-SSC </w:t>
      </w:r>
      <w:r w:rsidR="00A107B8">
        <w:rPr>
          <w:color w:val="000000"/>
          <w:lang w:val="es-ES"/>
        </w:rPr>
        <w:t>analizará las soluciones y los proyectos de T</w:t>
      </w:r>
      <w:r w:rsidR="00A107B8" w:rsidRPr="00803630">
        <w:rPr>
          <w:lang w:val="es-ES"/>
        </w:rPr>
        <w:t xml:space="preserve">IC </w:t>
      </w:r>
      <w:r w:rsidR="00A107B8">
        <w:rPr>
          <w:lang w:val="es-ES"/>
        </w:rPr>
        <w:t>que fomenten la sostenibilidad ambiental en las ciudades y que puedan normalizarse en el marco de la CE</w:t>
      </w:r>
      <w:r w:rsidR="007D2C8B">
        <w:rPr>
          <w:lang w:val="es-ES"/>
        </w:rPr>
        <w:t> </w:t>
      </w:r>
      <w:r w:rsidR="00A107B8">
        <w:rPr>
          <w:lang w:val="es-ES"/>
        </w:rPr>
        <w:t>5 del UIT</w:t>
      </w:r>
      <w:r w:rsidR="00A107B8" w:rsidRPr="00803630">
        <w:rPr>
          <w:lang w:val="es-ES"/>
        </w:rPr>
        <w:t>-T</w:t>
      </w:r>
      <w:r w:rsidR="00A107B8">
        <w:rPr>
          <w:lang w:val="es-ES"/>
        </w:rPr>
        <w:t>,</w:t>
      </w:r>
      <w:r w:rsidR="00A107B8" w:rsidRPr="00803630">
        <w:rPr>
          <w:lang w:val="es-ES"/>
        </w:rPr>
        <w:t xml:space="preserve"> </w:t>
      </w:r>
      <w:r w:rsidR="00A107B8">
        <w:rPr>
          <w:lang w:val="es-ES"/>
        </w:rPr>
        <w:t xml:space="preserve">y determinará las prácticas idóneas que podrían facilitar la aplicación de tales soluciones </w:t>
      </w:r>
      <w:r w:rsidR="004E2AF7">
        <w:rPr>
          <w:lang w:val="es-ES"/>
        </w:rPr>
        <w:t>a</w:t>
      </w:r>
      <w:r w:rsidR="00A107B8">
        <w:rPr>
          <w:lang w:val="es-ES"/>
        </w:rPr>
        <w:t xml:space="preserve"> las ciudades</w:t>
      </w:r>
      <w:r w:rsidR="00A107B8" w:rsidRPr="00803630">
        <w:rPr>
          <w:lang w:val="es-ES"/>
        </w:rPr>
        <w:t xml:space="preserve">. </w:t>
      </w:r>
    </w:p>
    <w:p w:rsidR="00A107B8" w:rsidRPr="00803630" w:rsidRDefault="00A107B8" w:rsidP="00A107B8">
      <w:pPr>
        <w:rPr>
          <w:lang w:val="es-ES"/>
        </w:rPr>
      </w:pPr>
      <w:r>
        <w:rPr>
          <w:lang w:val="es-ES"/>
        </w:rPr>
        <w:t>El Grupo preparará una hoja de ruta para la normalización, teniendo en cuenta las actividades que realizan otras organizaciones y foros de normalización</w:t>
      </w:r>
      <w:r w:rsidRPr="00803630">
        <w:rPr>
          <w:lang w:val="es-ES"/>
        </w:rPr>
        <w:t>.</w:t>
      </w:r>
    </w:p>
    <w:p w:rsidR="00A107B8" w:rsidRPr="00803630" w:rsidRDefault="00A107B8" w:rsidP="00A107B8">
      <w:pPr>
        <w:rPr>
          <w:lang w:val="es-ES"/>
        </w:rPr>
      </w:pPr>
      <w:r>
        <w:rPr>
          <w:lang w:val="es-ES"/>
        </w:rPr>
        <w:t xml:space="preserve">Este </w:t>
      </w:r>
      <w:r w:rsidR="00826D9C">
        <w:rPr>
          <w:lang w:val="es-ES"/>
        </w:rPr>
        <w:t>"</w:t>
      </w:r>
      <w:r>
        <w:rPr>
          <w:lang w:val="es-ES"/>
        </w:rPr>
        <w:t>Grupo Temático sobre ciudades sostenibles e inteligentes (FG-SSC)</w:t>
      </w:r>
      <w:r w:rsidR="00826D9C">
        <w:rPr>
          <w:lang w:val="es-ES"/>
        </w:rPr>
        <w:t>"</w:t>
      </w:r>
      <w:r>
        <w:rPr>
          <w:lang w:val="es-ES"/>
        </w:rPr>
        <w:t xml:space="preserve"> invitará a entidades no miembros del UIT-T y aprovechará el papel que desempeña el sector de las TIC para fomentar el crecimiento de ciudades inteligentes y sostenibles en todo el mundo.</w:t>
      </w:r>
    </w:p>
    <w:p w:rsidR="00322791" w:rsidRPr="00A96DEA" w:rsidRDefault="00A96DEA" w:rsidP="00A96DEA">
      <w:pPr>
        <w:rPr>
          <w:bCs/>
          <w:lang w:val="es-ES"/>
        </w:rPr>
      </w:pPr>
      <w:r w:rsidRPr="00A96DEA">
        <w:rPr>
          <w:bCs/>
          <w:lang w:val="es-ES"/>
        </w:rPr>
        <w:t>El Grupo Temático se ha creado de conformidad con la Recomendación U</w:t>
      </w:r>
      <w:r w:rsidR="007503A8" w:rsidRPr="00A96DEA">
        <w:rPr>
          <w:bCs/>
          <w:lang w:val="es-ES"/>
        </w:rPr>
        <w:t>IT-T A.7.</w:t>
      </w:r>
    </w:p>
    <w:p w:rsidR="00B90541" w:rsidRPr="00803630" w:rsidRDefault="00B90541" w:rsidP="00D969D1">
      <w:pPr>
        <w:pStyle w:val="Heading1"/>
        <w:rPr>
          <w:lang w:val="es-ES"/>
        </w:rPr>
      </w:pPr>
      <w:r w:rsidRPr="00803630">
        <w:rPr>
          <w:lang w:val="es-ES"/>
        </w:rPr>
        <w:t>2</w:t>
      </w:r>
      <w:r w:rsidRPr="00803630">
        <w:rPr>
          <w:lang w:val="es-ES"/>
        </w:rPr>
        <w:tab/>
        <w:t>Objetivos</w:t>
      </w:r>
    </w:p>
    <w:p w:rsidR="00322791" w:rsidRPr="00803630" w:rsidRDefault="00F01A16" w:rsidP="00394F18">
      <w:pPr>
        <w:pStyle w:val="enumlev1"/>
        <w:rPr>
          <w:lang w:val="es-ES"/>
        </w:rPr>
      </w:pPr>
      <w:r w:rsidRPr="00803630">
        <w:rPr>
          <w:lang w:val="es-ES"/>
        </w:rPr>
        <w:t>•</w:t>
      </w:r>
      <w:r w:rsidR="00322791" w:rsidRPr="00803630">
        <w:rPr>
          <w:lang w:val="es-ES"/>
        </w:rPr>
        <w:tab/>
      </w:r>
      <w:r w:rsidR="00A96DEA">
        <w:rPr>
          <w:lang w:val="es-ES"/>
        </w:rPr>
        <w:t xml:space="preserve">Definir </w:t>
      </w:r>
      <w:r w:rsidR="00394F18">
        <w:rPr>
          <w:lang w:val="es-ES"/>
        </w:rPr>
        <w:t>el papel de</w:t>
      </w:r>
      <w:r w:rsidR="00A4353B">
        <w:rPr>
          <w:lang w:val="es-ES"/>
        </w:rPr>
        <w:t xml:space="preserve"> las </w:t>
      </w:r>
      <w:r w:rsidR="00A96DEA">
        <w:rPr>
          <w:lang w:val="es-ES"/>
        </w:rPr>
        <w:t xml:space="preserve">TIC </w:t>
      </w:r>
      <w:r w:rsidR="00394F18">
        <w:rPr>
          <w:lang w:val="es-ES"/>
        </w:rPr>
        <w:t xml:space="preserve">en </w:t>
      </w:r>
      <w:r w:rsidR="00A4353B">
        <w:rPr>
          <w:lang w:val="es-ES"/>
        </w:rPr>
        <w:t xml:space="preserve">la sostenibilidad ambiental de las </w:t>
      </w:r>
      <w:r w:rsidR="00A96DEA">
        <w:rPr>
          <w:lang w:val="es-ES"/>
        </w:rPr>
        <w:t>ciudades</w:t>
      </w:r>
      <w:r w:rsidR="00322791" w:rsidRPr="00803630">
        <w:rPr>
          <w:lang w:val="es-ES"/>
        </w:rPr>
        <w:t xml:space="preserve">. </w:t>
      </w:r>
      <w:r w:rsidR="00A96DEA">
        <w:rPr>
          <w:lang w:val="es-ES"/>
        </w:rPr>
        <w:t xml:space="preserve">En particular, determinar los sistemas </w:t>
      </w:r>
      <w:r w:rsidR="00394F18">
        <w:rPr>
          <w:lang w:val="es-ES"/>
        </w:rPr>
        <w:t>TIC</w:t>
      </w:r>
      <w:r w:rsidR="00322791" w:rsidRPr="00803630">
        <w:rPr>
          <w:lang w:val="es-ES"/>
        </w:rPr>
        <w:t xml:space="preserve"> </w:t>
      </w:r>
      <w:r w:rsidR="00A96DEA">
        <w:rPr>
          <w:lang w:val="es-ES"/>
        </w:rPr>
        <w:t>necesarios para el desarrollo sostenible y ecológico de la ciudad</w:t>
      </w:r>
      <w:r w:rsidR="00322791" w:rsidRPr="00803630">
        <w:rPr>
          <w:lang w:val="es-ES"/>
        </w:rPr>
        <w:t>.</w:t>
      </w:r>
    </w:p>
    <w:p w:rsidR="00322791" w:rsidRPr="00803630" w:rsidRDefault="00322791" w:rsidP="00A4353B">
      <w:pPr>
        <w:pStyle w:val="enumlev1"/>
        <w:rPr>
          <w:lang w:val="es-ES"/>
        </w:rPr>
      </w:pPr>
      <w:r w:rsidRPr="00803630">
        <w:rPr>
          <w:lang w:val="es-ES"/>
        </w:rPr>
        <w:lastRenderedPageBreak/>
        <w:t>•</w:t>
      </w:r>
      <w:r w:rsidRPr="00803630">
        <w:rPr>
          <w:lang w:val="es-ES"/>
        </w:rPr>
        <w:tab/>
      </w:r>
      <w:r w:rsidR="00A4353B">
        <w:rPr>
          <w:lang w:val="es-ES"/>
        </w:rPr>
        <w:t>Establecer vínculos y relaciones con otras organizaciones que podrían contribuir a las actividades de normalización de las TIC, el medio ambiente y el cambio climático en las ciudades</w:t>
      </w:r>
      <w:r w:rsidRPr="00803630">
        <w:rPr>
          <w:lang w:val="es-ES"/>
        </w:rPr>
        <w:t xml:space="preserve">. </w:t>
      </w:r>
    </w:p>
    <w:p w:rsidR="00322791" w:rsidRPr="00803630" w:rsidRDefault="00322791" w:rsidP="00A4353B">
      <w:pPr>
        <w:pStyle w:val="enumlev1"/>
        <w:rPr>
          <w:lang w:val="es-ES"/>
        </w:rPr>
      </w:pPr>
      <w:r w:rsidRPr="00803630">
        <w:rPr>
          <w:lang w:val="es-ES"/>
        </w:rPr>
        <w:t>•</w:t>
      </w:r>
      <w:r w:rsidRPr="00803630">
        <w:rPr>
          <w:lang w:val="es-ES"/>
        </w:rPr>
        <w:tab/>
      </w:r>
      <w:r w:rsidR="00A4353B">
        <w:rPr>
          <w:lang w:val="es-ES"/>
        </w:rPr>
        <w:t>Crear una hoja de ruta de la contribución del sector de las TIC a las ciudades sostenibles e inteligentes</w:t>
      </w:r>
      <w:r w:rsidRPr="00803630">
        <w:rPr>
          <w:lang w:val="es-ES"/>
        </w:rPr>
        <w:t xml:space="preserve">. </w:t>
      </w:r>
    </w:p>
    <w:p w:rsidR="00322791" w:rsidRPr="00803630" w:rsidRDefault="00322791" w:rsidP="00A4353B">
      <w:pPr>
        <w:pStyle w:val="enumlev1"/>
        <w:rPr>
          <w:lang w:val="es-ES"/>
        </w:rPr>
      </w:pPr>
      <w:r w:rsidRPr="00803630">
        <w:rPr>
          <w:lang w:val="es-ES"/>
        </w:rPr>
        <w:t>•</w:t>
      </w:r>
      <w:r w:rsidRPr="00803630">
        <w:rPr>
          <w:lang w:val="es-ES"/>
        </w:rPr>
        <w:tab/>
      </w:r>
      <w:r w:rsidR="00A4353B">
        <w:rPr>
          <w:lang w:val="es-ES"/>
        </w:rPr>
        <w:t>Proponer futuros temas de estudio para el U</w:t>
      </w:r>
      <w:r w:rsidRPr="00803630">
        <w:rPr>
          <w:lang w:val="es-ES"/>
        </w:rPr>
        <w:t xml:space="preserve">IT-T </w:t>
      </w:r>
      <w:r w:rsidR="00A4353B">
        <w:rPr>
          <w:lang w:val="es-ES"/>
        </w:rPr>
        <w:t>y actividades afines que pertenezcan al ámbito de competencias de la CE</w:t>
      </w:r>
      <w:r w:rsidR="007D2C8B">
        <w:rPr>
          <w:lang w:val="es-ES"/>
        </w:rPr>
        <w:t> </w:t>
      </w:r>
      <w:r w:rsidR="00A4353B">
        <w:rPr>
          <w:lang w:val="es-ES"/>
        </w:rPr>
        <w:t>5 del UIT</w:t>
      </w:r>
      <w:r w:rsidRPr="00803630">
        <w:rPr>
          <w:lang w:val="es-ES"/>
        </w:rPr>
        <w:t>-T (</w:t>
      </w:r>
      <w:r w:rsidR="00A4353B">
        <w:rPr>
          <w:lang w:val="es-ES"/>
        </w:rPr>
        <w:t xml:space="preserve">véase el Apéndice </w:t>
      </w:r>
      <w:r w:rsidRPr="00803630">
        <w:rPr>
          <w:lang w:val="es-ES"/>
        </w:rPr>
        <w:t>1)</w:t>
      </w:r>
      <w:r w:rsidR="00A4353B">
        <w:rPr>
          <w:lang w:val="es-ES"/>
        </w:rPr>
        <w:t>, como por ejemplo</w:t>
      </w:r>
      <w:r w:rsidRPr="00803630">
        <w:rPr>
          <w:lang w:val="es-ES"/>
        </w:rPr>
        <w:t xml:space="preserve">: </w:t>
      </w:r>
    </w:p>
    <w:p w:rsidR="00322791" w:rsidRPr="00803630" w:rsidRDefault="00322791" w:rsidP="004E2AF7">
      <w:pPr>
        <w:numPr>
          <w:ilvl w:val="1"/>
          <w:numId w:val="17"/>
        </w:numPr>
        <w:tabs>
          <w:tab w:val="clear" w:pos="794"/>
          <w:tab w:val="clear" w:pos="1191"/>
          <w:tab w:val="clear" w:pos="1588"/>
          <w:tab w:val="clear" w:pos="1985"/>
        </w:tabs>
        <w:spacing w:before="80"/>
        <w:rPr>
          <w:lang w:val="es-ES"/>
        </w:rPr>
      </w:pPr>
      <w:r w:rsidRPr="00803630">
        <w:rPr>
          <w:lang w:val="es-ES"/>
        </w:rPr>
        <w:t>Concept</w:t>
      </w:r>
      <w:r w:rsidR="00A4353B">
        <w:rPr>
          <w:lang w:val="es-ES"/>
        </w:rPr>
        <w:t>o</w:t>
      </w:r>
      <w:r w:rsidRPr="00803630">
        <w:rPr>
          <w:lang w:val="es-ES"/>
        </w:rPr>
        <w:t xml:space="preserve">s, </w:t>
      </w:r>
      <w:r w:rsidR="00A4353B">
        <w:rPr>
          <w:lang w:val="es-ES"/>
        </w:rPr>
        <w:t>cobertura</w:t>
      </w:r>
      <w:r w:rsidRPr="00803630">
        <w:rPr>
          <w:lang w:val="es-ES"/>
        </w:rPr>
        <w:t xml:space="preserve">, </w:t>
      </w:r>
      <w:r w:rsidR="004E2AF7">
        <w:rPr>
          <w:lang w:val="es-ES"/>
        </w:rPr>
        <w:t>perspectivas</w:t>
      </w:r>
      <w:r w:rsidR="00A4353B">
        <w:rPr>
          <w:lang w:val="es-ES"/>
        </w:rPr>
        <w:t xml:space="preserve"> y casos concretos de ciudades sostenibles e inteligentes</w:t>
      </w:r>
      <w:r w:rsidRPr="00803630">
        <w:rPr>
          <w:lang w:val="es-ES"/>
        </w:rPr>
        <w:t>.</w:t>
      </w:r>
    </w:p>
    <w:p w:rsidR="00322791" w:rsidRPr="00803630" w:rsidRDefault="00A4353B" w:rsidP="00A4353B">
      <w:pPr>
        <w:numPr>
          <w:ilvl w:val="1"/>
          <w:numId w:val="17"/>
        </w:numPr>
        <w:tabs>
          <w:tab w:val="clear" w:pos="794"/>
          <w:tab w:val="clear" w:pos="1191"/>
          <w:tab w:val="clear" w:pos="1588"/>
          <w:tab w:val="clear" w:pos="1985"/>
        </w:tabs>
        <w:spacing w:before="80"/>
        <w:rPr>
          <w:lang w:val="es-ES"/>
        </w:rPr>
      </w:pPr>
      <w:r>
        <w:rPr>
          <w:lang w:val="es-ES"/>
        </w:rPr>
        <w:t>Características y requisitos de ciudades inteligentes y sostenibles</w:t>
      </w:r>
      <w:r w:rsidR="00322791" w:rsidRPr="00803630">
        <w:rPr>
          <w:lang w:val="es-ES"/>
        </w:rPr>
        <w:t>.</w:t>
      </w:r>
    </w:p>
    <w:p w:rsidR="00322791" w:rsidRPr="00803630" w:rsidRDefault="00A4353B" w:rsidP="00A4353B">
      <w:pPr>
        <w:numPr>
          <w:ilvl w:val="1"/>
          <w:numId w:val="17"/>
        </w:numPr>
        <w:tabs>
          <w:tab w:val="clear" w:pos="794"/>
          <w:tab w:val="clear" w:pos="1191"/>
          <w:tab w:val="clear" w:pos="1588"/>
          <w:tab w:val="clear" w:pos="1985"/>
        </w:tabs>
        <w:spacing w:before="80"/>
        <w:rPr>
          <w:lang w:val="es-ES"/>
        </w:rPr>
      </w:pPr>
      <w:r>
        <w:rPr>
          <w:lang w:val="es-ES"/>
        </w:rPr>
        <w:t xml:space="preserve">Servicios e infraestructura de </w:t>
      </w:r>
      <w:proofErr w:type="gramStart"/>
      <w:r>
        <w:rPr>
          <w:lang w:val="es-ES"/>
        </w:rPr>
        <w:t>red eficientes</w:t>
      </w:r>
      <w:proofErr w:type="gramEnd"/>
      <w:r>
        <w:rPr>
          <w:lang w:val="es-ES"/>
        </w:rPr>
        <w:t xml:space="preserve"> para las ciudades sostenibles e inteligentes</w:t>
      </w:r>
      <w:r w:rsidR="00322791" w:rsidRPr="00803630">
        <w:rPr>
          <w:lang w:val="es-ES"/>
        </w:rPr>
        <w:t xml:space="preserve">, </w:t>
      </w:r>
      <w:r>
        <w:rPr>
          <w:lang w:val="es-ES"/>
        </w:rPr>
        <w:t>así como su marco arquitectónico desde el punto de vista del impacto ambiental</w:t>
      </w:r>
      <w:r w:rsidR="00322791" w:rsidRPr="00803630">
        <w:rPr>
          <w:lang w:val="es-ES"/>
        </w:rPr>
        <w:t>.</w:t>
      </w:r>
    </w:p>
    <w:p w:rsidR="00322791" w:rsidRPr="00803630" w:rsidRDefault="00322791" w:rsidP="00A4353B">
      <w:pPr>
        <w:pStyle w:val="enumlev1"/>
        <w:rPr>
          <w:lang w:val="es-ES"/>
        </w:rPr>
      </w:pPr>
      <w:r w:rsidRPr="00803630">
        <w:rPr>
          <w:lang w:val="es-ES"/>
        </w:rPr>
        <w:t>•</w:t>
      </w:r>
      <w:r w:rsidRPr="00803630">
        <w:rPr>
          <w:lang w:val="es-ES"/>
        </w:rPr>
        <w:tab/>
      </w:r>
      <w:r w:rsidR="00A4353B">
        <w:rPr>
          <w:lang w:val="es-ES"/>
        </w:rPr>
        <w:t xml:space="preserve">Determinar o definir un conjunto de indicadores fundamentales de rendimiento </w:t>
      </w:r>
      <w:r w:rsidRPr="00803630">
        <w:rPr>
          <w:lang w:val="es-ES"/>
        </w:rPr>
        <w:t>(</w:t>
      </w:r>
      <w:proofErr w:type="spellStart"/>
      <w:r w:rsidRPr="00803630">
        <w:rPr>
          <w:lang w:val="es-ES"/>
        </w:rPr>
        <w:t>KPIs</w:t>
      </w:r>
      <w:proofErr w:type="spellEnd"/>
      <w:r w:rsidRPr="00803630">
        <w:rPr>
          <w:lang w:val="es-ES"/>
        </w:rPr>
        <w:t xml:space="preserve">) </w:t>
      </w:r>
      <w:r w:rsidR="00A4353B">
        <w:rPr>
          <w:lang w:val="es-ES"/>
        </w:rPr>
        <w:t>que permitan evaluar la incidencia de las TIC en la sostenibilidad ambiental de las ciudades</w:t>
      </w:r>
      <w:r w:rsidRPr="00803630">
        <w:rPr>
          <w:lang w:val="es-ES"/>
        </w:rPr>
        <w:t xml:space="preserve">. </w:t>
      </w:r>
    </w:p>
    <w:p w:rsidR="00322791" w:rsidRPr="00803630" w:rsidRDefault="00322791" w:rsidP="007D2C8B">
      <w:pPr>
        <w:pStyle w:val="enumlev1"/>
        <w:rPr>
          <w:lang w:val="es-ES"/>
        </w:rPr>
      </w:pPr>
      <w:r w:rsidRPr="00803630">
        <w:rPr>
          <w:lang w:val="es-ES"/>
        </w:rPr>
        <w:t>•</w:t>
      </w:r>
      <w:r w:rsidRPr="00803630">
        <w:rPr>
          <w:lang w:val="es-ES"/>
        </w:rPr>
        <w:tab/>
      </w:r>
      <w:r w:rsidR="00A4353B">
        <w:rPr>
          <w:lang w:val="es-ES"/>
        </w:rPr>
        <w:t>Fomentar el desarrollo de estrategias y prácticas idóneas en materia de políticas y normas que contribuyan al suministro de servicios TIC ecológicos en las ciudades, en particular la utilización óptima de recursos escasos y la capacidad de adaptación al cambio climático en las ciudades</w:t>
      </w:r>
      <w:r w:rsidRPr="00803630">
        <w:rPr>
          <w:lang w:val="es-ES"/>
        </w:rPr>
        <w:t xml:space="preserve">. </w:t>
      </w:r>
    </w:p>
    <w:p w:rsidR="00322791" w:rsidRPr="00803630" w:rsidRDefault="00322791" w:rsidP="001512A2">
      <w:pPr>
        <w:pStyle w:val="enumlev1"/>
        <w:rPr>
          <w:lang w:val="es-ES"/>
        </w:rPr>
      </w:pPr>
      <w:r w:rsidRPr="00803630">
        <w:rPr>
          <w:lang w:val="es-ES"/>
        </w:rPr>
        <w:t>•</w:t>
      </w:r>
      <w:r w:rsidRPr="00803630">
        <w:rPr>
          <w:lang w:val="es-ES"/>
        </w:rPr>
        <w:tab/>
      </w:r>
      <w:r w:rsidR="001512A2">
        <w:rPr>
          <w:lang w:val="es-ES"/>
        </w:rPr>
        <w:t>Determinar los posibles obstáculos a la utilización de las TIC para lograr la sostenibilidad ambiental en las ciudades</w:t>
      </w:r>
      <w:r w:rsidRPr="00803630">
        <w:rPr>
          <w:lang w:val="es-ES"/>
        </w:rPr>
        <w:t>.</w:t>
      </w:r>
    </w:p>
    <w:p w:rsidR="00322791" w:rsidRPr="00803630" w:rsidRDefault="00322791" w:rsidP="007D2C8B">
      <w:pPr>
        <w:pStyle w:val="enumlev1"/>
        <w:rPr>
          <w:lang w:val="es-ES"/>
        </w:rPr>
      </w:pPr>
      <w:r w:rsidRPr="00803630">
        <w:rPr>
          <w:lang w:val="es-ES"/>
        </w:rPr>
        <w:t>•</w:t>
      </w:r>
      <w:r w:rsidRPr="00803630">
        <w:rPr>
          <w:lang w:val="es-ES"/>
        </w:rPr>
        <w:tab/>
      </w:r>
      <w:r w:rsidR="001512A2">
        <w:rPr>
          <w:lang w:val="es-ES"/>
        </w:rPr>
        <w:t>Ayudar a que la Comisión de Estudio 5 del U</w:t>
      </w:r>
      <w:r w:rsidRPr="00803630">
        <w:rPr>
          <w:lang w:val="es-ES"/>
        </w:rPr>
        <w:t xml:space="preserve">IT-T </w:t>
      </w:r>
      <w:r w:rsidR="001512A2">
        <w:rPr>
          <w:lang w:val="es-ES"/>
        </w:rPr>
        <w:t xml:space="preserve">se convierta en una referencia mundial en materia de TIC y su contribución a </w:t>
      </w:r>
      <w:r w:rsidR="004E2077">
        <w:rPr>
          <w:lang w:val="es-ES"/>
        </w:rPr>
        <w:t>la creación de ciudades sostenibles e inteligentes</w:t>
      </w:r>
      <w:r w:rsidRPr="00803630">
        <w:rPr>
          <w:lang w:val="es-ES"/>
        </w:rPr>
        <w:t xml:space="preserve">. </w:t>
      </w:r>
    </w:p>
    <w:p w:rsidR="00322791" w:rsidRPr="00803630" w:rsidRDefault="00322791" w:rsidP="004E2077">
      <w:pPr>
        <w:pStyle w:val="enumlev1"/>
        <w:rPr>
          <w:lang w:val="es-ES"/>
        </w:rPr>
      </w:pPr>
      <w:r w:rsidRPr="00803630">
        <w:rPr>
          <w:lang w:val="es-ES"/>
        </w:rPr>
        <w:t>•</w:t>
      </w:r>
      <w:r w:rsidRPr="00803630">
        <w:rPr>
          <w:lang w:val="es-ES"/>
        </w:rPr>
        <w:tab/>
      </w:r>
      <w:r w:rsidR="00EA6280">
        <w:rPr>
          <w:lang w:val="es-ES"/>
        </w:rPr>
        <w:t>Creación</w:t>
      </w:r>
      <w:r w:rsidR="004E2077">
        <w:rPr>
          <w:lang w:val="es-ES"/>
        </w:rPr>
        <w:t xml:space="preserve"> de una plataforma mundial sobre la contribución de las TIC a la creación de ciudades sostenibles e inteligentes</w:t>
      </w:r>
      <w:r w:rsidR="00F96ED0" w:rsidRPr="00803630">
        <w:rPr>
          <w:lang w:val="es-ES"/>
        </w:rPr>
        <w:t>.</w:t>
      </w:r>
    </w:p>
    <w:p w:rsidR="00B90541" w:rsidRPr="00803630" w:rsidRDefault="00B90541" w:rsidP="00D969D1">
      <w:pPr>
        <w:pStyle w:val="Heading1"/>
        <w:rPr>
          <w:lang w:val="es-ES"/>
        </w:rPr>
      </w:pPr>
      <w:r w:rsidRPr="00803630">
        <w:rPr>
          <w:lang w:val="es-ES"/>
        </w:rPr>
        <w:t>3</w:t>
      </w:r>
      <w:r w:rsidRPr="00803630">
        <w:rPr>
          <w:lang w:val="es-ES"/>
        </w:rPr>
        <w:tab/>
        <w:t>Estructura</w:t>
      </w:r>
    </w:p>
    <w:p w:rsidR="005E6DFB" w:rsidRPr="00803630" w:rsidRDefault="00EA6280" w:rsidP="00EA6280">
      <w:pPr>
        <w:rPr>
          <w:lang w:val="es-ES"/>
        </w:rPr>
      </w:pPr>
      <w:r>
        <w:rPr>
          <w:lang w:val="es-ES"/>
        </w:rPr>
        <w:t>El</w:t>
      </w:r>
      <w:r w:rsidR="005E6DFB" w:rsidRPr="00803630">
        <w:rPr>
          <w:lang w:val="es-ES"/>
        </w:rPr>
        <w:t xml:space="preserve"> FG-SSC </w:t>
      </w:r>
      <w:r>
        <w:rPr>
          <w:lang w:val="es-ES"/>
        </w:rPr>
        <w:t>debe crear subgrupos especializados en los tres campos siguientes, habida cuenta de los objetivos mencionados</w:t>
      </w:r>
      <w:r w:rsidR="005E6DFB" w:rsidRPr="00803630">
        <w:rPr>
          <w:lang w:val="es-ES"/>
        </w:rPr>
        <w:t>:</w:t>
      </w:r>
    </w:p>
    <w:p w:rsidR="005E6DFB" w:rsidRPr="00803630" w:rsidRDefault="005E6DFB" w:rsidP="00EA6280">
      <w:pPr>
        <w:pStyle w:val="enumlev1"/>
        <w:rPr>
          <w:lang w:val="es-ES"/>
        </w:rPr>
      </w:pPr>
      <w:r w:rsidRPr="00803630">
        <w:rPr>
          <w:lang w:val="es-ES"/>
        </w:rPr>
        <w:t>•</w:t>
      </w:r>
      <w:r w:rsidRPr="00803630">
        <w:rPr>
          <w:lang w:val="es-ES"/>
        </w:rPr>
        <w:tab/>
      </w:r>
      <w:r w:rsidR="00EA6280">
        <w:rPr>
          <w:lang w:val="es-ES"/>
        </w:rPr>
        <w:t>La función de las T</w:t>
      </w:r>
      <w:r w:rsidRPr="00803630">
        <w:rPr>
          <w:lang w:val="es-ES"/>
        </w:rPr>
        <w:t xml:space="preserve">IC </w:t>
      </w:r>
      <w:r w:rsidR="00EA6280">
        <w:rPr>
          <w:lang w:val="es-ES"/>
        </w:rPr>
        <w:t>y hoja de ruta para la creación de ciudades sostenibles e inteligentes</w:t>
      </w:r>
      <w:r w:rsidRPr="00803630">
        <w:rPr>
          <w:lang w:val="es-ES"/>
        </w:rPr>
        <w:t>.</w:t>
      </w:r>
    </w:p>
    <w:p w:rsidR="005E6DFB" w:rsidRPr="00803630" w:rsidRDefault="005E6DFB" w:rsidP="00EA6280">
      <w:pPr>
        <w:pStyle w:val="enumlev1"/>
        <w:rPr>
          <w:lang w:val="es-ES"/>
        </w:rPr>
      </w:pPr>
      <w:r w:rsidRPr="00803630">
        <w:rPr>
          <w:lang w:val="es-ES"/>
        </w:rPr>
        <w:t>•</w:t>
      </w:r>
      <w:r w:rsidRPr="00803630">
        <w:rPr>
          <w:lang w:val="es-ES"/>
        </w:rPr>
        <w:tab/>
      </w:r>
      <w:r w:rsidR="00EA6280">
        <w:rPr>
          <w:lang w:val="es-ES"/>
        </w:rPr>
        <w:t>Lagunas en la normalización</w:t>
      </w:r>
      <w:r w:rsidRPr="00803630">
        <w:rPr>
          <w:lang w:val="es-ES"/>
        </w:rPr>
        <w:t>, KPI</w:t>
      </w:r>
      <w:r w:rsidR="00EA6280">
        <w:rPr>
          <w:lang w:val="es-ES"/>
        </w:rPr>
        <w:t>, mé</w:t>
      </w:r>
      <w:r w:rsidRPr="00803630">
        <w:rPr>
          <w:lang w:val="es-ES"/>
        </w:rPr>
        <w:t>tric</w:t>
      </w:r>
      <w:r w:rsidR="00EA6280">
        <w:rPr>
          <w:lang w:val="es-ES"/>
        </w:rPr>
        <w:t>a</w:t>
      </w:r>
      <w:r w:rsidRPr="00803630">
        <w:rPr>
          <w:lang w:val="es-ES"/>
        </w:rPr>
        <w:t xml:space="preserve"> </w:t>
      </w:r>
      <w:r w:rsidR="00EA6280">
        <w:rPr>
          <w:lang w:val="es-ES"/>
        </w:rPr>
        <w:t>y TIC eficientes para la creación de ciudades sostenibles e inteligentes</w:t>
      </w:r>
      <w:r w:rsidRPr="00803630">
        <w:rPr>
          <w:lang w:val="es-ES"/>
        </w:rPr>
        <w:t>.</w:t>
      </w:r>
    </w:p>
    <w:p w:rsidR="00B90541" w:rsidRPr="00803630" w:rsidRDefault="005E6DFB" w:rsidP="00C75F9B">
      <w:pPr>
        <w:pStyle w:val="enumlev1"/>
        <w:rPr>
          <w:lang w:val="es-ES"/>
        </w:rPr>
      </w:pPr>
      <w:r w:rsidRPr="00803630">
        <w:rPr>
          <w:lang w:val="es-ES"/>
        </w:rPr>
        <w:t>•</w:t>
      </w:r>
      <w:r w:rsidRPr="00803630">
        <w:rPr>
          <w:lang w:val="es-ES"/>
        </w:rPr>
        <w:tab/>
        <w:t>Comunica</w:t>
      </w:r>
      <w:r w:rsidR="00EA6280">
        <w:rPr>
          <w:lang w:val="es-ES"/>
        </w:rPr>
        <w:t>ción y</w:t>
      </w:r>
      <w:r w:rsidRPr="00803630">
        <w:rPr>
          <w:lang w:val="es-ES"/>
        </w:rPr>
        <w:t xml:space="preserve"> </w:t>
      </w:r>
      <w:r w:rsidR="00EA6280">
        <w:rPr>
          <w:lang w:val="es-ES"/>
        </w:rPr>
        <w:t xml:space="preserve">relaciones con los Miembros </w:t>
      </w:r>
      <w:r w:rsidR="00C75F9B">
        <w:rPr>
          <w:lang w:val="es-ES"/>
        </w:rPr>
        <w:t>y participación de los mismos</w:t>
      </w:r>
      <w:r w:rsidRPr="00803630">
        <w:rPr>
          <w:lang w:val="es-ES"/>
        </w:rPr>
        <w:t>.</w:t>
      </w:r>
    </w:p>
    <w:p w:rsidR="00B90541" w:rsidRPr="00803630" w:rsidRDefault="00B90541" w:rsidP="00D969D1">
      <w:pPr>
        <w:pStyle w:val="Heading1"/>
        <w:rPr>
          <w:lang w:val="es-ES"/>
        </w:rPr>
      </w:pPr>
      <w:r w:rsidRPr="00803630">
        <w:rPr>
          <w:lang w:val="es-ES"/>
        </w:rPr>
        <w:t>4</w:t>
      </w:r>
      <w:r w:rsidRPr="00803630">
        <w:rPr>
          <w:lang w:val="es-ES"/>
        </w:rPr>
        <w:tab/>
      </w:r>
      <w:r w:rsidR="00EC21BF" w:rsidRPr="00803630">
        <w:rPr>
          <w:lang w:val="es-ES"/>
        </w:rPr>
        <w:t>Relaciones</w:t>
      </w:r>
    </w:p>
    <w:p w:rsidR="00131E67" w:rsidRPr="00803630" w:rsidRDefault="00C75F9B" w:rsidP="00C75F9B">
      <w:pPr>
        <w:rPr>
          <w:lang w:val="es-ES"/>
        </w:rPr>
      </w:pPr>
      <w:r>
        <w:rPr>
          <w:lang w:val="es-ES"/>
        </w:rPr>
        <w:t>Este Grupo Temático trabajará en estrecha colaboración con todas las Comisiones de Estudio del U</w:t>
      </w:r>
      <w:r w:rsidR="00131E67" w:rsidRPr="00803630">
        <w:rPr>
          <w:lang w:val="es-ES"/>
        </w:rPr>
        <w:t xml:space="preserve">IT-T, </w:t>
      </w:r>
      <w:r>
        <w:rPr>
          <w:lang w:val="es-ES"/>
        </w:rPr>
        <w:t>especialmente con la CE</w:t>
      </w:r>
      <w:r w:rsidR="007D2C8B">
        <w:rPr>
          <w:lang w:val="es-ES"/>
        </w:rPr>
        <w:t> </w:t>
      </w:r>
      <w:r w:rsidR="00131E67" w:rsidRPr="00803630">
        <w:rPr>
          <w:lang w:val="es-ES"/>
        </w:rPr>
        <w:t xml:space="preserve">11, </w:t>
      </w:r>
      <w:r>
        <w:rPr>
          <w:lang w:val="es-ES"/>
        </w:rPr>
        <w:t>CE</w:t>
      </w:r>
      <w:r w:rsidR="007D2C8B">
        <w:rPr>
          <w:lang w:val="es-ES"/>
        </w:rPr>
        <w:t> </w:t>
      </w:r>
      <w:r w:rsidR="00131E67" w:rsidRPr="00803630">
        <w:rPr>
          <w:lang w:val="es-ES"/>
        </w:rPr>
        <w:t xml:space="preserve">13, </w:t>
      </w:r>
      <w:r>
        <w:rPr>
          <w:lang w:val="es-ES"/>
        </w:rPr>
        <w:t>CE</w:t>
      </w:r>
      <w:r w:rsidR="007D2C8B">
        <w:rPr>
          <w:lang w:val="es-ES"/>
        </w:rPr>
        <w:t> </w:t>
      </w:r>
      <w:r w:rsidR="00131E67" w:rsidRPr="00803630">
        <w:rPr>
          <w:lang w:val="es-ES"/>
        </w:rPr>
        <w:t xml:space="preserve">15 </w:t>
      </w:r>
      <w:r>
        <w:rPr>
          <w:lang w:val="es-ES"/>
        </w:rPr>
        <w:t>y CE</w:t>
      </w:r>
      <w:r w:rsidR="007D2C8B">
        <w:rPr>
          <w:lang w:val="es-ES"/>
        </w:rPr>
        <w:t> </w:t>
      </w:r>
      <w:r w:rsidR="00131E67" w:rsidRPr="00803630">
        <w:rPr>
          <w:lang w:val="es-ES"/>
        </w:rPr>
        <w:t xml:space="preserve">16. </w:t>
      </w:r>
      <w:r>
        <w:rPr>
          <w:lang w:val="es-ES"/>
        </w:rPr>
        <w:t>En el marco de la CE</w:t>
      </w:r>
      <w:r w:rsidR="007D2C8B">
        <w:rPr>
          <w:lang w:val="es-ES"/>
        </w:rPr>
        <w:t> </w:t>
      </w:r>
      <w:r>
        <w:rPr>
          <w:lang w:val="es-ES"/>
        </w:rPr>
        <w:t>5 del UIT</w:t>
      </w:r>
      <w:r w:rsidR="00131E67" w:rsidRPr="00803630">
        <w:rPr>
          <w:lang w:val="es-ES"/>
        </w:rPr>
        <w:t xml:space="preserve">-T, </w:t>
      </w:r>
      <w:r>
        <w:rPr>
          <w:lang w:val="es-ES"/>
        </w:rPr>
        <w:t>interactuará con las siguientes Cuestiones</w:t>
      </w:r>
      <w:r w:rsidR="00131E67" w:rsidRPr="00803630">
        <w:rPr>
          <w:lang w:val="es-ES"/>
        </w:rPr>
        <w:t>:</w:t>
      </w:r>
      <w:r>
        <w:rPr>
          <w:lang w:val="es-ES"/>
        </w:rPr>
        <w:t xml:space="preserve"> C</w:t>
      </w:r>
      <w:r w:rsidR="00131E67" w:rsidRPr="00803630">
        <w:rPr>
          <w:lang w:val="es-ES"/>
        </w:rPr>
        <w:t xml:space="preserve">7/5, </w:t>
      </w:r>
      <w:r>
        <w:rPr>
          <w:lang w:val="es-ES"/>
        </w:rPr>
        <w:t>C</w:t>
      </w:r>
      <w:r w:rsidR="00131E67" w:rsidRPr="00803630">
        <w:rPr>
          <w:lang w:val="es-ES"/>
        </w:rPr>
        <w:t xml:space="preserve">13/5, </w:t>
      </w:r>
      <w:r>
        <w:rPr>
          <w:lang w:val="es-ES"/>
        </w:rPr>
        <w:t>C</w:t>
      </w:r>
      <w:r w:rsidR="00131E67" w:rsidRPr="00803630">
        <w:rPr>
          <w:lang w:val="es-ES"/>
        </w:rPr>
        <w:t xml:space="preserve">14/5, </w:t>
      </w:r>
      <w:r>
        <w:rPr>
          <w:lang w:val="es-ES"/>
        </w:rPr>
        <w:t>C</w:t>
      </w:r>
      <w:r w:rsidR="00131E67" w:rsidRPr="00803630">
        <w:rPr>
          <w:lang w:val="es-ES"/>
        </w:rPr>
        <w:t xml:space="preserve">15/5, </w:t>
      </w:r>
      <w:r>
        <w:rPr>
          <w:lang w:val="es-ES"/>
        </w:rPr>
        <w:t>C</w:t>
      </w:r>
      <w:r w:rsidR="00131E67" w:rsidRPr="00803630">
        <w:rPr>
          <w:lang w:val="es-ES"/>
        </w:rPr>
        <w:t xml:space="preserve">16/5, </w:t>
      </w:r>
      <w:r>
        <w:rPr>
          <w:lang w:val="es-ES"/>
        </w:rPr>
        <w:t>C</w:t>
      </w:r>
      <w:r w:rsidR="00131E67" w:rsidRPr="00803630">
        <w:rPr>
          <w:lang w:val="es-ES"/>
        </w:rPr>
        <w:t xml:space="preserve">17/5, </w:t>
      </w:r>
      <w:r>
        <w:rPr>
          <w:lang w:val="es-ES"/>
        </w:rPr>
        <w:t>C</w:t>
      </w:r>
      <w:r w:rsidR="00131E67" w:rsidRPr="00803630">
        <w:rPr>
          <w:lang w:val="es-ES"/>
        </w:rPr>
        <w:t xml:space="preserve">18/5, </w:t>
      </w:r>
      <w:r>
        <w:rPr>
          <w:lang w:val="es-ES"/>
        </w:rPr>
        <w:t>C</w:t>
      </w:r>
      <w:r w:rsidR="00131E67" w:rsidRPr="00803630">
        <w:rPr>
          <w:lang w:val="es-ES"/>
        </w:rPr>
        <w:t xml:space="preserve">19/5 </w:t>
      </w:r>
      <w:r>
        <w:rPr>
          <w:lang w:val="es-ES"/>
        </w:rPr>
        <w:t>mediante la celebración de reuniones simultáneas siempre que sea posible</w:t>
      </w:r>
      <w:r w:rsidR="00131E67" w:rsidRPr="00803630">
        <w:rPr>
          <w:lang w:val="es-ES"/>
        </w:rPr>
        <w:t xml:space="preserve">. </w:t>
      </w:r>
    </w:p>
    <w:p w:rsidR="00131E67" w:rsidRPr="00803630" w:rsidRDefault="00C75F9B" w:rsidP="00C75F9B">
      <w:pPr>
        <w:rPr>
          <w:lang w:val="es-ES"/>
        </w:rPr>
      </w:pPr>
      <w:r>
        <w:rPr>
          <w:lang w:val="es-ES"/>
        </w:rPr>
        <w:t xml:space="preserve">El </w:t>
      </w:r>
      <w:r w:rsidR="00131E67" w:rsidRPr="00803630">
        <w:rPr>
          <w:lang w:val="es-ES"/>
        </w:rPr>
        <w:t xml:space="preserve">FG-SSC </w:t>
      </w:r>
      <w:r>
        <w:rPr>
          <w:lang w:val="es-ES"/>
        </w:rPr>
        <w:t>colaborará con las entidades pertinentes</w:t>
      </w:r>
      <w:r w:rsidR="00131E67" w:rsidRPr="00803630">
        <w:rPr>
          <w:lang w:val="es-ES"/>
        </w:rPr>
        <w:t xml:space="preserve">, </w:t>
      </w:r>
      <w:r>
        <w:rPr>
          <w:lang w:val="es-ES"/>
        </w:rPr>
        <w:t>de conformidad con la Recomendación U</w:t>
      </w:r>
      <w:r w:rsidR="00131E67" w:rsidRPr="00803630">
        <w:rPr>
          <w:lang w:val="es-ES"/>
        </w:rPr>
        <w:t>IT-T A.7.</w:t>
      </w:r>
    </w:p>
    <w:p w:rsidR="00B90541" w:rsidRPr="00803630" w:rsidRDefault="00C75F9B" w:rsidP="00C75F9B">
      <w:pPr>
        <w:rPr>
          <w:lang w:val="es-ES"/>
        </w:rPr>
      </w:pPr>
      <w:r>
        <w:rPr>
          <w:lang w:val="es-ES"/>
        </w:rPr>
        <w:t>Estas entidades serán, entre otras, las siguientes</w:t>
      </w:r>
      <w:r w:rsidR="00131E67" w:rsidRPr="00803630">
        <w:rPr>
          <w:lang w:val="es-ES"/>
        </w:rPr>
        <w:t xml:space="preserve">: </w:t>
      </w:r>
      <w:r>
        <w:rPr>
          <w:lang w:val="es-ES"/>
        </w:rPr>
        <w:t>municipios</w:t>
      </w:r>
      <w:r w:rsidR="00131E67" w:rsidRPr="00803630">
        <w:rPr>
          <w:lang w:val="es-ES"/>
        </w:rPr>
        <w:t xml:space="preserve">, </w:t>
      </w:r>
      <w:r>
        <w:rPr>
          <w:lang w:val="es-ES"/>
        </w:rPr>
        <w:t>federaciones de municipios</w:t>
      </w:r>
      <w:r w:rsidR="00131E67" w:rsidRPr="00803630">
        <w:rPr>
          <w:lang w:val="es-ES"/>
        </w:rPr>
        <w:t xml:space="preserve">, </w:t>
      </w:r>
      <w:r>
        <w:rPr>
          <w:lang w:val="es-ES"/>
        </w:rPr>
        <w:t xml:space="preserve">organizaciones no gubernamentales </w:t>
      </w:r>
      <w:r w:rsidR="00131E67" w:rsidRPr="00803630">
        <w:rPr>
          <w:lang w:val="es-ES"/>
        </w:rPr>
        <w:t>(</w:t>
      </w:r>
      <w:r>
        <w:rPr>
          <w:lang w:val="es-ES"/>
        </w:rPr>
        <w:t>ONG</w:t>
      </w:r>
      <w:r w:rsidR="00131E67" w:rsidRPr="00803630">
        <w:rPr>
          <w:lang w:val="es-ES"/>
        </w:rPr>
        <w:t xml:space="preserve">), </w:t>
      </w:r>
      <w:r>
        <w:rPr>
          <w:lang w:val="es-ES"/>
        </w:rPr>
        <w:t>legisladores</w:t>
      </w:r>
      <w:r w:rsidR="00131E67" w:rsidRPr="00803630">
        <w:rPr>
          <w:lang w:val="es-ES"/>
        </w:rPr>
        <w:t xml:space="preserve">, </w:t>
      </w:r>
      <w:r>
        <w:rPr>
          <w:lang w:val="es-ES"/>
        </w:rPr>
        <w:t>organismos de normalización</w:t>
      </w:r>
      <w:r w:rsidR="00131E67" w:rsidRPr="00803630">
        <w:rPr>
          <w:lang w:val="es-ES"/>
        </w:rPr>
        <w:t xml:space="preserve">, </w:t>
      </w:r>
      <w:r>
        <w:rPr>
          <w:lang w:val="es-ES"/>
        </w:rPr>
        <w:t>foros y consorcios de la industria</w:t>
      </w:r>
      <w:r w:rsidR="00131E67" w:rsidRPr="00803630">
        <w:rPr>
          <w:lang w:val="es-ES"/>
        </w:rPr>
        <w:t xml:space="preserve">, </w:t>
      </w:r>
      <w:r>
        <w:rPr>
          <w:lang w:val="es-ES"/>
        </w:rPr>
        <w:t>empresas</w:t>
      </w:r>
      <w:r w:rsidR="00131E67" w:rsidRPr="00803630">
        <w:rPr>
          <w:lang w:val="es-ES"/>
        </w:rPr>
        <w:t xml:space="preserve">, </w:t>
      </w:r>
      <w:r>
        <w:rPr>
          <w:lang w:val="es-ES"/>
        </w:rPr>
        <w:t>instituciones académicas</w:t>
      </w:r>
      <w:r w:rsidR="00131E67" w:rsidRPr="00803630">
        <w:rPr>
          <w:lang w:val="es-ES"/>
        </w:rPr>
        <w:t xml:space="preserve">, </w:t>
      </w:r>
      <w:r>
        <w:rPr>
          <w:lang w:val="es-ES"/>
        </w:rPr>
        <w:t>institutos de investigación y otras organizaciones pertinentes</w:t>
      </w:r>
      <w:r w:rsidR="00131E67" w:rsidRPr="00803630">
        <w:rPr>
          <w:lang w:val="es-ES"/>
        </w:rPr>
        <w:t>.</w:t>
      </w:r>
    </w:p>
    <w:p w:rsidR="00B90541" w:rsidRPr="00803630" w:rsidRDefault="00B90541" w:rsidP="00D969D1">
      <w:pPr>
        <w:pStyle w:val="Heading1"/>
        <w:rPr>
          <w:lang w:val="es-ES"/>
        </w:rPr>
      </w:pPr>
      <w:r w:rsidRPr="00803630">
        <w:rPr>
          <w:lang w:val="es-ES"/>
        </w:rPr>
        <w:lastRenderedPageBreak/>
        <w:t>5</w:t>
      </w:r>
      <w:r w:rsidRPr="00803630">
        <w:rPr>
          <w:lang w:val="es-ES"/>
        </w:rPr>
        <w:tab/>
        <w:t>Tareas específicas y resultados</w:t>
      </w:r>
    </w:p>
    <w:p w:rsidR="005E6DFB" w:rsidRPr="00803630" w:rsidRDefault="005E6DFB" w:rsidP="00394F18">
      <w:pPr>
        <w:pStyle w:val="enumlev1"/>
        <w:rPr>
          <w:lang w:val="es-ES"/>
        </w:rPr>
      </w:pPr>
      <w:r w:rsidRPr="00803630">
        <w:rPr>
          <w:lang w:val="es-ES"/>
        </w:rPr>
        <w:t>•</w:t>
      </w:r>
      <w:r w:rsidRPr="00803630">
        <w:rPr>
          <w:lang w:val="es-ES"/>
        </w:rPr>
        <w:tab/>
      </w:r>
      <w:r w:rsidR="00394F18">
        <w:rPr>
          <w:lang w:val="es-ES"/>
        </w:rPr>
        <w:t>Recabar y documentar información sobre iniciativas en la comunidad mundial de ciudades sostenibles e inteligentes, en relación con las actividades actuales y las especificaciones técnicas</w:t>
      </w:r>
      <w:r w:rsidRPr="00803630">
        <w:rPr>
          <w:lang w:val="es-ES"/>
        </w:rPr>
        <w:t>.</w:t>
      </w:r>
    </w:p>
    <w:p w:rsidR="005E6DFB" w:rsidRPr="00803630" w:rsidRDefault="005E6DFB" w:rsidP="00394F18">
      <w:pPr>
        <w:pStyle w:val="enumlev1"/>
        <w:rPr>
          <w:lang w:val="es-ES"/>
        </w:rPr>
      </w:pPr>
      <w:r w:rsidRPr="00803630">
        <w:rPr>
          <w:lang w:val="es-ES"/>
        </w:rPr>
        <w:t>•</w:t>
      </w:r>
      <w:r w:rsidRPr="00803630">
        <w:rPr>
          <w:lang w:val="es-ES"/>
        </w:rPr>
        <w:tab/>
      </w:r>
      <w:r w:rsidR="00394F18">
        <w:rPr>
          <w:lang w:val="es-ES"/>
        </w:rPr>
        <w:t>Preparar un documento sobre el papel de las TIC en la sostenibilidad ambiental de las ciudades</w:t>
      </w:r>
      <w:r w:rsidRPr="00803630">
        <w:rPr>
          <w:lang w:val="es-ES"/>
        </w:rPr>
        <w:t xml:space="preserve">. </w:t>
      </w:r>
    </w:p>
    <w:p w:rsidR="005E6DFB" w:rsidRPr="00803630" w:rsidRDefault="005E6DFB" w:rsidP="00394F18">
      <w:pPr>
        <w:pStyle w:val="enumlev1"/>
        <w:rPr>
          <w:lang w:val="es-ES"/>
        </w:rPr>
      </w:pPr>
      <w:r w:rsidRPr="00803630">
        <w:rPr>
          <w:lang w:val="es-ES"/>
        </w:rPr>
        <w:t>•</w:t>
      </w:r>
      <w:r w:rsidRPr="00803630">
        <w:rPr>
          <w:lang w:val="es-ES"/>
        </w:rPr>
        <w:tab/>
      </w:r>
      <w:r w:rsidR="00394F18">
        <w:rPr>
          <w:lang w:val="es-ES"/>
        </w:rPr>
        <w:t>Determinar o definir la terminología y taxonomía para ciudades sostenibles e inteligentes</w:t>
      </w:r>
      <w:r w:rsidRPr="00803630">
        <w:rPr>
          <w:lang w:val="es-ES"/>
        </w:rPr>
        <w:t xml:space="preserve">. </w:t>
      </w:r>
    </w:p>
    <w:p w:rsidR="005E6DFB" w:rsidRPr="00803630" w:rsidRDefault="005E6DFB" w:rsidP="00D52111">
      <w:pPr>
        <w:pStyle w:val="enumlev1"/>
        <w:rPr>
          <w:lang w:val="es-ES"/>
        </w:rPr>
      </w:pPr>
      <w:r w:rsidRPr="00803630">
        <w:rPr>
          <w:lang w:val="es-ES"/>
        </w:rPr>
        <w:t>•</w:t>
      </w:r>
      <w:r w:rsidRPr="00803630">
        <w:rPr>
          <w:lang w:val="es-ES"/>
        </w:rPr>
        <w:tab/>
      </w:r>
      <w:r w:rsidR="00394F18">
        <w:rPr>
          <w:lang w:val="es-ES"/>
        </w:rPr>
        <w:t xml:space="preserve">Crear un </w:t>
      </w:r>
      <w:r w:rsidR="00124A4A">
        <w:rPr>
          <w:lang w:val="es-ES"/>
        </w:rPr>
        <w:t xml:space="preserve">documento donde se recojan todos los actores </w:t>
      </w:r>
      <w:r w:rsidR="00D52111">
        <w:rPr>
          <w:lang w:val="es-ES"/>
        </w:rPr>
        <w:t>interesados en el campo de las TIC y las ciudades sostenibles e inteligentes</w:t>
      </w:r>
      <w:r w:rsidRPr="00803630">
        <w:rPr>
          <w:lang w:val="es-ES"/>
        </w:rPr>
        <w:t>.</w:t>
      </w:r>
    </w:p>
    <w:p w:rsidR="005E6DFB" w:rsidRPr="00803630" w:rsidRDefault="005E6DFB" w:rsidP="00D52111">
      <w:pPr>
        <w:pStyle w:val="enumlev1"/>
        <w:rPr>
          <w:lang w:val="es-ES"/>
        </w:rPr>
      </w:pPr>
      <w:r w:rsidRPr="00803630">
        <w:rPr>
          <w:lang w:val="es-ES"/>
        </w:rPr>
        <w:t>•</w:t>
      </w:r>
      <w:r w:rsidRPr="00803630">
        <w:rPr>
          <w:lang w:val="es-ES"/>
        </w:rPr>
        <w:tab/>
      </w:r>
      <w:r w:rsidR="00D52111">
        <w:rPr>
          <w:lang w:val="es-ES"/>
        </w:rPr>
        <w:t xml:space="preserve">Preparar un documento sobre los </w:t>
      </w:r>
      <w:r w:rsidRPr="00803630">
        <w:rPr>
          <w:lang w:val="es-ES"/>
        </w:rPr>
        <w:t xml:space="preserve">KPI </w:t>
      </w:r>
      <w:r w:rsidR="00D52111">
        <w:rPr>
          <w:lang w:val="es-ES"/>
        </w:rPr>
        <w:t>para evaluar la incidencia de los proyectos de T</w:t>
      </w:r>
      <w:r w:rsidRPr="00803630">
        <w:rPr>
          <w:lang w:val="es-ES"/>
        </w:rPr>
        <w:t xml:space="preserve">IC </w:t>
      </w:r>
      <w:r w:rsidR="00D52111">
        <w:rPr>
          <w:lang w:val="es-ES"/>
        </w:rPr>
        <w:t>en las ciudades</w:t>
      </w:r>
      <w:r w:rsidRPr="00803630">
        <w:rPr>
          <w:lang w:val="es-ES"/>
        </w:rPr>
        <w:t>.</w:t>
      </w:r>
    </w:p>
    <w:p w:rsidR="005E6DFB" w:rsidRPr="00803630" w:rsidRDefault="005E6DFB" w:rsidP="00D52111">
      <w:pPr>
        <w:pStyle w:val="enumlev1"/>
        <w:rPr>
          <w:lang w:val="es-ES"/>
        </w:rPr>
      </w:pPr>
      <w:r w:rsidRPr="00803630">
        <w:rPr>
          <w:lang w:val="es-ES"/>
        </w:rPr>
        <w:t>•</w:t>
      </w:r>
      <w:r w:rsidRPr="00803630">
        <w:rPr>
          <w:lang w:val="es-ES"/>
        </w:rPr>
        <w:tab/>
      </w:r>
      <w:r w:rsidR="00D52111">
        <w:rPr>
          <w:lang w:val="es-ES"/>
        </w:rPr>
        <w:t>Elaborar un análisis de los posibles obstáculos a la aplicación de las TIC a las ciudades sostenibles e inteligentes</w:t>
      </w:r>
      <w:r w:rsidRPr="00803630">
        <w:rPr>
          <w:lang w:val="es-ES"/>
        </w:rPr>
        <w:t>.</w:t>
      </w:r>
    </w:p>
    <w:p w:rsidR="00EB70E0" w:rsidRPr="00803630" w:rsidRDefault="005E6DFB" w:rsidP="00D52111">
      <w:pPr>
        <w:pStyle w:val="enumlev1"/>
        <w:rPr>
          <w:lang w:val="es-ES"/>
        </w:rPr>
      </w:pPr>
      <w:r w:rsidRPr="00803630">
        <w:rPr>
          <w:lang w:val="es-ES"/>
        </w:rPr>
        <w:t>•</w:t>
      </w:r>
      <w:r w:rsidR="00EB70E0" w:rsidRPr="00803630">
        <w:rPr>
          <w:lang w:val="es-ES"/>
        </w:rPr>
        <w:tab/>
        <w:t xml:space="preserve">Redactar informes técnicos que describan y aborden </w:t>
      </w:r>
      <w:r w:rsidR="00D52111">
        <w:rPr>
          <w:lang w:val="es-ES"/>
        </w:rPr>
        <w:t>las lagunas</w:t>
      </w:r>
      <w:r w:rsidR="00EB70E0" w:rsidRPr="00803630">
        <w:rPr>
          <w:lang w:val="es-ES"/>
        </w:rPr>
        <w:t xml:space="preserve"> e identifiquen los futuros trabajos de normalización que debe emprender el UIT-T en el ca</w:t>
      </w:r>
      <w:r w:rsidR="00C60345" w:rsidRPr="00803630">
        <w:rPr>
          <w:lang w:val="es-ES"/>
        </w:rPr>
        <w:t xml:space="preserve">mpo de </w:t>
      </w:r>
      <w:r w:rsidR="00D52111">
        <w:rPr>
          <w:lang w:val="es-ES"/>
        </w:rPr>
        <w:t>las ciudades sostenibles e inteligentes</w:t>
      </w:r>
      <w:r w:rsidR="00C60345" w:rsidRPr="00803630">
        <w:rPr>
          <w:lang w:val="es-ES"/>
        </w:rPr>
        <w:t>.</w:t>
      </w:r>
    </w:p>
    <w:p w:rsidR="00EB70E0" w:rsidRPr="00803630" w:rsidRDefault="005E6DFB" w:rsidP="00D52111">
      <w:pPr>
        <w:pStyle w:val="enumlev1"/>
        <w:rPr>
          <w:lang w:val="es-ES"/>
        </w:rPr>
      </w:pPr>
      <w:r w:rsidRPr="00803630">
        <w:rPr>
          <w:lang w:val="es-ES"/>
        </w:rPr>
        <w:t>•</w:t>
      </w:r>
      <w:r w:rsidR="00EB70E0" w:rsidRPr="00803630">
        <w:rPr>
          <w:lang w:val="es-ES"/>
        </w:rPr>
        <w:tab/>
      </w:r>
      <w:r w:rsidR="00D52111">
        <w:rPr>
          <w:lang w:val="es-ES"/>
        </w:rPr>
        <w:t xml:space="preserve">Remitir </w:t>
      </w:r>
      <w:r w:rsidR="00EB70E0" w:rsidRPr="00803630">
        <w:rPr>
          <w:lang w:val="es-ES"/>
        </w:rPr>
        <w:t>los resultados finales a la Comisión de Estudio tutora y a otras Comisiones de Estu</w:t>
      </w:r>
      <w:r w:rsidR="00C60345" w:rsidRPr="00803630">
        <w:rPr>
          <w:lang w:val="es-ES"/>
        </w:rPr>
        <w:t>dio interesadas, según el caso.</w:t>
      </w:r>
    </w:p>
    <w:p w:rsidR="00B90541" w:rsidRPr="00803630" w:rsidRDefault="00B54669" w:rsidP="00D969D1">
      <w:pPr>
        <w:pStyle w:val="Heading1"/>
        <w:rPr>
          <w:lang w:val="es-ES"/>
        </w:rPr>
      </w:pPr>
      <w:r w:rsidRPr="00803630">
        <w:rPr>
          <w:lang w:val="es-ES"/>
        </w:rPr>
        <w:t>6</w:t>
      </w:r>
      <w:r w:rsidRPr="00803630">
        <w:rPr>
          <w:lang w:val="es-ES"/>
        </w:rPr>
        <w:tab/>
        <w:t>Gru</w:t>
      </w:r>
      <w:r w:rsidR="00B90541" w:rsidRPr="00803630">
        <w:rPr>
          <w:lang w:val="es-ES"/>
        </w:rPr>
        <w:t xml:space="preserve">po tutor </w:t>
      </w:r>
    </w:p>
    <w:p w:rsidR="00B90541" w:rsidRPr="00803630" w:rsidRDefault="00B90541" w:rsidP="00D969D1">
      <w:pPr>
        <w:rPr>
          <w:lang w:val="es-ES"/>
        </w:rPr>
      </w:pPr>
      <w:r w:rsidRPr="00803630">
        <w:rPr>
          <w:lang w:val="es-ES"/>
        </w:rPr>
        <w:t xml:space="preserve">El grupo </w:t>
      </w:r>
      <w:r w:rsidR="00B54669" w:rsidRPr="00803630">
        <w:rPr>
          <w:lang w:val="es-ES"/>
        </w:rPr>
        <w:t xml:space="preserve">tutor </w:t>
      </w:r>
      <w:r w:rsidRPr="00803630">
        <w:rPr>
          <w:lang w:val="es-ES"/>
        </w:rPr>
        <w:t xml:space="preserve">es la Comisión de Estudio </w:t>
      </w:r>
      <w:r w:rsidR="005E6DFB" w:rsidRPr="00803630">
        <w:rPr>
          <w:lang w:val="es-ES"/>
        </w:rPr>
        <w:t>5</w:t>
      </w:r>
      <w:r w:rsidRPr="00803630">
        <w:rPr>
          <w:lang w:val="es-ES"/>
        </w:rPr>
        <w:t xml:space="preserve"> del UIT-T</w:t>
      </w:r>
      <w:r w:rsidR="00B54669" w:rsidRPr="00803630">
        <w:rPr>
          <w:lang w:val="es-ES"/>
        </w:rPr>
        <w:t>.</w:t>
      </w:r>
    </w:p>
    <w:p w:rsidR="00B90541" w:rsidRPr="00803630" w:rsidRDefault="00B90541" w:rsidP="00D969D1">
      <w:pPr>
        <w:pStyle w:val="Heading1"/>
        <w:rPr>
          <w:lang w:val="es-ES"/>
        </w:rPr>
      </w:pPr>
      <w:r w:rsidRPr="00803630">
        <w:rPr>
          <w:lang w:val="es-ES"/>
        </w:rPr>
        <w:t>7</w:t>
      </w:r>
      <w:r w:rsidRPr="00803630">
        <w:rPr>
          <w:lang w:val="es-ES"/>
        </w:rPr>
        <w:tab/>
        <w:t>Dirección</w:t>
      </w:r>
    </w:p>
    <w:p w:rsidR="00B90541" w:rsidRPr="00803630" w:rsidRDefault="00B90541" w:rsidP="00D969D1">
      <w:pPr>
        <w:rPr>
          <w:lang w:val="es-ES"/>
        </w:rPr>
      </w:pPr>
      <w:r w:rsidRPr="00803630">
        <w:rPr>
          <w:lang w:val="es-ES"/>
        </w:rPr>
        <w:t xml:space="preserve">Véase </w:t>
      </w:r>
      <w:r w:rsidR="0039201E" w:rsidRPr="00803630">
        <w:rPr>
          <w:lang w:val="es-ES"/>
        </w:rPr>
        <w:t>la</w:t>
      </w:r>
      <w:r w:rsidRPr="00803630">
        <w:rPr>
          <w:lang w:val="es-ES"/>
        </w:rPr>
        <w:t xml:space="preserve"> </w:t>
      </w:r>
      <w:r w:rsidR="0039201E" w:rsidRPr="00803630">
        <w:rPr>
          <w:lang w:val="es-ES"/>
        </w:rPr>
        <w:t xml:space="preserve">cláusula </w:t>
      </w:r>
      <w:r w:rsidRPr="00803630">
        <w:rPr>
          <w:lang w:val="es-ES"/>
        </w:rPr>
        <w:t>2.3 de la Recomendación UIT-T A.7</w:t>
      </w:r>
      <w:r w:rsidR="00B54669" w:rsidRPr="00803630">
        <w:rPr>
          <w:lang w:val="es-ES"/>
        </w:rPr>
        <w:t>.</w:t>
      </w:r>
    </w:p>
    <w:p w:rsidR="00EB70E0" w:rsidRPr="00803630" w:rsidRDefault="006400E5" w:rsidP="00E279D6">
      <w:pPr>
        <w:rPr>
          <w:lang w:val="es-ES"/>
        </w:rPr>
      </w:pPr>
      <w:r>
        <w:rPr>
          <w:lang w:val="es-ES"/>
        </w:rPr>
        <w:t>President</w:t>
      </w:r>
      <w:r w:rsidR="00E279D6">
        <w:rPr>
          <w:lang w:val="es-ES"/>
        </w:rPr>
        <w:t>a</w:t>
      </w:r>
      <w:r w:rsidR="00EB70E0" w:rsidRPr="00803630">
        <w:rPr>
          <w:lang w:val="es-ES"/>
        </w:rPr>
        <w:t xml:space="preserve">: Silvia </w:t>
      </w:r>
      <w:r w:rsidR="005807B0" w:rsidRPr="00803630">
        <w:rPr>
          <w:lang w:val="es-ES"/>
        </w:rPr>
        <w:t>Guzmán</w:t>
      </w:r>
      <w:r w:rsidR="00EB70E0" w:rsidRPr="00803630">
        <w:rPr>
          <w:lang w:val="es-ES"/>
        </w:rPr>
        <w:t xml:space="preserve">, Telefónica, </w:t>
      </w:r>
      <w:r>
        <w:rPr>
          <w:lang w:val="es-ES"/>
        </w:rPr>
        <w:t>España</w:t>
      </w:r>
    </w:p>
    <w:p w:rsidR="00EB70E0" w:rsidRPr="00803630" w:rsidRDefault="00EB70E0" w:rsidP="006400E5">
      <w:pPr>
        <w:rPr>
          <w:lang w:val="es-ES"/>
        </w:rPr>
      </w:pPr>
      <w:r w:rsidRPr="00803630">
        <w:rPr>
          <w:lang w:val="es-ES"/>
        </w:rPr>
        <w:t>Vice</w:t>
      </w:r>
      <w:r w:rsidR="006400E5">
        <w:rPr>
          <w:lang w:val="es-ES"/>
        </w:rPr>
        <w:t>presidente</w:t>
      </w:r>
      <w:r w:rsidRPr="00803630">
        <w:rPr>
          <w:lang w:val="es-ES"/>
        </w:rPr>
        <w:t xml:space="preserve">: Flavio </w:t>
      </w:r>
      <w:proofErr w:type="spellStart"/>
      <w:r w:rsidRPr="00803630">
        <w:rPr>
          <w:lang w:val="es-ES"/>
        </w:rPr>
        <w:t>C</w:t>
      </w:r>
      <w:r w:rsidR="006400E5">
        <w:rPr>
          <w:lang w:val="es-ES"/>
        </w:rPr>
        <w:t>ucchietti</w:t>
      </w:r>
      <w:proofErr w:type="spellEnd"/>
      <w:r w:rsidR="006400E5">
        <w:rPr>
          <w:lang w:val="es-ES"/>
        </w:rPr>
        <w:t>, Telecom Italia, Italia</w:t>
      </w:r>
      <w:r w:rsidRPr="00803630">
        <w:rPr>
          <w:lang w:val="es-ES"/>
        </w:rPr>
        <w:t xml:space="preserve"> </w:t>
      </w:r>
    </w:p>
    <w:p w:rsidR="00EB70E0" w:rsidRPr="00803630" w:rsidRDefault="006400E5" w:rsidP="00D969D1">
      <w:pPr>
        <w:rPr>
          <w:lang w:val="es-ES"/>
        </w:rPr>
      </w:pPr>
      <w:r w:rsidRPr="00803630">
        <w:rPr>
          <w:lang w:val="es-ES"/>
        </w:rPr>
        <w:t>Vice</w:t>
      </w:r>
      <w:r>
        <w:rPr>
          <w:lang w:val="es-ES"/>
        </w:rPr>
        <w:t>presidente</w:t>
      </w:r>
      <w:r w:rsidR="00EB70E0" w:rsidRPr="00803630">
        <w:rPr>
          <w:lang w:val="es-ES"/>
        </w:rPr>
        <w:t xml:space="preserve">: Pablo Bilbao, Federación Argentina de Municipios, Argentina </w:t>
      </w:r>
    </w:p>
    <w:p w:rsidR="00EB70E0" w:rsidRPr="00803630" w:rsidRDefault="006400E5" w:rsidP="006400E5">
      <w:pPr>
        <w:rPr>
          <w:lang w:val="es-ES"/>
        </w:rPr>
      </w:pPr>
      <w:r w:rsidRPr="00803630">
        <w:rPr>
          <w:lang w:val="es-ES"/>
        </w:rPr>
        <w:t>Vice</w:t>
      </w:r>
      <w:r>
        <w:rPr>
          <w:lang w:val="es-ES"/>
        </w:rPr>
        <w:t>presidente</w:t>
      </w:r>
      <w:r w:rsidR="00EB70E0" w:rsidRPr="00803630">
        <w:rPr>
          <w:lang w:val="es-ES"/>
        </w:rPr>
        <w:t xml:space="preserve">: Franz Zichy, </w:t>
      </w:r>
      <w:r>
        <w:rPr>
          <w:lang w:val="es-ES"/>
        </w:rPr>
        <w:t>Estados Unidos</w:t>
      </w:r>
      <w:r w:rsidR="00EB70E0" w:rsidRPr="00803630">
        <w:rPr>
          <w:lang w:val="es-ES"/>
        </w:rPr>
        <w:t xml:space="preserve"> </w:t>
      </w:r>
    </w:p>
    <w:p w:rsidR="00EB70E0" w:rsidRPr="00803630" w:rsidRDefault="006400E5" w:rsidP="00D969D1">
      <w:pPr>
        <w:rPr>
          <w:lang w:val="es-ES"/>
        </w:rPr>
      </w:pPr>
      <w:r w:rsidRPr="00803630">
        <w:rPr>
          <w:lang w:val="es-ES"/>
        </w:rPr>
        <w:t>Vice</w:t>
      </w:r>
      <w:r>
        <w:rPr>
          <w:lang w:val="es-ES"/>
        </w:rPr>
        <w:t>presidente</w:t>
      </w:r>
      <w:r w:rsidR="00EB70E0" w:rsidRPr="00803630">
        <w:rPr>
          <w:lang w:val="es-ES"/>
        </w:rPr>
        <w:t xml:space="preserve">: </w:t>
      </w:r>
      <w:proofErr w:type="spellStart"/>
      <w:r w:rsidR="00EB70E0" w:rsidRPr="00803630">
        <w:rPr>
          <w:lang w:val="es-ES"/>
        </w:rPr>
        <w:t>Nasser</w:t>
      </w:r>
      <w:proofErr w:type="spellEnd"/>
      <w:r w:rsidR="00EB70E0" w:rsidRPr="00803630">
        <w:rPr>
          <w:lang w:val="es-ES"/>
        </w:rPr>
        <w:t xml:space="preserve"> </w:t>
      </w:r>
      <w:proofErr w:type="spellStart"/>
      <w:r w:rsidR="00EB70E0" w:rsidRPr="00803630">
        <w:rPr>
          <w:lang w:val="es-ES"/>
        </w:rPr>
        <w:t>Saleh</w:t>
      </w:r>
      <w:proofErr w:type="spellEnd"/>
      <w:r w:rsidR="00EB70E0" w:rsidRPr="00803630">
        <w:rPr>
          <w:lang w:val="es-ES"/>
        </w:rPr>
        <w:t xml:space="preserve"> Al </w:t>
      </w:r>
      <w:proofErr w:type="spellStart"/>
      <w:r w:rsidR="00EB70E0" w:rsidRPr="00803630">
        <w:rPr>
          <w:lang w:val="es-ES"/>
        </w:rPr>
        <w:t>Marzouqi</w:t>
      </w:r>
      <w:proofErr w:type="spellEnd"/>
      <w:r w:rsidR="00EB70E0" w:rsidRPr="00803630">
        <w:rPr>
          <w:lang w:val="es-ES"/>
        </w:rPr>
        <w:t xml:space="preserve">, UAE </w:t>
      </w:r>
    </w:p>
    <w:p w:rsidR="00EB70E0" w:rsidRPr="004E2AF7" w:rsidRDefault="006400E5" w:rsidP="00D969D1">
      <w:pPr>
        <w:rPr>
          <w:lang w:val="en-US"/>
        </w:rPr>
      </w:pPr>
      <w:proofErr w:type="spellStart"/>
      <w:r w:rsidRPr="004E2AF7">
        <w:rPr>
          <w:lang w:val="en-US"/>
        </w:rPr>
        <w:t>Vicepresidente</w:t>
      </w:r>
      <w:proofErr w:type="spellEnd"/>
      <w:r w:rsidR="00EB70E0" w:rsidRPr="004E2AF7">
        <w:rPr>
          <w:lang w:val="en-US"/>
        </w:rPr>
        <w:t xml:space="preserve">: </w:t>
      </w:r>
      <w:proofErr w:type="spellStart"/>
      <w:r w:rsidR="00EB70E0" w:rsidRPr="004E2AF7">
        <w:rPr>
          <w:lang w:val="en-US"/>
        </w:rPr>
        <w:t>Ziqin</w:t>
      </w:r>
      <w:proofErr w:type="spellEnd"/>
      <w:r w:rsidR="00EB70E0" w:rsidRPr="004E2AF7">
        <w:rPr>
          <w:lang w:val="en-US"/>
        </w:rPr>
        <w:t xml:space="preserve"> Sang, </w:t>
      </w:r>
      <w:proofErr w:type="spellStart"/>
      <w:r w:rsidR="00EB70E0" w:rsidRPr="004E2AF7">
        <w:rPr>
          <w:lang w:val="en-US"/>
        </w:rPr>
        <w:t>Fiberhome</w:t>
      </w:r>
      <w:proofErr w:type="spellEnd"/>
      <w:r w:rsidR="00EB70E0" w:rsidRPr="004E2AF7">
        <w:rPr>
          <w:lang w:val="en-US"/>
        </w:rPr>
        <w:t xml:space="preserve"> Technologies Group, China</w:t>
      </w:r>
    </w:p>
    <w:p w:rsidR="00EB70E0" w:rsidRPr="00803630" w:rsidRDefault="006400E5" w:rsidP="006400E5">
      <w:pPr>
        <w:rPr>
          <w:lang w:val="es-ES"/>
        </w:rPr>
      </w:pPr>
      <w:r w:rsidRPr="00803630">
        <w:rPr>
          <w:lang w:val="es-ES"/>
        </w:rPr>
        <w:t>Vice</w:t>
      </w:r>
      <w:r>
        <w:rPr>
          <w:lang w:val="es-ES"/>
        </w:rPr>
        <w:t>presidente</w:t>
      </w:r>
      <w:r w:rsidR="00EB70E0" w:rsidRPr="00803630">
        <w:rPr>
          <w:lang w:val="es-ES"/>
        </w:rPr>
        <w:t xml:space="preserve">: </w:t>
      </w:r>
      <w:proofErr w:type="spellStart"/>
      <w:r w:rsidR="00EB70E0" w:rsidRPr="00803630">
        <w:rPr>
          <w:lang w:val="es-ES"/>
        </w:rPr>
        <w:t>Sekhar</w:t>
      </w:r>
      <w:proofErr w:type="spellEnd"/>
      <w:r w:rsidR="00EB70E0" w:rsidRPr="00803630">
        <w:rPr>
          <w:lang w:val="es-ES"/>
        </w:rPr>
        <w:t xml:space="preserve"> </w:t>
      </w:r>
      <w:proofErr w:type="spellStart"/>
      <w:r w:rsidR="00EB70E0" w:rsidRPr="00803630">
        <w:rPr>
          <w:lang w:val="es-ES"/>
        </w:rPr>
        <w:t>Kondepudi</w:t>
      </w:r>
      <w:proofErr w:type="spellEnd"/>
      <w:r w:rsidR="00EB70E0" w:rsidRPr="00803630">
        <w:rPr>
          <w:lang w:val="es-ES"/>
        </w:rPr>
        <w:t xml:space="preserve">, </w:t>
      </w:r>
      <w:r>
        <w:rPr>
          <w:lang w:val="es-ES"/>
        </w:rPr>
        <w:t xml:space="preserve">Universidad </w:t>
      </w:r>
      <w:r w:rsidR="00EB70E0" w:rsidRPr="00803630">
        <w:rPr>
          <w:lang w:val="es-ES"/>
        </w:rPr>
        <w:t>Na</w:t>
      </w:r>
      <w:r>
        <w:rPr>
          <w:lang w:val="es-ES"/>
        </w:rPr>
        <w:t>c</w:t>
      </w:r>
      <w:r w:rsidR="00EB70E0" w:rsidRPr="00803630">
        <w:rPr>
          <w:lang w:val="es-ES"/>
        </w:rPr>
        <w:t>ional Universi</w:t>
      </w:r>
      <w:r>
        <w:rPr>
          <w:lang w:val="es-ES"/>
        </w:rPr>
        <w:t>dad</w:t>
      </w:r>
      <w:r w:rsidR="00EB70E0" w:rsidRPr="00803630">
        <w:rPr>
          <w:lang w:val="es-ES"/>
        </w:rPr>
        <w:t xml:space="preserve"> </w:t>
      </w:r>
      <w:r>
        <w:rPr>
          <w:lang w:val="es-ES"/>
        </w:rPr>
        <w:t>de</w:t>
      </w:r>
      <w:r w:rsidR="00EB70E0" w:rsidRPr="00803630">
        <w:rPr>
          <w:lang w:val="es-ES"/>
        </w:rPr>
        <w:t xml:space="preserve"> Singap</w:t>
      </w:r>
      <w:r>
        <w:rPr>
          <w:lang w:val="es-ES"/>
        </w:rPr>
        <w:t>u</w:t>
      </w:r>
      <w:r w:rsidR="00EB70E0" w:rsidRPr="00803630">
        <w:rPr>
          <w:lang w:val="es-ES"/>
        </w:rPr>
        <w:t>r, Singap</w:t>
      </w:r>
      <w:r>
        <w:rPr>
          <w:lang w:val="es-ES"/>
        </w:rPr>
        <w:t>u</w:t>
      </w:r>
      <w:r w:rsidR="00EB70E0" w:rsidRPr="00803630">
        <w:rPr>
          <w:lang w:val="es-ES"/>
        </w:rPr>
        <w:t>r</w:t>
      </w:r>
    </w:p>
    <w:p w:rsidR="00B90541" w:rsidRPr="00803630" w:rsidRDefault="00B90541" w:rsidP="00D969D1">
      <w:pPr>
        <w:pStyle w:val="Heading1"/>
        <w:rPr>
          <w:lang w:val="es-ES"/>
        </w:rPr>
      </w:pPr>
      <w:r w:rsidRPr="00803630">
        <w:rPr>
          <w:lang w:val="es-ES"/>
        </w:rPr>
        <w:t>8</w:t>
      </w:r>
      <w:r w:rsidRPr="00803630">
        <w:rPr>
          <w:lang w:val="es-ES"/>
        </w:rPr>
        <w:tab/>
        <w:t>Participación</w:t>
      </w:r>
    </w:p>
    <w:p w:rsidR="00B90541" w:rsidRPr="00803630" w:rsidRDefault="00B90541" w:rsidP="00D969D1">
      <w:pPr>
        <w:rPr>
          <w:lang w:val="es-ES"/>
        </w:rPr>
      </w:pPr>
      <w:r w:rsidRPr="00803630">
        <w:rPr>
          <w:lang w:val="es-ES"/>
        </w:rPr>
        <w:t xml:space="preserve">Véase </w:t>
      </w:r>
      <w:r w:rsidR="0039201E" w:rsidRPr="00803630">
        <w:rPr>
          <w:lang w:val="es-ES"/>
        </w:rPr>
        <w:t xml:space="preserve">la cláusula </w:t>
      </w:r>
      <w:r w:rsidRPr="00803630">
        <w:rPr>
          <w:lang w:val="es-ES"/>
        </w:rPr>
        <w:t>3 de la Recomendación UIT-T A.7. Se mantendrá a efectos de referencia una lista de participantes que se comunicar</w:t>
      </w:r>
      <w:r w:rsidR="0000516D" w:rsidRPr="00803630">
        <w:rPr>
          <w:lang w:val="es-ES"/>
        </w:rPr>
        <w:t>á</w:t>
      </w:r>
      <w:r w:rsidRPr="00803630">
        <w:rPr>
          <w:lang w:val="es-ES"/>
        </w:rPr>
        <w:t xml:space="preserve"> al grupo tutor.</w:t>
      </w:r>
    </w:p>
    <w:p w:rsidR="00EB70E0" w:rsidRPr="00803630" w:rsidRDefault="00CC3768" w:rsidP="00CC3768">
      <w:pPr>
        <w:rPr>
          <w:lang w:val="es-ES"/>
        </w:rPr>
      </w:pPr>
      <w:r>
        <w:rPr>
          <w:lang w:val="es-ES"/>
        </w:rPr>
        <w:t>Es</w:t>
      </w:r>
      <w:r w:rsidR="00EB70E0" w:rsidRPr="00803630">
        <w:rPr>
          <w:lang w:val="es-ES"/>
        </w:rPr>
        <w:t xml:space="preserve"> important</w:t>
      </w:r>
      <w:r>
        <w:rPr>
          <w:lang w:val="es-ES"/>
        </w:rPr>
        <w:t>e mencionar que la participación en este Grupo Temático se ha de basar en las contribuciones y la participación activa</w:t>
      </w:r>
      <w:r w:rsidR="00EB70E0" w:rsidRPr="00803630">
        <w:rPr>
          <w:lang w:val="es-ES"/>
        </w:rPr>
        <w:t>.</w:t>
      </w:r>
    </w:p>
    <w:p w:rsidR="00B90541" w:rsidRPr="00803630" w:rsidRDefault="00B90541" w:rsidP="00D969D1">
      <w:pPr>
        <w:pStyle w:val="Heading1"/>
        <w:rPr>
          <w:lang w:val="es-ES"/>
        </w:rPr>
      </w:pPr>
      <w:r w:rsidRPr="00803630">
        <w:rPr>
          <w:lang w:val="es-ES"/>
        </w:rPr>
        <w:t>9</w:t>
      </w:r>
      <w:r w:rsidRPr="00803630">
        <w:rPr>
          <w:lang w:val="es-ES"/>
        </w:rPr>
        <w:tab/>
        <w:t>Apoyo administrativo</w:t>
      </w:r>
    </w:p>
    <w:p w:rsidR="00B90541" w:rsidRPr="00803630" w:rsidRDefault="00B90541" w:rsidP="00D969D1">
      <w:pPr>
        <w:rPr>
          <w:lang w:val="es-ES"/>
        </w:rPr>
      </w:pPr>
      <w:r w:rsidRPr="00803630">
        <w:rPr>
          <w:lang w:val="es-ES"/>
        </w:rPr>
        <w:t xml:space="preserve">Véase </w:t>
      </w:r>
      <w:r w:rsidR="0039201E" w:rsidRPr="00803630">
        <w:rPr>
          <w:lang w:val="es-ES"/>
        </w:rPr>
        <w:t xml:space="preserve">la cláusula </w:t>
      </w:r>
      <w:r w:rsidRPr="00803630">
        <w:rPr>
          <w:lang w:val="es-ES"/>
        </w:rPr>
        <w:t xml:space="preserve">5 de la </w:t>
      </w:r>
      <w:r w:rsidR="00D8476B" w:rsidRPr="00803630">
        <w:rPr>
          <w:lang w:val="es-ES"/>
        </w:rPr>
        <w:t xml:space="preserve">Recomendación </w:t>
      </w:r>
      <w:r w:rsidRPr="00803630">
        <w:rPr>
          <w:lang w:val="es-ES"/>
        </w:rPr>
        <w:t>UIT-T A.7</w:t>
      </w:r>
      <w:r w:rsidR="0000516D" w:rsidRPr="00803630">
        <w:rPr>
          <w:lang w:val="es-ES"/>
        </w:rPr>
        <w:t>.</w:t>
      </w:r>
    </w:p>
    <w:p w:rsidR="00B90541" w:rsidRPr="00803630" w:rsidRDefault="00B90541" w:rsidP="00D969D1">
      <w:pPr>
        <w:pStyle w:val="Heading1"/>
        <w:rPr>
          <w:lang w:val="es-ES"/>
        </w:rPr>
      </w:pPr>
      <w:r w:rsidRPr="00803630">
        <w:rPr>
          <w:lang w:val="es-ES"/>
        </w:rPr>
        <w:lastRenderedPageBreak/>
        <w:t>10</w:t>
      </w:r>
      <w:r w:rsidRPr="00803630">
        <w:rPr>
          <w:lang w:val="es-ES"/>
        </w:rPr>
        <w:tab/>
        <w:t>Financiación general</w:t>
      </w:r>
    </w:p>
    <w:p w:rsidR="00B90541" w:rsidRPr="00803630" w:rsidRDefault="00B90541" w:rsidP="00D969D1">
      <w:pPr>
        <w:rPr>
          <w:lang w:val="es-ES"/>
        </w:rPr>
      </w:pPr>
      <w:r w:rsidRPr="00803630">
        <w:rPr>
          <w:lang w:val="es-ES"/>
        </w:rPr>
        <w:t>V</w:t>
      </w:r>
      <w:r w:rsidR="0039201E" w:rsidRPr="00803630">
        <w:rPr>
          <w:lang w:val="es-ES"/>
        </w:rPr>
        <w:t>éanse la</w:t>
      </w:r>
      <w:r w:rsidRPr="00803630">
        <w:rPr>
          <w:lang w:val="es-ES"/>
        </w:rPr>
        <w:t xml:space="preserve">s </w:t>
      </w:r>
      <w:r w:rsidR="0039201E" w:rsidRPr="00803630">
        <w:rPr>
          <w:lang w:val="es-ES"/>
        </w:rPr>
        <w:t xml:space="preserve">cláusulas </w:t>
      </w:r>
      <w:r w:rsidRPr="00803630">
        <w:rPr>
          <w:lang w:val="es-ES"/>
        </w:rPr>
        <w:t>4 y 10.2 de la Recomendación UIT-T A.7</w:t>
      </w:r>
      <w:r w:rsidR="0000516D" w:rsidRPr="00803630">
        <w:rPr>
          <w:lang w:val="es-ES"/>
        </w:rPr>
        <w:t>.</w:t>
      </w:r>
    </w:p>
    <w:p w:rsidR="00B90541" w:rsidRPr="00803630" w:rsidRDefault="00B90541" w:rsidP="00D969D1">
      <w:pPr>
        <w:pStyle w:val="Heading1"/>
        <w:rPr>
          <w:lang w:val="es-ES"/>
        </w:rPr>
      </w:pPr>
      <w:r w:rsidRPr="00803630">
        <w:rPr>
          <w:lang w:val="es-ES"/>
        </w:rPr>
        <w:t>11</w:t>
      </w:r>
      <w:r w:rsidRPr="00803630">
        <w:rPr>
          <w:lang w:val="es-ES"/>
        </w:rPr>
        <w:tab/>
        <w:t>Reuniones</w:t>
      </w:r>
    </w:p>
    <w:p w:rsidR="00B90541" w:rsidRPr="00803630" w:rsidRDefault="00D8476B" w:rsidP="00D969D1">
      <w:pPr>
        <w:rPr>
          <w:lang w:val="es-ES"/>
        </w:rPr>
      </w:pPr>
      <w:r w:rsidRPr="00803630">
        <w:rPr>
          <w:lang w:val="es-ES"/>
        </w:rPr>
        <w:t xml:space="preserve">El </w:t>
      </w:r>
      <w:r w:rsidR="00B90541" w:rsidRPr="00803630">
        <w:rPr>
          <w:lang w:val="es-ES"/>
        </w:rPr>
        <w:t xml:space="preserve">Grupo Temático </w:t>
      </w:r>
      <w:r w:rsidRPr="00803630">
        <w:rPr>
          <w:lang w:val="es-ES"/>
        </w:rPr>
        <w:t xml:space="preserve">determinará la frecuencia y lugar de las reuniones </w:t>
      </w:r>
      <w:r w:rsidR="00B90541" w:rsidRPr="00803630">
        <w:rPr>
          <w:lang w:val="es-ES"/>
        </w:rPr>
        <w:t>y el calendario d</w:t>
      </w:r>
      <w:r w:rsidRPr="00803630">
        <w:rPr>
          <w:lang w:val="es-ES"/>
        </w:rPr>
        <w:t>e reuniones general se anunciará</w:t>
      </w:r>
      <w:r w:rsidR="00B90541" w:rsidRPr="00803630">
        <w:rPr>
          <w:lang w:val="es-ES"/>
        </w:rPr>
        <w:t xml:space="preserve"> a la mayor brevedad posible. El G</w:t>
      </w:r>
      <w:r w:rsidRPr="00803630">
        <w:rPr>
          <w:lang w:val="es-ES"/>
        </w:rPr>
        <w:t>rupo Temático utilizará</w:t>
      </w:r>
      <w:r w:rsidR="00B90541" w:rsidRPr="00803630">
        <w:rPr>
          <w:lang w:val="es-ES"/>
        </w:rPr>
        <w:t xml:space="preserve"> herramientas de colaboración a distancia y celebrar</w:t>
      </w:r>
      <w:r w:rsidR="0000516D" w:rsidRPr="00803630">
        <w:rPr>
          <w:lang w:val="es-ES"/>
        </w:rPr>
        <w:t>á</w:t>
      </w:r>
      <w:r w:rsidR="00B90541" w:rsidRPr="00803630">
        <w:rPr>
          <w:lang w:val="es-ES"/>
        </w:rPr>
        <w:t xml:space="preserve"> reuniones coincidiendo con otras en la mayor medida posib</w:t>
      </w:r>
      <w:r w:rsidR="0000516D" w:rsidRPr="00803630">
        <w:rPr>
          <w:lang w:val="es-ES"/>
        </w:rPr>
        <w:t>le. Estas reuniones se anunciará</w:t>
      </w:r>
      <w:r w:rsidR="00B90541" w:rsidRPr="00803630">
        <w:rPr>
          <w:lang w:val="es-ES"/>
        </w:rPr>
        <w:t>n por medios electrónicos (por ejemplo, correo-e, dirección web, etc.) al menos con cuatro semanas de antelación.</w:t>
      </w:r>
    </w:p>
    <w:p w:rsidR="00EB70E0" w:rsidRPr="00803630" w:rsidRDefault="00CC3768" w:rsidP="007D2C8B">
      <w:pPr>
        <w:keepNext/>
        <w:rPr>
          <w:lang w:val="es-ES"/>
        </w:rPr>
      </w:pPr>
      <w:r>
        <w:rPr>
          <w:lang w:val="es-ES"/>
        </w:rPr>
        <w:t>Este grupo aprovechará otros eventos del U</w:t>
      </w:r>
      <w:r w:rsidR="00EB70E0" w:rsidRPr="00803630">
        <w:rPr>
          <w:lang w:val="es-ES"/>
        </w:rPr>
        <w:t xml:space="preserve">IT-T </w:t>
      </w:r>
      <w:r>
        <w:rPr>
          <w:lang w:val="es-ES"/>
        </w:rPr>
        <w:t>relativos a las T</w:t>
      </w:r>
      <w:r w:rsidR="00EB70E0" w:rsidRPr="00803630">
        <w:rPr>
          <w:lang w:val="es-ES"/>
        </w:rPr>
        <w:t xml:space="preserve">IC, </w:t>
      </w:r>
      <w:r>
        <w:rPr>
          <w:lang w:val="es-ES"/>
        </w:rPr>
        <w:t>el medio ambiente y el cambio climático</w:t>
      </w:r>
      <w:r w:rsidR="00EB70E0" w:rsidRPr="00803630">
        <w:rPr>
          <w:lang w:val="es-ES"/>
        </w:rPr>
        <w:t xml:space="preserve">. </w:t>
      </w:r>
      <w:r>
        <w:rPr>
          <w:lang w:val="es-ES"/>
        </w:rPr>
        <w:t>Algunas posibles fechas para futuras reuniones son</w:t>
      </w:r>
      <w:r w:rsidR="00EB70E0" w:rsidRPr="00803630">
        <w:rPr>
          <w:lang w:val="es-ES"/>
        </w:rPr>
        <w:t>:</w:t>
      </w:r>
    </w:p>
    <w:p w:rsidR="00EB70E0" w:rsidRPr="00803630" w:rsidRDefault="00EB70E0" w:rsidP="00CC3768">
      <w:pPr>
        <w:pStyle w:val="enumlev1"/>
        <w:rPr>
          <w:lang w:val="es-ES"/>
        </w:rPr>
      </w:pPr>
      <w:r w:rsidRPr="00803630">
        <w:rPr>
          <w:lang w:val="es-ES"/>
        </w:rPr>
        <w:t>1</w:t>
      </w:r>
      <w:r w:rsidR="00E279D6">
        <w:rPr>
          <w:lang w:val="es-ES"/>
        </w:rPr>
        <w:t>)</w:t>
      </w:r>
      <w:r w:rsidRPr="00803630">
        <w:rPr>
          <w:lang w:val="es-ES"/>
        </w:rPr>
        <w:tab/>
      </w:r>
      <w:r w:rsidR="00CC3768">
        <w:rPr>
          <w:lang w:val="es-ES"/>
        </w:rPr>
        <w:t>Simposio sobre las T</w:t>
      </w:r>
      <w:r w:rsidRPr="00803630">
        <w:rPr>
          <w:lang w:val="es-ES"/>
        </w:rPr>
        <w:t xml:space="preserve">IC, </w:t>
      </w:r>
      <w:r w:rsidR="00CC3768">
        <w:rPr>
          <w:lang w:val="es-ES"/>
        </w:rPr>
        <w:t xml:space="preserve">el medio ambiente y el cambio climático, </w:t>
      </w:r>
      <w:r w:rsidRPr="00803630">
        <w:rPr>
          <w:lang w:val="es-ES"/>
        </w:rPr>
        <w:t>Tur</w:t>
      </w:r>
      <w:r w:rsidR="00CC3768">
        <w:rPr>
          <w:lang w:val="es-ES"/>
        </w:rPr>
        <w:t>í</w:t>
      </w:r>
      <w:r w:rsidRPr="00803630">
        <w:rPr>
          <w:lang w:val="es-ES"/>
        </w:rPr>
        <w:t xml:space="preserve">n, </w:t>
      </w:r>
      <w:r w:rsidR="00CC3768">
        <w:rPr>
          <w:lang w:val="es-ES"/>
        </w:rPr>
        <w:t xml:space="preserve">mayo de </w:t>
      </w:r>
      <w:r w:rsidRPr="00803630">
        <w:rPr>
          <w:lang w:val="es-ES"/>
        </w:rPr>
        <w:t>2013</w:t>
      </w:r>
    </w:p>
    <w:p w:rsidR="00EB70E0" w:rsidRPr="00803630" w:rsidRDefault="00EB70E0" w:rsidP="00CC3768">
      <w:pPr>
        <w:pStyle w:val="enumlev1"/>
        <w:rPr>
          <w:lang w:val="es-ES"/>
        </w:rPr>
      </w:pPr>
      <w:r w:rsidRPr="00803630">
        <w:rPr>
          <w:lang w:val="es-ES"/>
        </w:rPr>
        <w:t>2</w:t>
      </w:r>
      <w:r w:rsidR="00E279D6">
        <w:rPr>
          <w:lang w:val="es-ES"/>
        </w:rPr>
        <w:t>)</w:t>
      </w:r>
      <w:r w:rsidRPr="00803630">
        <w:rPr>
          <w:lang w:val="es-ES"/>
        </w:rPr>
        <w:tab/>
      </w:r>
      <w:r w:rsidR="00CC3768">
        <w:rPr>
          <w:lang w:val="es-ES"/>
        </w:rPr>
        <w:t xml:space="preserve">Reunión del </w:t>
      </w:r>
      <w:r w:rsidRPr="00803630">
        <w:rPr>
          <w:lang w:val="es-ES"/>
        </w:rPr>
        <w:t xml:space="preserve">FG-SSC </w:t>
      </w:r>
      <w:r w:rsidR="00CC3768">
        <w:rPr>
          <w:lang w:val="es-ES"/>
        </w:rPr>
        <w:t xml:space="preserve">en América Latina, acogido por </w:t>
      </w:r>
      <w:r w:rsidRPr="00803630">
        <w:rPr>
          <w:lang w:val="es-ES"/>
        </w:rPr>
        <w:t xml:space="preserve">Telefónica, </w:t>
      </w:r>
      <w:r w:rsidR="00CC3768">
        <w:rPr>
          <w:lang w:val="es-ES"/>
        </w:rPr>
        <w:t xml:space="preserve">junio/julio de </w:t>
      </w:r>
      <w:r w:rsidRPr="00803630">
        <w:rPr>
          <w:lang w:val="es-ES"/>
        </w:rPr>
        <w:t>2013</w:t>
      </w:r>
    </w:p>
    <w:p w:rsidR="00EB70E0" w:rsidRPr="00803630" w:rsidRDefault="00EB70E0" w:rsidP="0034233F">
      <w:pPr>
        <w:pStyle w:val="enumlev1"/>
        <w:rPr>
          <w:lang w:val="es-ES"/>
        </w:rPr>
      </w:pPr>
      <w:r w:rsidRPr="00803630">
        <w:rPr>
          <w:lang w:val="es-ES"/>
        </w:rPr>
        <w:t>3</w:t>
      </w:r>
      <w:r w:rsidR="00E279D6">
        <w:rPr>
          <w:lang w:val="es-ES"/>
        </w:rPr>
        <w:t>)</w:t>
      </w:r>
      <w:r w:rsidRPr="00803630">
        <w:rPr>
          <w:lang w:val="es-ES"/>
        </w:rPr>
        <w:tab/>
      </w:r>
      <w:r w:rsidR="00CC3768">
        <w:rPr>
          <w:lang w:val="es-ES"/>
        </w:rPr>
        <w:t xml:space="preserve">Tercera semana de normas </w:t>
      </w:r>
      <w:r w:rsidR="0034233F">
        <w:rPr>
          <w:lang w:val="es-ES"/>
        </w:rPr>
        <w:t>ecológicas</w:t>
      </w:r>
      <w:r w:rsidRPr="00803630">
        <w:rPr>
          <w:lang w:val="es-ES"/>
        </w:rPr>
        <w:t>, Madrid</w:t>
      </w:r>
      <w:r w:rsidR="00CC3768">
        <w:rPr>
          <w:lang w:val="es-ES"/>
        </w:rPr>
        <w:t>, septiembre de</w:t>
      </w:r>
      <w:r w:rsidRPr="00803630">
        <w:rPr>
          <w:lang w:val="es-ES"/>
        </w:rPr>
        <w:t xml:space="preserve"> 2013</w:t>
      </w:r>
    </w:p>
    <w:p w:rsidR="00EB70E0" w:rsidRPr="00803630" w:rsidRDefault="00EB70E0" w:rsidP="00CC3768">
      <w:pPr>
        <w:pStyle w:val="enumlev1"/>
        <w:rPr>
          <w:lang w:val="es-ES"/>
        </w:rPr>
      </w:pPr>
      <w:r w:rsidRPr="00803630">
        <w:rPr>
          <w:lang w:val="es-ES"/>
        </w:rPr>
        <w:t>4</w:t>
      </w:r>
      <w:r w:rsidR="00E279D6">
        <w:rPr>
          <w:lang w:val="es-ES"/>
        </w:rPr>
        <w:t>)</w:t>
      </w:r>
      <w:r w:rsidRPr="00803630">
        <w:rPr>
          <w:lang w:val="es-ES"/>
        </w:rPr>
        <w:tab/>
      </w:r>
      <w:r w:rsidR="00CC3768">
        <w:rPr>
          <w:lang w:val="es-ES"/>
        </w:rPr>
        <w:t>Reunión de la CE</w:t>
      </w:r>
      <w:r w:rsidR="007D2C8B">
        <w:rPr>
          <w:lang w:val="es-ES"/>
        </w:rPr>
        <w:t> </w:t>
      </w:r>
      <w:r w:rsidRPr="00803630">
        <w:rPr>
          <w:lang w:val="es-ES"/>
        </w:rPr>
        <w:t xml:space="preserve">5 </w:t>
      </w:r>
      <w:r w:rsidR="00CC3768">
        <w:rPr>
          <w:lang w:val="es-ES"/>
        </w:rPr>
        <w:t>en Ginebra</w:t>
      </w:r>
      <w:r w:rsidRPr="00803630">
        <w:rPr>
          <w:lang w:val="es-ES"/>
        </w:rPr>
        <w:t xml:space="preserve">, </w:t>
      </w:r>
      <w:r w:rsidR="00CC3768">
        <w:rPr>
          <w:lang w:val="es-ES"/>
        </w:rPr>
        <w:t xml:space="preserve">septiembre, octubre o noviembre </w:t>
      </w:r>
      <w:r w:rsidRPr="00803630">
        <w:rPr>
          <w:lang w:val="es-ES"/>
        </w:rPr>
        <w:t>2013 (</w:t>
      </w:r>
      <w:r w:rsidR="00CC3768">
        <w:rPr>
          <w:lang w:val="es-ES"/>
        </w:rPr>
        <w:t>por determinar</w:t>
      </w:r>
      <w:r w:rsidRPr="00803630">
        <w:rPr>
          <w:lang w:val="es-ES"/>
        </w:rPr>
        <w:t>).</w:t>
      </w:r>
    </w:p>
    <w:p w:rsidR="00B90541" w:rsidRPr="00803630" w:rsidRDefault="00B90541" w:rsidP="00D969D1">
      <w:pPr>
        <w:pStyle w:val="Heading1"/>
        <w:rPr>
          <w:lang w:val="es-ES"/>
        </w:rPr>
      </w:pPr>
      <w:r w:rsidRPr="00803630">
        <w:rPr>
          <w:lang w:val="es-ES"/>
        </w:rPr>
        <w:t>12</w:t>
      </w:r>
      <w:r w:rsidRPr="00803630">
        <w:rPr>
          <w:lang w:val="es-ES"/>
        </w:rPr>
        <w:tab/>
        <w:t>Contribuciones técnicas</w:t>
      </w:r>
    </w:p>
    <w:p w:rsidR="00B90541" w:rsidRPr="00803630" w:rsidRDefault="00B90541" w:rsidP="00D969D1">
      <w:pPr>
        <w:rPr>
          <w:lang w:val="es-ES"/>
        </w:rPr>
      </w:pPr>
      <w:r w:rsidRPr="00803630">
        <w:rPr>
          <w:lang w:val="es-ES"/>
        </w:rPr>
        <w:t xml:space="preserve">Las contribuciones deben presentarse al menos diez días </w:t>
      </w:r>
      <w:r w:rsidR="00D8476B" w:rsidRPr="00803630">
        <w:rPr>
          <w:lang w:val="es-ES"/>
        </w:rPr>
        <w:t xml:space="preserve">naturales </w:t>
      </w:r>
      <w:r w:rsidRPr="00803630">
        <w:rPr>
          <w:lang w:val="es-ES"/>
        </w:rPr>
        <w:t xml:space="preserve">antes de que </w:t>
      </w:r>
      <w:r w:rsidR="00D8476B" w:rsidRPr="00803630">
        <w:rPr>
          <w:lang w:val="es-ES"/>
        </w:rPr>
        <w:t xml:space="preserve">tenga lugar </w:t>
      </w:r>
      <w:r w:rsidRPr="00803630">
        <w:rPr>
          <w:lang w:val="es-ES"/>
        </w:rPr>
        <w:t>la reunión.</w:t>
      </w:r>
    </w:p>
    <w:p w:rsidR="00B90541" w:rsidRPr="00803630" w:rsidRDefault="00B90541" w:rsidP="00D969D1">
      <w:pPr>
        <w:pStyle w:val="Heading1"/>
        <w:rPr>
          <w:lang w:val="es-ES"/>
        </w:rPr>
      </w:pPr>
      <w:r w:rsidRPr="00803630">
        <w:rPr>
          <w:lang w:val="es-ES"/>
        </w:rPr>
        <w:t>13</w:t>
      </w:r>
      <w:r w:rsidRPr="00803630">
        <w:rPr>
          <w:lang w:val="es-ES"/>
        </w:rPr>
        <w:tab/>
        <w:t>Idioma de trabajo</w:t>
      </w:r>
    </w:p>
    <w:p w:rsidR="00B90541" w:rsidRPr="00803630" w:rsidRDefault="00B90541" w:rsidP="00D969D1">
      <w:pPr>
        <w:rPr>
          <w:lang w:val="es-ES"/>
        </w:rPr>
      </w:pPr>
      <w:r w:rsidRPr="00803630">
        <w:rPr>
          <w:lang w:val="es-ES"/>
        </w:rPr>
        <w:t>El idioma de trabajo será el inglés</w:t>
      </w:r>
      <w:r w:rsidR="00D8476B" w:rsidRPr="00803630">
        <w:rPr>
          <w:lang w:val="es-ES"/>
        </w:rPr>
        <w:t>.</w:t>
      </w:r>
    </w:p>
    <w:p w:rsidR="00B90541" w:rsidRPr="00803630" w:rsidRDefault="00B90541" w:rsidP="00D969D1">
      <w:pPr>
        <w:pStyle w:val="Heading1"/>
        <w:rPr>
          <w:lang w:val="es-ES"/>
        </w:rPr>
      </w:pPr>
      <w:r w:rsidRPr="00803630">
        <w:rPr>
          <w:lang w:val="es-ES"/>
        </w:rPr>
        <w:t>14</w:t>
      </w:r>
      <w:r w:rsidRPr="00803630">
        <w:rPr>
          <w:lang w:val="es-ES"/>
        </w:rPr>
        <w:tab/>
        <w:t>Aprobación de los resultados</w:t>
      </w:r>
    </w:p>
    <w:p w:rsidR="00B90541" w:rsidRPr="00803630" w:rsidRDefault="00B90541" w:rsidP="00D969D1">
      <w:pPr>
        <w:rPr>
          <w:lang w:val="es-ES"/>
        </w:rPr>
      </w:pPr>
      <w:r w:rsidRPr="00803630">
        <w:rPr>
          <w:lang w:val="es-ES"/>
        </w:rPr>
        <w:t>La aprobación de los resultados será por consenso</w:t>
      </w:r>
      <w:r w:rsidR="00D8476B" w:rsidRPr="00803630">
        <w:rPr>
          <w:lang w:val="es-ES"/>
        </w:rPr>
        <w:t>.</w:t>
      </w:r>
    </w:p>
    <w:p w:rsidR="00CD1782" w:rsidRPr="00803630" w:rsidRDefault="00CD1782" w:rsidP="00D969D1">
      <w:pPr>
        <w:pStyle w:val="Heading1"/>
        <w:rPr>
          <w:lang w:val="es-ES"/>
        </w:rPr>
      </w:pPr>
      <w:r w:rsidRPr="00803630">
        <w:rPr>
          <w:lang w:val="es-ES"/>
        </w:rPr>
        <w:t>15</w:t>
      </w:r>
      <w:r w:rsidRPr="00803630">
        <w:rPr>
          <w:lang w:val="es-ES"/>
        </w:rPr>
        <w:tab/>
        <w:t>Directrices relativas a los trabajos</w:t>
      </w:r>
    </w:p>
    <w:p w:rsidR="00CD1782" w:rsidRPr="00803630" w:rsidRDefault="00CD1782" w:rsidP="00D969D1">
      <w:pPr>
        <w:rPr>
          <w:lang w:val="es-ES"/>
        </w:rPr>
      </w:pPr>
      <w:r w:rsidRPr="00803630">
        <w:rPr>
          <w:lang w:val="es-ES"/>
        </w:rPr>
        <w:t>Los procedimientos de trabajo se ajustarán a los procedimientos de las reuniones de Relator. No se definen directrices de trabajo adicionales.</w:t>
      </w:r>
    </w:p>
    <w:p w:rsidR="00CD1782" w:rsidRPr="00803630" w:rsidRDefault="00CD1782" w:rsidP="00D969D1">
      <w:pPr>
        <w:pStyle w:val="Heading1"/>
        <w:rPr>
          <w:lang w:val="es-ES"/>
        </w:rPr>
      </w:pPr>
      <w:r w:rsidRPr="00803630">
        <w:rPr>
          <w:lang w:val="es-ES"/>
        </w:rPr>
        <w:t>16</w:t>
      </w:r>
      <w:r w:rsidRPr="00803630">
        <w:rPr>
          <w:lang w:val="es-ES"/>
        </w:rPr>
        <w:tab/>
        <w:t>Informes sobre la marcha de los trabajos</w:t>
      </w:r>
    </w:p>
    <w:p w:rsidR="00CD1782" w:rsidRPr="00803630" w:rsidRDefault="00CD1782" w:rsidP="00D969D1">
      <w:pPr>
        <w:rPr>
          <w:lang w:val="es-ES"/>
        </w:rPr>
      </w:pPr>
      <w:r w:rsidRPr="00803630">
        <w:rPr>
          <w:lang w:val="es-ES"/>
        </w:rPr>
        <w:t>Véase la cláusula 11</w:t>
      </w:r>
      <w:r w:rsidR="001704B6" w:rsidRPr="00803630">
        <w:rPr>
          <w:lang w:val="es-ES"/>
        </w:rPr>
        <w:t xml:space="preserve"> de la Recomendación UIT-T A.7.</w:t>
      </w:r>
    </w:p>
    <w:p w:rsidR="00CD1782" w:rsidRPr="00803630" w:rsidRDefault="00CD1782" w:rsidP="00D969D1">
      <w:pPr>
        <w:pStyle w:val="Heading1"/>
        <w:rPr>
          <w:lang w:val="es-ES"/>
        </w:rPr>
      </w:pPr>
      <w:r w:rsidRPr="00803630">
        <w:rPr>
          <w:lang w:val="es-ES"/>
        </w:rPr>
        <w:t>17</w:t>
      </w:r>
      <w:r w:rsidRPr="00803630">
        <w:rPr>
          <w:lang w:val="es-ES"/>
        </w:rPr>
        <w:tab/>
        <w:t>Anuncio de constitución de Grupo Temático</w:t>
      </w:r>
    </w:p>
    <w:p w:rsidR="00CD1782" w:rsidRPr="00803630" w:rsidRDefault="00CE0B1C" w:rsidP="00D969D1">
      <w:pPr>
        <w:jc w:val="both"/>
        <w:rPr>
          <w:lang w:val="es-ES"/>
        </w:rPr>
      </w:pPr>
      <w:r w:rsidRPr="00803630">
        <w:rPr>
          <w:lang w:val="es-ES"/>
        </w:rPr>
        <w:t>La</w:t>
      </w:r>
      <w:r w:rsidR="00CD1782" w:rsidRPr="00803630">
        <w:rPr>
          <w:lang w:val="es-ES"/>
        </w:rPr>
        <w:t xml:space="preserve"> constitución del Grupo Temático se anunciará a través de una Circular TSB dirigida a todos los miembros de la UIT, del </w:t>
      </w:r>
      <w:proofErr w:type="spellStart"/>
      <w:r w:rsidR="00CD1782" w:rsidRPr="00803630">
        <w:rPr>
          <w:lang w:val="es-ES"/>
        </w:rPr>
        <w:t>Newslog</w:t>
      </w:r>
      <w:proofErr w:type="spellEnd"/>
      <w:r w:rsidR="00CD1782" w:rsidRPr="00803630">
        <w:rPr>
          <w:lang w:val="es-ES"/>
        </w:rPr>
        <w:t xml:space="preserve"> del UIT-T y por otros medios, incluida la comunicación con otras organizaciones implicadas.</w:t>
      </w:r>
    </w:p>
    <w:p w:rsidR="00CD1782" w:rsidRPr="00803630" w:rsidRDefault="00CD1782" w:rsidP="00D969D1">
      <w:pPr>
        <w:pStyle w:val="Heading1"/>
        <w:rPr>
          <w:lang w:val="es-ES"/>
        </w:rPr>
      </w:pPr>
      <w:r w:rsidRPr="00803630">
        <w:rPr>
          <w:lang w:val="es-ES"/>
        </w:rPr>
        <w:t>18</w:t>
      </w:r>
      <w:r w:rsidRPr="00803630">
        <w:rPr>
          <w:lang w:val="es-ES"/>
        </w:rPr>
        <w:tab/>
      </w:r>
      <w:r w:rsidR="00CE0B1C" w:rsidRPr="00803630">
        <w:rPr>
          <w:lang w:val="es-ES"/>
        </w:rPr>
        <w:t>Etapas</w:t>
      </w:r>
      <w:r w:rsidRPr="00803630">
        <w:rPr>
          <w:lang w:val="es-ES"/>
        </w:rPr>
        <w:t xml:space="preserve"> y duración del Grupo Temático</w:t>
      </w:r>
    </w:p>
    <w:p w:rsidR="00CE0B1C" w:rsidRPr="00803630" w:rsidRDefault="00CE0B1C" w:rsidP="0034233F">
      <w:pPr>
        <w:rPr>
          <w:lang w:val="es-ES"/>
        </w:rPr>
      </w:pPr>
      <w:r w:rsidRPr="00803630">
        <w:rPr>
          <w:lang w:val="es-ES"/>
        </w:rPr>
        <w:t>La duración prevista del Grupo Temático es de un año a partir de su primera reunión</w:t>
      </w:r>
      <w:r w:rsidR="00CC3768">
        <w:rPr>
          <w:lang w:val="es-ES"/>
        </w:rPr>
        <w:t xml:space="preserve"> </w:t>
      </w:r>
      <w:r w:rsidR="00EB70E0" w:rsidRPr="00803630">
        <w:rPr>
          <w:lang w:val="es-ES"/>
        </w:rPr>
        <w:t>(</w:t>
      </w:r>
      <w:r w:rsidR="00CC3768">
        <w:rPr>
          <w:lang w:val="es-ES"/>
        </w:rPr>
        <w:t xml:space="preserve">véase </w:t>
      </w:r>
      <w:r w:rsidR="0034233F">
        <w:rPr>
          <w:lang w:val="es-ES"/>
        </w:rPr>
        <w:t xml:space="preserve">la cláusula </w:t>
      </w:r>
      <w:r w:rsidR="0034233F" w:rsidRPr="00803630">
        <w:rPr>
          <w:lang w:val="es-ES"/>
        </w:rPr>
        <w:t>2.2</w:t>
      </w:r>
      <w:r w:rsidR="0034233F">
        <w:rPr>
          <w:lang w:val="es-ES"/>
        </w:rPr>
        <w:t xml:space="preserve"> </w:t>
      </w:r>
      <w:r w:rsidR="0034233F" w:rsidRPr="00803630">
        <w:rPr>
          <w:lang w:val="es-ES"/>
        </w:rPr>
        <w:t xml:space="preserve">de la Recomendación </w:t>
      </w:r>
      <w:r w:rsidR="00CC3768">
        <w:rPr>
          <w:lang w:val="es-ES"/>
        </w:rPr>
        <w:t>U</w:t>
      </w:r>
      <w:r w:rsidR="00EB70E0" w:rsidRPr="00803630">
        <w:rPr>
          <w:lang w:val="es-ES"/>
        </w:rPr>
        <w:t>IT-T A7).</w:t>
      </w:r>
    </w:p>
    <w:p w:rsidR="0039677E" w:rsidRPr="00803630" w:rsidRDefault="0039677E" w:rsidP="00D969D1">
      <w:pPr>
        <w:pStyle w:val="enumlev1"/>
        <w:rPr>
          <w:lang w:val="es-ES"/>
        </w:rPr>
      </w:pPr>
      <w:r w:rsidRPr="00803630">
        <w:rPr>
          <w:lang w:val="es-ES"/>
        </w:rPr>
        <w:lastRenderedPageBreak/>
        <w:t>El conjunto de etapas preliminar incluye:</w:t>
      </w:r>
    </w:p>
    <w:p w:rsidR="00E42FDF" w:rsidRPr="00803630" w:rsidRDefault="00E42FDF" w:rsidP="00CC3768">
      <w:pPr>
        <w:pStyle w:val="enumlev1"/>
        <w:rPr>
          <w:lang w:val="es-ES"/>
        </w:rPr>
      </w:pPr>
      <w:r w:rsidRPr="00803630">
        <w:rPr>
          <w:lang w:val="es-ES"/>
        </w:rPr>
        <w:t>–</w:t>
      </w:r>
      <w:r w:rsidRPr="00803630">
        <w:rPr>
          <w:lang w:val="es-ES"/>
        </w:rPr>
        <w:tab/>
      </w:r>
      <w:r w:rsidR="00CC3768">
        <w:rPr>
          <w:lang w:val="es-ES"/>
        </w:rPr>
        <w:t>Primera reunión del</w:t>
      </w:r>
      <w:r w:rsidRPr="00803630">
        <w:rPr>
          <w:lang w:val="es-ES"/>
        </w:rPr>
        <w:t xml:space="preserve"> FG-SSC</w:t>
      </w:r>
      <w:r w:rsidR="00CC3768">
        <w:rPr>
          <w:lang w:val="es-ES"/>
        </w:rPr>
        <w:t>: Turín, Italia</w:t>
      </w:r>
      <w:r w:rsidRPr="00803630">
        <w:rPr>
          <w:lang w:val="es-ES"/>
        </w:rPr>
        <w:t xml:space="preserve">, </w:t>
      </w:r>
      <w:r w:rsidR="00CC3768">
        <w:rPr>
          <w:lang w:val="es-ES"/>
        </w:rPr>
        <w:t xml:space="preserve">mayo de </w:t>
      </w:r>
      <w:r w:rsidRPr="00803630">
        <w:rPr>
          <w:lang w:val="es-ES"/>
        </w:rPr>
        <w:t>2013.</w:t>
      </w:r>
    </w:p>
    <w:p w:rsidR="00E42FDF" w:rsidRPr="00803630" w:rsidRDefault="006A7E8A" w:rsidP="00CC3768">
      <w:pPr>
        <w:pStyle w:val="enumlev1"/>
        <w:rPr>
          <w:lang w:val="es-ES"/>
        </w:rPr>
      </w:pPr>
      <w:r w:rsidRPr="00803630">
        <w:rPr>
          <w:lang w:val="es-ES"/>
        </w:rPr>
        <w:t>–</w:t>
      </w:r>
      <w:r w:rsidRPr="00803630">
        <w:rPr>
          <w:lang w:val="es-ES"/>
        </w:rPr>
        <w:tab/>
      </w:r>
      <w:r w:rsidR="0039677E" w:rsidRPr="00803630">
        <w:rPr>
          <w:lang w:val="es-ES"/>
        </w:rPr>
        <w:t xml:space="preserve">Presentación intermedia del Grupo Temático y sus actividades: </w:t>
      </w:r>
      <w:r w:rsidR="00CC3768">
        <w:rPr>
          <w:lang w:val="es-ES"/>
        </w:rPr>
        <w:t>Semana de normas ecológicas</w:t>
      </w:r>
      <w:r w:rsidR="00E42FDF" w:rsidRPr="00803630">
        <w:rPr>
          <w:lang w:val="es-ES"/>
        </w:rPr>
        <w:t xml:space="preserve">, Madrid, </w:t>
      </w:r>
      <w:r w:rsidR="00CC3768">
        <w:rPr>
          <w:lang w:val="es-ES"/>
        </w:rPr>
        <w:t xml:space="preserve">septiembre de </w:t>
      </w:r>
      <w:r w:rsidR="00E42FDF" w:rsidRPr="00803630">
        <w:rPr>
          <w:lang w:val="es-ES"/>
        </w:rPr>
        <w:t>2013</w:t>
      </w:r>
      <w:r w:rsidR="00E279D6">
        <w:rPr>
          <w:lang w:val="es-ES"/>
        </w:rPr>
        <w:t>.</w:t>
      </w:r>
    </w:p>
    <w:p w:rsidR="00CD1782" w:rsidRPr="00803630" w:rsidRDefault="00CD1782" w:rsidP="00D969D1">
      <w:pPr>
        <w:pStyle w:val="Heading1"/>
        <w:rPr>
          <w:lang w:val="es-ES"/>
        </w:rPr>
      </w:pPr>
      <w:r w:rsidRPr="00803630">
        <w:rPr>
          <w:lang w:val="es-ES"/>
        </w:rPr>
        <w:t>19</w:t>
      </w:r>
      <w:r w:rsidRPr="00803630">
        <w:rPr>
          <w:lang w:val="es-ES"/>
        </w:rPr>
        <w:tab/>
        <w:t>Política de patentes</w:t>
      </w:r>
    </w:p>
    <w:p w:rsidR="00CD1782" w:rsidRPr="00803630" w:rsidRDefault="0039677E" w:rsidP="00D969D1">
      <w:pPr>
        <w:rPr>
          <w:lang w:val="es-ES"/>
        </w:rPr>
      </w:pPr>
      <w:r w:rsidRPr="00803630">
        <w:rPr>
          <w:lang w:val="es-ES"/>
        </w:rPr>
        <w:t>Véase la cláusula 9 de la Recomendación UIT-T A.7.</w:t>
      </w:r>
    </w:p>
    <w:p w:rsidR="00CD1782" w:rsidRPr="00803630" w:rsidRDefault="00CD1782" w:rsidP="00D969D1">
      <w:pPr>
        <w:rPr>
          <w:lang w:val="es-ES"/>
        </w:rPr>
      </w:pPr>
    </w:p>
    <w:p w:rsidR="00826D9C" w:rsidRDefault="00826D9C">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506D9" w:rsidRPr="0046714A" w:rsidRDefault="00E42FDF" w:rsidP="0046714A">
      <w:pPr>
        <w:pStyle w:val="Appendix"/>
        <w:rPr>
          <w:b/>
          <w:bCs/>
          <w:lang w:val="es-ES"/>
        </w:rPr>
      </w:pPr>
      <w:r w:rsidRPr="0046714A">
        <w:rPr>
          <w:b/>
          <w:bCs/>
          <w:lang w:val="es-ES"/>
        </w:rPr>
        <w:lastRenderedPageBreak/>
        <w:t>A</w:t>
      </w:r>
      <w:r w:rsidR="0046714A" w:rsidRPr="0046714A">
        <w:rPr>
          <w:b/>
          <w:bCs/>
          <w:caps w:val="0"/>
          <w:lang w:val="es-ES"/>
        </w:rPr>
        <w:t>péndice</w:t>
      </w:r>
      <w:r w:rsidRPr="0046714A">
        <w:rPr>
          <w:b/>
          <w:bCs/>
          <w:lang w:val="es-ES"/>
        </w:rPr>
        <w:t xml:space="preserve"> 1</w:t>
      </w:r>
      <w:r w:rsidRPr="0046714A">
        <w:rPr>
          <w:b/>
          <w:bCs/>
          <w:lang w:val="es-ES"/>
        </w:rPr>
        <w:br/>
        <w:t>(</w:t>
      </w:r>
      <w:r w:rsidR="003506D9" w:rsidRPr="0046714A">
        <w:rPr>
          <w:b/>
          <w:bCs/>
          <w:caps w:val="0"/>
          <w:lang w:val="es-ES"/>
        </w:rPr>
        <w:t xml:space="preserve">al mandato del </w:t>
      </w:r>
      <w:r w:rsidRPr="0046714A">
        <w:rPr>
          <w:b/>
          <w:bCs/>
          <w:lang w:val="es-ES"/>
        </w:rPr>
        <w:t xml:space="preserve">FG-SSC </w:t>
      </w:r>
      <w:r w:rsidR="003506D9" w:rsidRPr="0046714A">
        <w:rPr>
          <w:b/>
          <w:bCs/>
          <w:caps w:val="0"/>
          <w:lang w:val="es-ES"/>
        </w:rPr>
        <w:t>del</w:t>
      </w:r>
      <w:r w:rsidR="00874C5B" w:rsidRPr="0046714A">
        <w:rPr>
          <w:b/>
          <w:bCs/>
          <w:lang w:val="es-ES"/>
        </w:rPr>
        <w:t xml:space="preserve"> UIT-T</w:t>
      </w:r>
      <w:r w:rsidRPr="0046714A">
        <w:rPr>
          <w:b/>
          <w:bCs/>
          <w:lang w:val="es-ES"/>
        </w:rPr>
        <w:t>)</w:t>
      </w:r>
    </w:p>
    <w:p w:rsidR="00342499" w:rsidRPr="00803630" w:rsidRDefault="00342499" w:rsidP="003506D9">
      <w:pPr>
        <w:pStyle w:val="AppendixNotitle"/>
        <w:rPr>
          <w:lang w:val="es-ES"/>
        </w:rPr>
      </w:pPr>
      <w:r w:rsidRPr="00803630">
        <w:rPr>
          <w:lang w:val="es-ES"/>
        </w:rPr>
        <w:t>Comisión de Estudio 5 – Medio ambiente y cambio climático</w:t>
      </w:r>
    </w:p>
    <w:p w:rsidR="00342499" w:rsidRPr="00803630" w:rsidRDefault="00342499" w:rsidP="004E2AF7">
      <w:pPr>
        <w:tabs>
          <w:tab w:val="clear" w:pos="794"/>
          <w:tab w:val="clear" w:pos="1191"/>
          <w:tab w:val="clear" w:pos="1588"/>
          <w:tab w:val="clear" w:pos="1985"/>
          <w:tab w:val="left" w:pos="1134"/>
          <w:tab w:val="left" w:pos="1871"/>
          <w:tab w:val="left" w:pos="2268"/>
        </w:tabs>
        <w:spacing w:before="240"/>
        <w:rPr>
          <w:lang w:val="es-ES"/>
        </w:rPr>
      </w:pPr>
      <w:r w:rsidRPr="00803630">
        <w:rPr>
          <w:lang w:val="es-ES"/>
        </w:rPr>
        <w:t>La Comisión de Estudio 5 es responsable del estudio de los aspectos medioambientales de las TIC, los fenómenos electromagnéticos y el cambio climático.</w:t>
      </w:r>
    </w:p>
    <w:p w:rsidR="00342499" w:rsidRPr="00803630" w:rsidRDefault="00342499" w:rsidP="00D969D1">
      <w:pPr>
        <w:tabs>
          <w:tab w:val="clear" w:pos="794"/>
          <w:tab w:val="clear" w:pos="1191"/>
          <w:tab w:val="clear" w:pos="1588"/>
          <w:tab w:val="clear" w:pos="1985"/>
          <w:tab w:val="left" w:pos="1134"/>
          <w:tab w:val="left" w:pos="1871"/>
          <w:tab w:val="left" w:pos="2268"/>
        </w:tabs>
        <w:rPr>
          <w:lang w:val="es-ES"/>
        </w:rPr>
      </w:pPr>
      <w:r w:rsidRPr="00803630">
        <w:rPr>
          <w:lang w:val="es-ES"/>
        </w:rPr>
        <w:t>Se encarga de los estudios relativos a la protección de redes y equipos de telecomunicaciones contra las interferencias y las descargas eléctricas.</w:t>
      </w:r>
    </w:p>
    <w:p w:rsidR="00342499" w:rsidRPr="00803630" w:rsidRDefault="00342499" w:rsidP="006B14ED">
      <w:pPr>
        <w:tabs>
          <w:tab w:val="clear" w:pos="794"/>
          <w:tab w:val="clear" w:pos="1191"/>
          <w:tab w:val="clear" w:pos="1588"/>
          <w:tab w:val="clear" w:pos="1985"/>
          <w:tab w:val="left" w:pos="1134"/>
          <w:tab w:val="left" w:pos="1871"/>
          <w:tab w:val="left" w:pos="2268"/>
        </w:tabs>
        <w:rPr>
          <w:lang w:val="es-ES"/>
        </w:rPr>
      </w:pPr>
      <w:r w:rsidRPr="00803630">
        <w:rPr>
          <w:lang w:val="es-ES"/>
        </w:rPr>
        <w:t xml:space="preserve">También se ocupa de estudios relacionados con la compatibilidad electromagnética (EMC), la seguridad y los efectos </w:t>
      </w:r>
      <w:r w:rsidR="006B14ED">
        <w:rPr>
          <w:lang w:val="es-ES"/>
        </w:rPr>
        <w:t>nocivos para</w:t>
      </w:r>
      <w:r w:rsidRPr="00803630">
        <w:rPr>
          <w:lang w:val="es-ES"/>
        </w:rPr>
        <w:t xml:space="preserve"> la salud</w:t>
      </w:r>
      <w:r w:rsidR="006B14ED">
        <w:rPr>
          <w:lang w:val="es-ES"/>
        </w:rPr>
        <w:t xml:space="preserve"> de </w:t>
      </w:r>
      <w:r w:rsidRPr="00803630">
        <w:rPr>
          <w:lang w:val="es-ES"/>
        </w:rPr>
        <w:t>los campos electromagnéticos producidos por las instalaciones y dispositivos de telecomunicación, incluidos los teléfonos celulares.</w:t>
      </w:r>
    </w:p>
    <w:p w:rsidR="00342499" w:rsidRPr="00803630" w:rsidRDefault="00342499" w:rsidP="00D969D1">
      <w:pPr>
        <w:tabs>
          <w:tab w:val="clear" w:pos="794"/>
          <w:tab w:val="clear" w:pos="1191"/>
          <w:tab w:val="clear" w:pos="1588"/>
          <w:tab w:val="clear" w:pos="1985"/>
          <w:tab w:val="left" w:pos="1134"/>
          <w:tab w:val="left" w:pos="1871"/>
          <w:tab w:val="left" w:pos="2268"/>
        </w:tabs>
        <w:rPr>
          <w:lang w:val="es-ES"/>
        </w:rPr>
      </w:pPr>
      <w:r w:rsidRPr="00803630">
        <w:rPr>
          <w:lang w:val="es-ES"/>
        </w:rPr>
        <w:t>Es responsable de los estudios sobre la planta exterior de redes de cobre existentes y de las correspondientes instalaciones en interiores.</w:t>
      </w:r>
    </w:p>
    <w:p w:rsidR="00342499" w:rsidRPr="00803630" w:rsidRDefault="00342499" w:rsidP="00D969D1">
      <w:pPr>
        <w:tabs>
          <w:tab w:val="clear" w:pos="794"/>
          <w:tab w:val="clear" w:pos="1191"/>
          <w:tab w:val="clear" w:pos="1588"/>
          <w:tab w:val="clear" w:pos="1985"/>
          <w:tab w:val="left" w:pos="1134"/>
          <w:tab w:val="left" w:pos="1871"/>
          <w:tab w:val="left" w:pos="2268"/>
        </w:tabs>
        <w:rPr>
          <w:lang w:val="es-ES"/>
        </w:rPr>
      </w:pPr>
      <w:bookmarkStart w:id="1" w:name="_Toc509631353"/>
      <w:bookmarkEnd w:id="1"/>
      <w:r w:rsidRPr="00803630">
        <w:rPr>
          <w:lang w:val="es-ES"/>
        </w:rPr>
        <w:t>Es responsable de los estudios sobre los métodos de evaluación del impacto medioambiental de las TIC, la publicación de directrices sobre la utilización de las TIC de manera inocua para el medio ambiente, de abordar los problemas que plantean los residuos</w:t>
      </w:r>
      <w:r w:rsidRPr="00803630">
        <w:rPr>
          <w:lang w:val="es-ES"/>
        </w:rPr>
        <w:noBreakHyphen/>
        <w:t>e, y el estudio sobre la eficiencia energética de los sistemas de alimentación eléctrica.</w:t>
      </w:r>
    </w:p>
    <w:p w:rsidR="00342499" w:rsidRPr="00803630" w:rsidRDefault="00342499" w:rsidP="006B14ED">
      <w:pPr>
        <w:tabs>
          <w:tab w:val="clear" w:pos="794"/>
          <w:tab w:val="clear" w:pos="1191"/>
          <w:tab w:val="clear" w:pos="1588"/>
          <w:tab w:val="clear" w:pos="1985"/>
          <w:tab w:val="left" w:pos="1134"/>
          <w:tab w:val="left" w:pos="1871"/>
          <w:tab w:val="left" w:pos="2268"/>
        </w:tabs>
        <w:rPr>
          <w:lang w:val="es-ES"/>
        </w:rPr>
      </w:pPr>
      <w:r w:rsidRPr="00803630" w:rsidDel="00422A92">
        <w:rPr>
          <w:lang w:val="es-ES"/>
        </w:rPr>
        <w:t>También se ocupa</w:t>
      </w:r>
      <w:r w:rsidRPr="00803630">
        <w:rPr>
          <w:lang w:val="es-ES"/>
        </w:rPr>
        <w:t xml:space="preserve"> de los estudios sobre cómo utilizar las TIC para ayudar a los países y al sector de las TIC a adaptarse a los efectos de los problemas medioambientales, incluido el cambio climático.</w:t>
      </w:r>
    </w:p>
    <w:p w:rsidR="00E42FDF" w:rsidRPr="00803630" w:rsidRDefault="00342499" w:rsidP="00D969D1">
      <w:pPr>
        <w:rPr>
          <w:lang w:val="es-ES"/>
        </w:rPr>
      </w:pPr>
      <w:r w:rsidRPr="00803630">
        <w:rPr>
          <w:lang w:val="es-ES"/>
        </w:rPr>
        <w:t>Es también responsable de identificar las prácticas ecológicas más coherentes y normalizadas que necesita el sector de las TIC (por ejemplo, etiquetado, modalidades de adquisición, categorización ecológica de los teléfonos móviles).</w:t>
      </w:r>
    </w:p>
    <w:p w:rsidR="00342499" w:rsidRPr="00803630" w:rsidRDefault="00342499" w:rsidP="00D969D1">
      <w:pPr>
        <w:rPr>
          <w:lang w:val="es-ES"/>
        </w:rPr>
      </w:pPr>
      <w:r w:rsidRPr="00803630">
        <w:rPr>
          <w:lang w:val="es-ES"/>
        </w:rPr>
        <w:t>La Comisión de Estudio 5 es:</w:t>
      </w:r>
    </w:p>
    <w:p w:rsidR="00342499" w:rsidRPr="00803630" w:rsidRDefault="00342499" w:rsidP="00D969D1">
      <w:pPr>
        <w:pStyle w:val="enumlev1"/>
        <w:rPr>
          <w:lang w:val="es-ES"/>
        </w:rPr>
      </w:pPr>
      <w:r w:rsidRPr="00803630">
        <w:rPr>
          <w:lang w:val="es-ES"/>
        </w:rPr>
        <w:tab/>
        <w:t>Comisión de Estudio Rectora sobre compatibilidad electromagnética y efectos electromagnéticos</w:t>
      </w:r>
    </w:p>
    <w:p w:rsidR="00342499" w:rsidRPr="00803630" w:rsidRDefault="00C27254" w:rsidP="00D969D1">
      <w:pPr>
        <w:pStyle w:val="enumlev1"/>
        <w:rPr>
          <w:lang w:val="es-ES"/>
        </w:rPr>
      </w:pPr>
      <w:r w:rsidRPr="00803630">
        <w:rPr>
          <w:lang w:val="es-ES"/>
        </w:rPr>
        <w:tab/>
      </w:r>
      <w:r w:rsidR="00342499" w:rsidRPr="00803630">
        <w:rPr>
          <w:lang w:val="es-ES"/>
        </w:rPr>
        <w:t>Comisión de Estudio Rectora sobre las TIC y el cambio climático</w:t>
      </w:r>
    </w:p>
    <w:p w:rsidR="007503A8" w:rsidRPr="00803630" w:rsidRDefault="006B14ED" w:rsidP="006B14ED">
      <w:pPr>
        <w:rPr>
          <w:lang w:val="es-ES"/>
        </w:rPr>
      </w:pPr>
      <w:r>
        <w:rPr>
          <w:lang w:val="es-ES"/>
        </w:rPr>
        <w:t>Para más información, véase</w:t>
      </w:r>
      <w:r w:rsidR="00C27254" w:rsidRPr="00803630">
        <w:rPr>
          <w:lang w:val="es-ES"/>
        </w:rPr>
        <w:t xml:space="preserve">: </w:t>
      </w:r>
      <w:hyperlink r:id="rId15" w:history="1">
        <w:r w:rsidR="00C27254" w:rsidRPr="00803630">
          <w:rPr>
            <w:color w:val="0000FF"/>
            <w:u w:val="single"/>
            <w:lang w:val="es-ES"/>
          </w:rPr>
          <w:t>http://itu.int/ITU-T/go/sg5</w:t>
        </w:r>
      </w:hyperlink>
      <w:r w:rsidR="00C27254" w:rsidRPr="00803630">
        <w:rPr>
          <w:lang w:val="es-ES"/>
        </w:rPr>
        <w:t>.</w:t>
      </w:r>
    </w:p>
    <w:p w:rsidR="007503A8" w:rsidRPr="00803630" w:rsidRDefault="007503A8" w:rsidP="00D969D1">
      <w:pPr>
        <w:rPr>
          <w:lang w:val="es-ES"/>
        </w:rPr>
      </w:pPr>
    </w:p>
    <w:p w:rsidR="00EF63CB" w:rsidRPr="00803630" w:rsidRDefault="00EF63CB" w:rsidP="00D969D1">
      <w:pPr>
        <w:rPr>
          <w:lang w:val="es-ES"/>
        </w:rPr>
      </w:pPr>
    </w:p>
    <w:sectPr w:rsidR="00EF63CB" w:rsidRPr="00803630" w:rsidSect="00826D9C">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A4A" w:rsidRDefault="00124A4A">
      <w:r>
        <w:separator/>
      </w:r>
    </w:p>
  </w:endnote>
  <w:endnote w:type="continuationSeparator" w:id="0">
    <w:p w:rsidR="00124A4A" w:rsidRDefault="00124A4A">
      <w:r>
        <w:continuationSeparator/>
      </w:r>
    </w:p>
  </w:endnote>
  <w:endnote w:id="1">
    <w:p w:rsidR="00124A4A" w:rsidRPr="004E2AF7" w:rsidRDefault="00124A4A" w:rsidP="004E2AF7">
      <w:pPr>
        <w:pStyle w:val="EndnoteText"/>
        <w:tabs>
          <w:tab w:val="left" w:pos="284"/>
        </w:tabs>
        <w:rPr>
          <w:lang w:val="fr-CH"/>
        </w:rPr>
      </w:pPr>
      <w:r>
        <w:rPr>
          <w:rStyle w:val="EndnoteReference"/>
        </w:rPr>
        <w:endnoteRef/>
      </w:r>
      <w:r w:rsidRPr="004E2AF7">
        <w:rPr>
          <w:lang w:val="fr-CH"/>
        </w:rPr>
        <w:t xml:space="preserve"> </w:t>
      </w:r>
      <w:r w:rsidR="004E2AF7">
        <w:rPr>
          <w:lang w:val="fr-CH"/>
        </w:rPr>
        <w:tab/>
      </w:r>
      <w:proofErr w:type="spellStart"/>
      <w:r w:rsidR="006B14ED" w:rsidRPr="004E2AF7">
        <w:rPr>
          <w:lang w:val="fr-CH"/>
        </w:rPr>
        <w:t>Véase</w:t>
      </w:r>
      <w:proofErr w:type="spellEnd"/>
      <w:r w:rsidRPr="004E2AF7">
        <w:rPr>
          <w:lang w:val="fr-CH"/>
        </w:rPr>
        <w:t xml:space="preserve"> </w:t>
      </w:r>
      <w:hyperlink r:id="rId1" w:history="1">
        <w:r w:rsidR="006B14ED" w:rsidRPr="004E2AF7">
          <w:rPr>
            <w:rStyle w:val="Hyperlink"/>
            <w:lang w:val="fr-CH"/>
          </w:rPr>
          <w:t>http://www.unhabitat.org/downloads/docs/E_Hot_Cities.pdf</w:t>
        </w:r>
      </w:hyperlink>
      <w:r w:rsidR="006B14ED" w:rsidRPr="004E2AF7">
        <w:rPr>
          <w:lang w:val="fr-CH"/>
        </w:rPr>
        <w:t xml:space="preserve"> </w:t>
      </w:r>
    </w:p>
  </w:endnote>
  <w:endnote w:id="2">
    <w:p w:rsidR="00124A4A" w:rsidRPr="004E2AF7" w:rsidRDefault="00124A4A" w:rsidP="004E2AF7">
      <w:pPr>
        <w:pStyle w:val="EndnoteText"/>
        <w:tabs>
          <w:tab w:val="left" w:pos="284"/>
        </w:tabs>
        <w:rPr>
          <w:lang w:val="fr-CH"/>
        </w:rPr>
      </w:pPr>
      <w:r>
        <w:rPr>
          <w:rStyle w:val="EndnoteReference"/>
        </w:rPr>
        <w:endnoteRef/>
      </w:r>
      <w:r w:rsidRPr="004E2AF7">
        <w:rPr>
          <w:lang w:val="fr-CH"/>
        </w:rPr>
        <w:t xml:space="preserve"> </w:t>
      </w:r>
      <w:r w:rsidR="004E2AF7">
        <w:rPr>
          <w:lang w:val="fr-CH"/>
        </w:rPr>
        <w:tab/>
      </w:r>
      <w:proofErr w:type="spellStart"/>
      <w:r w:rsidR="006B14ED" w:rsidRPr="004E2AF7">
        <w:rPr>
          <w:lang w:val="fr-CH"/>
        </w:rPr>
        <w:t>Véase</w:t>
      </w:r>
      <w:proofErr w:type="spellEnd"/>
      <w:r w:rsidR="006B14ED" w:rsidRPr="004E2AF7">
        <w:rPr>
          <w:lang w:val="fr-CH"/>
        </w:rPr>
        <w:t xml:space="preserve"> </w:t>
      </w:r>
      <w:hyperlink r:id="rId2" w:history="1">
        <w:r w:rsidR="006B14ED" w:rsidRPr="004E2AF7">
          <w:rPr>
            <w:rStyle w:val="Hyperlink"/>
            <w:lang w:val="fr-CH"/>
          </w:rPr>
          <w:t>http://www.un.org/en/sustainablefuture/cities.shtml</w:t>
        </w:r>
      </w:hyperlink>
      <w:r w:rsidR="006B14ED" w:rsidRPr="004E2AF7">
        <w:rPr>
          <w:lang w:val="fr-CH"/>
        </w:rPr>
        <w:t xml:space="preserve"> </w:t>
      </w:r>
    </w:p>
  </w:endnote>
  <w:endnote w:id="3">
    <w:p w:rsidR="00124A4A" w:rsidRPr="004E2AF7" w:rsidRDefault="00124A4A" w:rsidP="004E2AF7">
      <w:pPr>
        <w:pStyle w:val="EndnoteText"/>
        <w:tabs>
          <w:tab w:val="left" w:pos="284"/>
        </w:tabs>
        <w:rPr>
          <w:lang w:val="fr-CH"/>
        </w:rPr>
      </w:pPr>
      <w:r>
        <w:rPr>
          <w:rStyle w:val="EndnoteReference"/>
        </w:rPr>
        <w:endnoteRef/>
      </w:r>
      <w:r w:rsidRPr="004E2AF7">
        <w:rPr>
          <w:lang w:val="fr-CH"/>
        </w:rPr>
        <w:t xml:space="preserve"> </w:t>
      </w:r>
      <w:r w:rsidR="004E2AF7">
        <w:rPr>
          <w:lang w:val="fr-CH"/>
        </w:rPr>
        <w:tab/>
      </w:r>
      <w:proofErr w:type="spellStart"/>
      <w:r w:rsidR="006B14ED" w:rsidRPr="004E2AF7">
        <w:rPr>
          <w:lang w:val="fr-CH"/>
        </w:rPr>
        <w:t>Véase</w:t>
      </w:r>
      <w:proofErr w:type="spellEnd"/>
      <w:r w:rsidRPr="004E2AF7">
        <w:rPr>
          <w:lang w:val="fr-CH"/>
        </w:rPr>
        <w:t xml:space="preserve"> </w:t>
      </w:r>
      <w:hyperlink r:id="rId3" w:history="1">
        <w:r w:rsidRPr="004E2AF7">
          <w:rPr>
            <w:rStyle w:val="Hyperlink"/>
            <w:lang w:val="fr-CH"/>
          </w:rPr>
          <w:t>http://www.unhabitat.org/content.asp?cid=9599&amp;catid=7&amp;typeid=46&amp;subMenuId=0&amp;AllContent=1</w:t>
        </w:r>
      </w:hyperlink>
      <w:r w:rsidRPr="004E2AF7">
        <w:rPr>
          <w:lang w:val="fr-CH"/>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F7" w:rsidRPr="00D277A9" w:rsidRDefault="00D277A9" w:rsidP="00D277A9">
    <w:pPr>
      <w:pStyle w:val="Footer"/>
      <w:rPr>
        <w:lang w:val="fr-CH"/>
      </w:rPr>
    </w:pPr>
    <w:r>
      <w:rPr>
        <w:lang w:val="fr-CH"/>
      </w:rPr>
      <w:t>ITU-T\BUREAU\CIRC\013S.DOC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24A4A" w:rsidRPr="0015039E" w:rsidTr="00CD1782">
      <w:trPr>
        <w:cantSplit/>
      </w:trPr>
      <w:tc>
        <w:tcPr>
          <w:tcW w:w="1062" w:type="pct"/>
          <w:tcBorders>
            <w:top w:val="single" w:sz="6" w:space="0" w:color="auto"/>
          </w:tcBorders>
          <w:tcMar>
            <w:top w:w="57" w:type="dxa"/>
          </w:tcMar>
        </w:tcPr>
        <w:p w:rsidR="00124A4A" w:rsidRDefault="00124A4A" w:rsidP="00CD1782">
          <w:pPr>
            <w:pStyle w:val="itu"/>
          </w:pPr>
          <w:r>
            <w:t>Place des Nations</w:t>
          </w:r>
        </w:p>
      </w:tc>
      <w:tc>
        <w:tcPr>
          <w:tcW w:w="1584" w:type="pct"/>
          <w:tcBorders>
            <w:top w:val="single" w:sz="6" w:space="0" w:color="auto"/>
          </w:tcBorders>
          <w:tcMar>
            <w:top w:w="57" w:type="dxa"/>
          </w:tcMar>
        </w:tcPr>
        <w:p w:rsidR="00124A4A" w:rsidRDefault="00124A4A"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24A4A" w:rsidRDefault="00124A4A"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4A4A" w:rsidRDefault="00124A4A" w:rsidP="00CD1782">
          <w:pPr>
            <w:pStyle w:val="itu"/>
            <w:tabs>
              <w:tab w:val="clear" w:pos="709"/>
              <w:tab w:val="clear" w:pos="1134"/>
              <w:tab w:val="right" w:pos="2012"/>
            </w:tabs>
          </w:pPr>
          <w:proofErr w:type="spellStart"/>
          <w:r>
            <w:t>Correo</w:t>
          </w:r>
          <w:proofErr w:type="spellEnd"/>
          <w:r>
            <w:t>-e:</w:t>
          </w:r>
          <w:r>
            <w:tab/>
            <w:t>itumail@itu.int</w:t>
          </w:r>
        </w:p>
      </w:tc>
    </w:tr>
    <w:tr w:rsidR="00124A4A" w:rsidTr="00CD1782">
      <w:trPr>
        <w:cantSplit/>
      </w:trPr>
      <w:tc>
        <w:tcPr>
          <w:tcW w:w="1062" w:type="pct"/>
        </w:tcPr>
        <w:p w:rsidR="00124A4A" w:rsidRDefault="00124A4A" w:rsidP="00CD1782">
          <w:pPr>
            <w:pStyle w:val="itu"/>
          </w:pPr>
          <w:r>
            <w:t xml:space="preserve">CH-1211 </w:t>
          </w:r>
          <w:proofErr w:type="spellStart"/>
          <w:r>
            <w:t>Ginebra</w:t>
          </w:r>
          <w:proofErr w:type="spellEnd"/>
          <w:r>
            <w:t xml:space="preserve"> 20</w:t>
          </w:r>
        </w:p>
      </w:tc>
      <w:tc>
        <w:tcPr>
          <w:tcW w:w="1584" w:type="pct"/>
        </w:tcPr>
        <w:p w:rsidR="00124A4A" w:rsidRDefault="00124A4A" w:rsidP="00CD1782">
          <w:pPr>
            <w:pStyle w:val="itu"/>
          </w:pPr>
          <w:r>
            <w:t>Telefax</w:t>
          </w:r>
          <w:r>
            <w:tab/>
            <w:t>Gr3:</w:t>
          </w:r>
          <w:r>
            <w:tab/>
            <w:t>+41 22 733 72 56</w:t>
          </w:r>
        </w:p>
      </w:tc>
      <w:tc>
        <w:tcPr>
          <w:tcW w:w="1223" w:type="pct"/>
        </w:tcPr>
        <w:p w:rsidR="00124A4A" w:rsidRDefault="00124A4A" w:rsidP="00CD1782">
          <w:pPr>
            <w:pStyle w:val="itu"/>
          </w:pPr>
          <w:proofErr w:type="spellStart"/>
          <w:r>
            <w:t>Telegrama</w:t>
          </w:r>
          <w:proofErr w:type="spellEnd"/>
          <w:r>
            <w:t xml:space="preserve"> ITU GENEVE</w:t>
          </w:r>
        </w:p>
      </w:tc>
      <w:tc>
        <w:tcPr>
          <w:tcW w:w="1131" w:type="pct"/>
        </w:tcPr>
        <w:p w:rsidR="00124A4A" w:rsidRDefault="00124A4A" w:rsidP="00CD1782">
          <w:pPr>
            <w:pStyle w:val="itu"/>
            <w:tabs>
              <w:tab w:val="clear" w:pos="709"/>
              <w:tab w:val="clear" w:pos="1134"/>
              <w:tab w:val="right" w:pos="2012"/>
            </w:tabs>
          </w:pPr>
          <w:r>
            <w:tab/>
            <w:t>www.itu.int</w:t>
          </w:r>
        </w:p>
      </w:tc>
    </w:tr>
    <w:tr w:rsidR="00124A4A" w:rsidTr="00CD1782">
      <w:trPr>
        <w:cantSplit/>
      </w:trPr>
      <w:tc>
        <w:tcPr>
          <w:tcW w:w="1062" w:type="pct"/>
        </w:tcPr>
        <w:p w:rsidR="00124A4A" w:rsidRDefault="00124A4A" w:rsidP="00CD1782">
          <w:pPr>
            <w:pStyle w:val="itu"/>
          </w:pPr>
          <w:proofErr w:type="spellStart"/>
          <w:r>
            <w:t>Suiza</w:t>
          </w:r>
          <w:proofErr w:type="spellEnd"/>
        </w:p>
      </w:tc>
      <w:tc>
        <w:tcPr>
          <w:tcW w:w="1584" w:type="pct"/>
        </w:tcPr>
        <w:p w:rsidR="00124A4A" w:rsidRDefault="00124A4A" w:rsidP="00CD1782">
          <w:pPr>
            <w:pStyle w:val="itu"/>
          </w:pPr>
          <w:r>
            <w:tab/>
            <w:t>Gr4:</w:t>
          </w:r>
          <w:r>
            <w:tab/>
            <w:t>+41 22 730 65 00</w:t>
          </w:r>
        </w:p>
      </w:tc>
      <w:tc>
        <w:tcPr>
          <w:tcW w:w="1223" w:type="pct"/>
        </w:tcPr>
        <w:p w:rsidR="00124A4A" w:rsidRDefault="00124A4A" w:rsidP="00CD1782">
          <w:pPr>
            <w:pStyle w:val="itu"/>
          </w:pPr>
        </w:p>
      </w:tc>
      <w:tc>
        <w:tcPr>
          <w:tcW w:w="1131" w:type="pct"/>
        </w:tcPr>
        <w:p w:rsidR="00124A4A" w:rsidRDefault="00124A4A" w:rsidP="00CD1782">
          <w:pPr>
            <w:pStyle w:val="itu"/>
            <w:tabs>
              <w:tab w:val="clear" w:pos="709"/>
              <w:tab w:val="clear" w:pos="1134"/>
              <w:tab w:val="right" w:pos="1843"/>
            </w:tabs>
          </w:pPr>
        </w:p>
      </w:tc>
    </w:tr>
  </w:tbl>
  <w:p w:rsidR="00124A4A" w:rsidRDefault="00124A4A"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A4A" w:rsidRDefault="00124A4A">
      <w:r>
        <w:t>____________________</w:t>
      </w:r>
    </w:p>
  </w:footnote>
  <w:footnote w:type="continuationSeparator" w:id="0">
    <w:p w:rsidR="00124A4A" w:rsidRDefault="0012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41411"/>
      <w:docPartObj>
        <w:docPartGallery w:val="Page Numbers (Top of Page)"/>
        <w:docPartUnique/>
      </w:docPartObj>
    </w:sdtPr>
    <w:sdtEndPr>
      <w:rPr>
        <w:noProof/>
        <w:sz w:val="18"/>
        <w:szCs w:val="18"/>
      </w:rPr>
    </w:sdtEndPr>
    <w:sdtContent>
      <w:p w:rsidR="00124A4A" w:rsidRDefault="00124A4A" w:rsidP="004E2AF7">
        <w:pPr>
          <w:pStyle w:val="Header"/>
          <w:rPr>
            <w:noProof/>
            <w:sz w:val="18"/>
            <w:szCs w:val="18"/>
          </w:rPr>
        </w:pP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5039E">
          <w:rPr>
            <w:noProof/>
            <w:sz w:val="18"/>
            <w:szCs w:val="18"/>
          </w:rPr>
          <w:t>4</w:t>
        </w:r>
        <w:r w:rsidRPr="00F5515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516D"/>
    <w:rsid w:val="00025F09"/>
    <w:rsid w:val="000336F9"/>
    <w:rsid w:val="00043D90"/>
    <w:rsid w:val="00045E95"/>
    <w:rsid w:val="00063559"/>
    <w:rsid w:val="000678BB"/>
    <w:rsid w:val="000734DD"/>
    <w:rsid w:val="00080F6C"/>
    <w:rsid w:val="000C375D"/>
    <w:rsid w:val="000C382F"/>
    <w:rsid w:val="000D6A3A"/>
    <w:rsid w:val="000F67AE"/>
    <w:rsid w:val="000F747F"/>
    <w:rsid w:val="00114963"/>
    <w:rsid w:val="001173CC"/>
    <w:rsid w:val="00124A4A"/>
    <w:rsid w:val="00126D02"/>
    <w:rsid w:val="00131E67"/>
    <w:rsid w:val="001344C2"/>
    <w:rsid w:val="00136FC2"/>
    <w:rsid w:val="00141CB4"/>
    <w:rsid w:val="0015039E"/>
    <w:rsid w:val="00150B31"/>
    <w:rsid w:val="001512A2"/>
    <w:rsid w:val="001671BC"/>
    <w:rsid w:val="001704B6"/>
    <w:rsid w:val="00170CD3"/>
    <w:rsid w:val="00196C00"/>
    <w:rsid w:val="001A2905"/>
    <w:rsid w:val="001A54CC"/>
    <w:rsid w:val="001A684E"/>
    <w:rsid w:val="001C0F4E"/>
    <w:rsid w:val="001C2FAD"/>
    <w:rsid w:val="001D1BA9"/>
    <w:rsid w:val="001E0839"/>
    <w:rsid w:val="001E7FB4"/>
    <w:rsid w:val="001F0D48"/>
    <w:rsid w:val="001F46E1"/>
    <w:rsid w:val="002021BB"/>
    <w:rsid w:val="00212668"/>
    <w:rsid w:val="00221C83"/>
    <w:rsid w:val="00257FB4"/>
    <w:rsid w:val="00271D3E"/>
    <w:rsid w:val="0027571F"/>
    <w:rsid w:val="002C1570"/>
    <w:rsid w:val="002C5EF9"/>
    <w:rsid w:val="002D0F6C"/>
    <w:rsid w:val="002D4AAE"/>
    <w:rsid w:val="002F6BA1"/>
    <w:rsid w:val="00303D62"/>
    <w:rsid w:val="00313DBB"/>
    <w:rsid w:val="00322791"/>
    <w:rsid w:val="00324783"/>
    <w:rsid w:val="00327BC9"/>
    <w:rsid w:val="00335367"/>
    <w:rsid w:val="0033768F"/>
    <w:rsid w:val="00340302"/>
    <w:rsid w:val="0034233F"/>
    <w:rsid w:val="00342499"/>
    <w:rsid w:val="003506D9"/>
    <w:rsid w:val="00360A3D"/>
    <w:rsid w:val="00360D76"/>
    <w:rsid w:val="00370C2D"/>
    <w:rsid w:val="00374FDB"/>
    <w:rsid w:val="0039201E"/>
    <w:rsid w:val="003945C8"/>
    <w:rsid w:val="00394F18"/>
    <w:rsid w:val="00396389"/>
    <w:rsid w:val="0039677E"/>
    <w:rsid w:val="003A6986"/>
    <w:rsid w:val="003B4BFC"/>
    <w:rsid w:val="003C00D3"/>
    <w:rsid w:val="003C2ECD"/>
    <w:rsid w:val="003D1E8D"/>
    <w:rsid w:val="003D4DFE"/>
    <w:rsid w:val="003D673B"/>
    <w:rsid w:val="003F0402"/>
    <w:rsid w:val="003F073D"/>
    <w:rsid w:val="003F2855"/>
    <w:rsid w:val="00401C20"/>
    <w:rsid w:val="00402B00"/>
    <w:rsid w:val="00421116"/>
    <w:rsid w:val="00433821"/>
    <w:rsid w:val="00443CE3"/>
    <w:rsid w:val="00450C73"/>
    <w:rsid w:val="0046714A"/>
    <w:rsid w:val="004C1AD1"/>
    <w:rsid w:val="004C4144"/>
    <w:rsid w:val="004E2077"/>
    <w:rsid w:val="004E26E4"/>
    <w:rsid w:val="004E2AF7"/>
    <w:rsid w:val="004F0A81"/>
    <w:rsid w:val="00505119"/>
    <w:rsid w:val="0051132A"/>
    <w:rsid w:val="005267F7"/>
    <w:rsid w:val="00535F99"/>
    <w:rsid w:val="00537B7B"/>
    <w:rsid w:val="00545669"/>
    <w:rsid w:val="00545B76"/>
    <w:rsid w:val="00550ECC"/>
    <w:rsid w:val="00555E45"/>
    <w:rsid w:val="00560EDA"/>
    <w:rsid w:val="00567B54"/>
    <w:rsid w:val="0057186B"/>
    <w:rsid w:val="005807B0"/>
    <w:rsid w:val="00586B1D"/>
    <w:rsid w:val="00587491"/>
    <w:rsid w:val="00597EEE"/>
    <w:rsid w:val="005B4854"/>
    <w:rsid w:val="005B6711"/>
    <w:rsid w:val="005C14B9"/>
    <w:rsid w:val="005C2D8A"/>
    <w:rsid w:val="005C6183"/>
    <w:rsid w:val="005E6DFB"/>
    <w:rsid w:val="005F67E5"/>
    <w:rsid w:val="00607393"/>
    <w:rsid w:val="00615285"/>
    <w:rsid w:val="00621A06"/>
    <w:rsid w:val="00622CE3"/>
    <w:rsid w:val="00635FA2"/>
    <w:rsid w:val="006400E5"/>
    <w:rsid w:val="006437A5"/>
    <w:rsid w:val="00647213"/>
    <w:rsid w:val="00653A0E"/>
    <w:rsid w:val="0067009C"/>
    <w:rsid w:val="006760CF"/>
    <w:rsid w:val="006969B4"/>
    <w:rsid w:val="006A0C05"/>
    <w:rsid w:val="006A335A"/>
    <w:rsid w:val="006A7E8A"/>
    <w:rsid w:val="006B14ED"/>
    <w:rsid w:val="006B5061"/>
    <w:rsid w:val="006E24F0"/>
    <w:rsid w:val="006F21E5"/>
    <w:rsid w:val="006F6581"/>
    <w:rsid w:val="007128A1"/>
    <w:rsid w:val="00715D93"/>
    <w:rsid w:val="00720BA2"/>
    <w:rsid w:val="00736172"/>
    <w:rsid w:val="007503A8"/>
    <w:rsid w:val="007622FC"/>
    <w:rsid w:val="00781E2A"/>
    <w:rsid w:val="007829C9"/>
    <w:rsid w:val="0078778D"/>
    <w:rsid w:val="007A6373"/>
    <w:rsid w:val="007B34FB"/>
    <w:rsid w:val="007D2C8B"/>
    <w:rsid w:val="007D77F1"/>
    <w:rsid w:val="007F018F"/>
    <w:rsid w:val="00803630"/>
    <w:rsid w:val="008134A7"/>
    <w:rsid w:val="00823E22"/>
    <w:rsid w:val="008258C2"/>
    <w:rsid w:val="00826D9C"/>
    <w:rsid w:val="00833CCA"/>
    <w:rsid w:val="00844AE8"/>
    <w:rsid w:val="00846D89"/>
    <w:rsid w:val="008505BD"/>
    <w:rsid w:val="00850C78"/>
    <w:rsid w:val="00855B98"/>
    <w:rsid w:val="00874C5B"/>
    <w:rsid w:val="00886959"/>
    <w:rsid w:val="008C17AD"/>
    <w:rsid w:val="008C68A2"/>
    <w:rsid w:val="008D02CD"/>
    <w:rsid w:val="008F11EC"/>
    <w:rsid w:val="008F29BD"/>
    <w:rsid w:val="0091255A"/>
    <w:rsid w:val="0092198C"/>
    <w:rsid w:val="00934054"/>
    <w:rsid w:val="00935935"/>
    <w:rsid w:val="009501BC"/>
    <w:rsid w:val="0095172A"/>
    <w:rsid w:val="00963CD8"/>
    <w:rsid w:val="00970268"/>
    <w:rsid w:val="00975A06"/>
    <w:rsid w:val="009859EA"/>
    <w:rsid w:val="009D3E5C"/>
    <w:rsid w:val="009D4C42"/>
    <w:rsid w:val="009F0942"/>
    <w:rsid w:val="00A035A9"/>
    <w:rsid w:val="00A107B8"/>
    <w:rsid w:val="00A119A2"/>
    <w:rsid w:val="00A41330"/>
    <w:rsid w:val="00A42718"/>
    <w:rsid w:val="00A4353B"/>
    <w:rsid w:val="00A4661A"/>
    <w:rsid w:val="00A5129C"/>
    <w:rsid w:val="00A54E47"/>
    <w:rsid w:val="00A85283"/>
    <w:rsid w:val="00A96DEA"/>
    <w:rsid w:val="00AA1325"/>
    <w:rsid w:val="00AA30D4"/>
    <w:rsid w:val="00AD1512"/>
    <w:rsid w:val="00AD5D37"/>
    <w:rsid w:val="00AE7093"/>
    <w:rsid w:val="00AF276D"/>
    <w:rsid w:val="00B07A99"/>
    <w:rsid w:val="00B17920"/>
    <w:rsid w:val="00B24F81"/>
    <w:rsid w:val="00B321C3"/>
    <w:rsid w:val="00B422BC"/>
    <w:rsid w:val="00B43F77"/>
    <w:rsid w:val="00B44D9D"/>
    <w:rsid w:val="00B54669"/>
    <w:rsid w:val="00B616C2"/>
    <w:rsid w:val="00B64F51"/>
    <w:rsid w:val="00B90541"/>
    <w:rsid w:val="00B95F0A"/>
    <w:rsid w:val="00B96180"/>
    <w:rsid w:val="00BA3BE1"/>
    <w:rsid w:val="00BB3B2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71699"/>
    <w:rsid w:val="00C717E3"/>
    <w:rsid w:val="00C75F9B"/>
    <w:rsid w:val="00C85847"/>
    <w:rsid w:val="00CA0B83"/>
    <w:rsid w:val="00CA6AB6"/>
    <w:rsid w:val="00CB3300"/>
    <w:rsid w:val="00CC1DE4"/>
    <w:rsid w:val="00CC3768"/>
    <w:rsid w:val="00CD1782"/>
    <w:rsid w:val="00CD18E3"/>
    <w:rsid w:val="00CE0B1C"/>
    <w:rsid w:val="00D027A3"/>
    <w:rsid w:val="00D06E0E"/>
    <w:rsid w:val="00D119EC"/>
    <w:rsid w:val="00D144FD"/>
    <w:rsid w:val="00D277A9"/>
    <w:rsid w:val="00D51DD8"/>
    <w:rsid w:val="00D52111"/>
    <w:rsid w:val="00D75BBB"/>
    <w:rsid w:val="00D8476B"/>
    <w:rsid w:val="00D969D1"/>
    <w:rsid w:val="00DA16FC"/>
    <w:rsid w:val="00DA4805"/>
    <w:rsid w:val="00DA7E46"/>
    <w:rsid w:val="00DB05C0"/>
    <w:rsid w:val="00DB2031"/>
    <w:rsid w:val="00DD4A22"/>
    <w:rsid w:val="00DD77C9"/>
    <w:rsid w:val="00DD7900"/>
    <w:rsid w:val="00DE6275"/>
    <w:rsid w:val="00DF5926"/>
    <w:rsid w:val="00DF61F3"/>
    <w:rsid w:val="00E279D6"/>
    <w:rsid w:val="00E42FDF"/>
    <w:rsid w:val="00E5040E"/>
    <w:rsid w:val="00E764E2"/>
    <w:rsid w:val="00E80841"/>
    <w:rsid w:val="00E81A56"/>
    <w:rsid w:val="00E839B0"/>
    <w:rsid w:val="00E85734"/>
    <w:rsid w:val="00E92C09"/>
    <w:rsid w:val="00EA3374"/>
    <w:rsid w:val="00EA6280"/>
    <w:rsid w:val="00EB4E19"/>
    <w:rsid w:val="00EB70E0"/>
    <w:rsid w:val="00EB7179"/>
    <w:rsid w:val="00EC21BF"/>
    <w:rsid w:val="00EF4FA4"/>
    <w:rsid w:val="00EF63CB"/>
    <w:rsid w:val="00F01A16"/>
    <w:rsid w:val="00F40F4E"/>
    <w:rsid w:val="00F453C5"/>
    <w:rsid w:val="00F55157"/>
    <w:rsid w:val="00F6461F"/>
    <w:rsid w:val="00F708CF"/>
    <w:rsid w:val="00F81188"/>
    <w:rsid w:val="00F8524F"/>
    <w:rsid w:val="00F85832"/>
    <w:rsid w:val="00F904D8"/>
    <w:rsid w:val="00F96ED0"/>
    <w:rsid w:val="00FA3AED"/>
    <w:rsid w:val="00FA4A45"/>
    <w:rsid w:val="00FB1841"/>
    <w:rsid w:val="00FB224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ssc@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TU-T/climatechange/Pages/events-20130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sc" TargetMode="External"/><Relationship Id="rId5" Type="http://schemas.openxmlformats.org/officeDocument/2006/relationships/settings" Target="settings.xml"/><Relationship Id="rId15" Type="http://schemas.openxmlformats.org/officeDocument/2006/relationships/hyperlink" Target="http://itu.int/ITU-T/go/sg5" TargetMode="External"/><Relationship Id="rId10" Type="http://schemas.openxmlformats.org/officeDocument/2006/relationships/hyperlink" Target="mailto:tsbfgssc@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climatechange/Pages/events-201305.asp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unhabitat.org/content.asp?cid=9599&amp;catid=7&amp;typeid=46&amp;subMenuId=0&amp;AllContent=1" TargetMode="External"/><Relationship Id="rId2" Type="http://schemas.openxmlformats.org/officeDocument/2006/relationships/hyperlink" Target="http://www.un.org/en/sustainablefuture/cities.shtml" TargetMode="External"/><Relationship Id="rId1" Type="http://schemas.openxmlformats.org/officeDocument/2006/relationships/hyperlink" Target="http://www.unhabitat.org/downloads/docs/E_Hot_Cit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5C5B-0965-4EB2-8B8D-A9952FEC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89</TotalTime>
  <Pages>9</Pages>
  <Words>2790</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18441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Scott, Sarah</cp:lastModifiedBy>
  <cp:revision>7</cp:revision>
  <cp:lastPrinted>2013-03-12T15:25:00Z</cp:lastPrinted>
  <dcterms:created xsi:type="dcterms:W3CDTF">2013-03-06T10:50:00Z</dcterms:created>
  <dcterms:modified xsi:type="dcterms:W3CDTF">2013-03-12T17:07:00Z</dcterms:modified>
</cp:coreProperties>
</file>