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75" w:rsidRPr="00E713AE" w:rsidRDefault="00AC5975" w:rsidP="00E713AE"/>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560"/>
        <w:gridCol w:w="4866"/>
        <w:gridCol w:w="1371"/>
        <w:gridCol w:w="1984"/>
      </w:tblGrid>
      <w:tr w:rsidR="00D31F60" w:rsidRPr="00CE4067" w:rsidTr="00D31F60">
        <w:trPr>
          <w:cantSplit/>
        </w:trPr>
        <w:tc>
          <w:tcPr>
            <w:tcW w:w="1560" w:type="dxa"/>
            <w:vAlign w:val="center"/>
          </w:tcPr>
          <w:p w:rsidR="00D31F60" w:rsidRPr="00CE4067" w:rsidRDefault="00D31F60" w:rsidP="00D31F60">
            <w:pPr>
              <w:tabs>
                <w:tab w:val="right" w:pos="8732"/>
              </w:tabs>
              <w:spacing w:before="0"/>
              <w:rPr>
                <w:rFonts w:asciiTheme="minorHAnsi" w:hAnsiTheme="minorHAnsi"/>
                <w:b/>
                <w:bCs/>
                <w:iCs/>
                <w:color w:val="FFFFFF"/>
                <w:szCs w:val="24"/>
                <w:lang w:val="fr-CH"/>
              </w:rPr>
            </w:pPr>
            <w:bookmarkStart w:id="0" w:name="ditulogo"/>
            <w:bookmarkEnd w:id="0"/>
            <w:r w:rsidRPr="00CE4067">
              <w:rPr>
                <w:rFonts w:asciiTheme="minorHAnsi" w:hAnsiTheme="minorHAnsi"/>
                <w:noProof/>
                <w:szCs w:val="24"/>
                <w:lang w:val="en-US" w:eastAsia="zh-CN"/>
              </w:rPr>
              <w:drawing>
                <wp:inline distT="0" distB="0" distL="0" distR="0" wp14:anchorId="78A412A2" wp14:editId="496BD942">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237" w:type="dxa"/>
            <w:gridSpan w:val="2"/>
            <w:vAlign w:val="center"/>
          </w:tcPr>
          <w:p w:rsidR="005D0BE6" w:rsidRPr="00173DF2" w:rsidRDefault="005D0BE6" w:rsidP="005D0BE6">
            <w:pPr>
              <w:spacing w:before="0"/>
              <w:rPr>
                <w:rFonts w:asciiTheme="minorHAnsi" w:hAnsiTheme="minorHAnsi" w:cs="Times New Roman Bold"/>
                <w:b/>
                <w:bCs/>
                <w:iCs/>
                <w:smallCaps/>
                <w:sz w:val="34"/>
                <w:szCs w:val="34"/>
                <w:lang w:val="fr-CH"/>
              </w:rPr>
            </w:pPr>
            <w:r w:rsidRPr="00173DF2">
              <w:rPr>
                <w:rFonts w:asciiTheme="minorHAnsi" w:hAnsiTheme="minorHAnsi" w:cs="Times New Roman Bold"/>
                <w:b/>
                <w:bCs/>
                <w:iCs/>
                <w:smallCaps/>
                <w:sz w:val="34"/>
                <w:szCs w:val="34"/>
                <w:lang w:val="fr-CH"/>
              </w:rPr>
              <w:t>Union internationale des télécommunications</w:t>
            </w:r>
          </w:p>
          <w:p w:rsidR="00D31F60" w:rsidRPr="00173DF2" w:rsidRDefault="005D0BE6" w:rsidP="005D0BE6">
            <w:pPr>
              <w:tabs>
                <w:tab w:val="right" w:pos="8732"/>
              </w:tabs>
              <w:spacing w:before="0"/>
              <w:rPr>
                <w:rFonts w:asciiTheme="minorHAnsi" w:hAnsiTheme="minorHAnsi"/>
                <w:b/>
                <w:bCs/>
                <w:iCs/>
                <w:color w:val="FFFFFF"/>
                <w:sz w:val="28"/>
                <w:szCs w:val="28"/>
                <w:lang w:val="fr-CH"/>
              </w:rPr>
            </w:pPr>
            <w:r w:rsidRPr="00173DF2">
              <w:rPr>
                <w:rFonts w:asciiTheme="minorHAnsi" w:hAnsiTheme="minorHAnsi" w:cs="Times New Roman Bold"/>
                <w:b/>
                <w:bCs/>
                <w:iCs/>
                <w:smallCaps/>
                <w:sz w:val="28"/>
                <w:szCs w:val="28"/>
                <w:lang w:val="fr-CH"/>
              </w:rPr>
              <w:t>B</w:t>
            </w:r>
            <w:r w:rsidRPr="00173DF2">
              <w:rPr>
                <w:rFonts w:asciiTheme="minorHAnsi" w:hAnsiTheme="minorHAnsi"/>
                <w:b/>
                <w:bCs/>
                <w:iCs/>
                <w:smallCaps/>
                <w:sz w:val="28"/>
                <w:szCs w:val="28"/>
              </w:rPr>
              <w:t>ureau de la Normalisation des Télécommunications</w:t>
            </w:r>
          </w:p>
        </w:tc>
        <w:tc>
          <w:tcPr>
            <w:tcW w:w="1984" w:type="dxa"/>
            <w:vAlign w:val="center"/>
          </w:tcPr>
          <w:p w:rsidR="00D31F60" w:rsidRPr="00CE4067" w:rsidRDefault="00D31F60" w:rsidP="00D31F60">
            <w:pPr>
              <w:spacing w:before="0"/>
              <w:jc w:val="right"/>
              <w:rPr>
                <w:rFonts w:asciiTheme="minorHAnsi" w:hAnsiTheme="minorHAnsi"/>
                <w:color w:val="FFFFFF"/>
                <w:szCs w:val="24"/>
              </w:rPr>
            </w:pPr>
            <w:r w:rsidRPr="00CE4067">
              <w:rPr>
                <w:rFonts w:asciiTheme="minorHAnsi" w:hAnsiTheme="minorHAnsi"/>
                <w:noProof/>
                <w:szCs w:val="24"/>
                <w:lang w:val="en-US" w:eastAsia="zh-CN"/>
              </w:rPr>
              <w:drawing>
                <wp:inline distT="0" distB="0" distL="0" distR="0" wp14:anchorId="22DADACC" wp14:editId="4108958F">
                  <wp:extent cx="1247775" cy="935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D31F60" w:rsidRPr="00CE4067" w:rsidTr="00E77BEC">
        <w:trPr>
          <w:cantSplit/>
        </w:trPr>
        <w:tc>
          <w:tcPr>
            <w:tcW w:w="6426" w:type="dxa"/>
            <w:gridSpan w:val="2"/>
            <w:vAlign w:val="center"/>
          </w:tcPr>
          <w:p w:rsidR="00D31F60" w:rsidRPr="00CE4067" w:rsidRDefault="00D31F60" w:rsidP="00D31F60">
            <w:pPr>
              <w:tabs>
                <w:tab w:val="right" w:pos="8732"/>
              </w:tabs>
              <w:spacing w:before="0"/>
              <w:rPr>
                <w:rFonts w:asciiTheme="minorHAnsi" w:hAnsiTheme="minorHAnsi"/>
                <w:b/>
                <w:bCs/>
                <w:iCs/>
                <w:szCs w:val="24"/>
              </w:rPr>
            </w:pPr>
          </w:p>
        </w:tc>
        <w:tc>
          <w:tcPr>
            <w:tcW w:w="3355" w:type="dxa"/>
            <w:gridSpan w:val="2"/>
            <w:vAlign w:val="center"/>
          </w:tcPr>
          <w:p w:rsidR="00D31F60" w:rsidRPr="00CE4067" w:rsidRDefault="00D31F60" w:rsidP="00D31F60">
            <w:pPr>
              <w:spacing w:before="0"/>
              <w:ind w:left="993" w:hanging="993"/>
              <w:jc w:val="right"/>
              <w:rPr>
                <w:rFonts w:asciiTheme="minorHAnsi" w:hAnsiTheme="minorHAnsi"/>
                <w:szCs w:val="24"/>
              </w:rPr>
            </w:pPr>
          </w:p>
        </w:tc>
      </w:tr>
    </w:tbl>
    <w:p w:rsidR="00AC5975" w:rsidRPr="00CE4067" w:rsidRDefault="00AC5975" w:rsidP="00C17596">
      <w:pPr>
        <w:tabs>
          <w:tab w:val="clear" w:pos="794"/>
          <w:tab w:val="clear" w:pos="1191"/>
          <w:tab w:val="clear" w:pos="1588"/>
          <w:tab w:val="clear" w:pos="1985"/>
          <w:tab w:val="left" w:pos="4962"/>
        </w:tabs>
        <w:rPr>
          <w:rFonts w:asciiTheme="minorHAnsi" w:hAnsiTheme="minorHAnsi"/>
          <w:szCs w:val="24"/>
        </w:rPr>
      </w:pPr>
      <w:r w:rsidRPr="00CE4067">
        <w:rPr>
          <w:rFonts w:asciiTheme="minorHAnsi" w:hAnsiTheme="minorHAnsi"/>
          <w:szCs w:val="24"/>
        </w:rPr>
        <w:tab/>
        <w:t>Genève, le</w:t>
      </w:r>
      <w:r w:rsidR="00CE4067" w:rsidRPr="00CE4067">
        <w:rPr>
          <w:rFonts w:asciiTheme="minorHAnsi" w:hAnsiTheme="minorHAnsi"/>
          <w:szCs w:val="24"/>
        </w:rPr>
        <w:t xml:space="preserve"> 29 janvier 2015</w:t>
      </w:r>
    </w:p>
    <w:p w:rsidR="00AC5975" w:rsidRPr="00E713AE" w:rsidRDefault="00AC5975" w:rsidP="00E713AE"/>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E713AE" w:rsidRPr="00CE4067" w:rsidTr="00E713AE">
        <w:trPr>
          <w:cantSplit/>
          <w:trHeight w:val="1025"/>
        </w:trPr>
        <w:tc>
          <w:tcPr>
            <w:tcW w:w="822" w:type="dxa"/>
          </w:tcPr>
          <w:p w:rsidR="00E713AE" w:rsidRPr="00CE4067" w:rsidRDefault="00E713AE" w:rsidP="00C17596">
            <w:pPr>
              <w:tabs>
                <w:tab w:val="left" w:pos="4111"/>
              </w:tabs>
              <w:spacing w:before="10"/>
              <w:ind w:left="57"/>
              <w:rPr>
                <w:rFonts w:asciiTheme="minorHAnsi" w:hAnsiTheme="minorHAnsi"/>
                <w:szCs w:val="24"/>
              </w:rPr>
            </w:pPr>
            <w:r w:rsidRPr="00CE4067">
              <w:rPr>
                <w:rFonts w:asciiTheme="minorHAnsi" w:hAnsiTheme="minorHAnsi"/>
                <w:szCs w:val="24"/>
              </w:rPr>
              <w:t>Réf.:</w:t>
            </w:r>
          </w:p>
        </w:tc>
        <w:tc>
          <w:tcPr>
            <w:tcW w:w="4055" w:type="dxa"/>
          </w:tcPr>
          <w:p w:rsidR="00E713AE" w:rsidRPr="00CE4067" w:rsidRDefault="00E713AE" w:rsidP="00C17596">
            <w:pPr>
              <w:tabs>
                <w:tab w:val="left" w:pos="4111"/>
              </w:tabs>
              <w:spacing w:before="0"/>
              <w:ind w:left="57"/>
              <w:rPr>
                <w:rFonts w:asciiTheme="minorHAnsi" w:hAnsiTheme="minorHAnsi"/>
                <w:b/>
                <w:szCs w:val="24"/>
                <w:lang w:val="fr-CH"/>
              </w:rPr>
            </w:pPr>
            <w:r w:rsidRPr="00CE4067">
              <w:rPr>
                <w:rFonts w:asciiTheme="minorHAnsi" w:hAnsiTheme="minorHAnsi"/>
                <w:b/>
                <w:szCs w:val="24"/>
                <w:lang w:val="fr-CH"/>
              </w:rPr>
              <w:t xml:space="preserve">Addendum 1 à la </w:t>
            </w:r>
            <w:r w:rsidRPr="00CE4067">
              <w:rPr>
                <w:rFonts w:asciiTheme="minorHAnsi" w:hAnsiTheme="minorHAnsi"/>
                <w:b/>
                <w:szCs w:val="24"/>
                <w:lang w:val="fr-CH"/>
              </w:rPr>
              <w:br/>
              <w:t>Lettre collective TSB 5/17</w:t>
            </w:r>
          </w:p>
          <w:p w:rsidR="00E713AE" w:rsidRPr="00CE4067" w:rsidRDefault="00E713AE" w:rsidP="00C17596">
            <w:pPr>
              <w:tabs>
                <w:tab w:val="left" w:pos="4111"/>
              </w:tabs>
              <w:spacing w:before="0"/>
              <w:ind w:left="57"/>
              <w:rPr>
                <w:rFonts w:asciiTheme="minorHAnsi" w:hAnsiTheme="minorHAnsi"/>
                <w:b/>
                <w:szCs w:val="24"/>
              </w:rPr>
            </w:pPr>
          </w:p>
        </w:tc>
        <w:tc>
          <w:tcPr>
            <w:tcW w:w="4762" w:type="dxa"/>
            <w:gridSpan w:val="2"/>
            <w:vMerge w:val="restart"/>
          </w:tcPr>
          <w:p w:rsidR="00E713AE" w:rsidRPr="00CE4067" w:rsidRDefault="00E713AE" w:rsidP="00E713AE">
            <w:pPr>
              <w:tabs>
                <w:tab w:val="clear" w:pos="794"/>
                <w:tab w:val="clear" w:pos="1191"/>
                <w:tab w:val="clear" w:pos="1588"/>
                <w:tab w:val="clear" w:pos="1985"/>
              </w:tabs>
              <w:spacing w:before="0"/>
              <w:ind w:left="226" w:hanging="169"/>
              <w:rPr>
                <w:rFonts w:asciiTheme="minorHAnsi" w:hAnsiTheme="minorHAnsi"/>
                <w:szCs w:val="24"/>
                <w:lang w:val="fr-CH"/>
              </w:rPr>
            </w:pPr>
            <w:r w:rsidRPr="00CE4067">
              <w:rPr>
                <w:rFonts w:asciiTheme="minorHAnsi" w:hAnsiTheme="minorHAnsi"/>
                <w:szCs w:val="24"/>
                <w:lang w:val="fr-CH"/>
              </w:rPr>
              <w:t>–</w:t>
            </w:r>
            <w:r w:rsidRPr="00CE4067">
              <w:rPr>
                <w:rFonts w:asciiTheme="minorHAnsi" w:hAnsiTheme="minorHAnsi"/>
                <w:szCs w:val="24"/>
                <w:lang w:val="fr-CH"/>
              </w:rPr>
              <w:tab/>
              <w:t>Aux admin</w:t>
            </w:r>
            <w:r>
              <w:rPr>
                <w:rFonts w:asciiTheme="minorHAnsi" w:hAnsiTheme="minorHAnsi"/>
                <w:szCs w:val="24"/>
                <w:lang w:val="fr-CH"/>
              </w:rPr>
              <w:t>istrations des Etats Membres de </w:t>
            </w:r>
            <w:r w:rsidRPr="00CE4067">
              <w:rPr>
                <w:rFonts w:asciiTheme="minorHAnsi" w:hAnsiTheme="minorHAnsi"/>
                <w:szCs w:val="24"/>
                <w:lang w:val="fr-CH"/>
              </w:rPr>
              <w:t xml:space="preserve">l'Union; </w:t>
            </w:r>
          </w:p>
          <w:p w:rsidR="00E713AE" w:rsidRPr="00CE4067" w:rsidRDefault="00E713AE" w:rsidP="00E713AE">
            <w:pPr>
              <w:tabs>
                <w:tab w:val="clear" w:pos="794"/>
                <w:tab w:val="clear" w:pos="1191"/>
                <w:tab w:val="clear" w:pos="1588"/>
                <w:tab w:val="clear" w:pos="1985"/>
              </w:tabs>
              <w:spacing w:before="0"/>
              <w:ind w:left="226" w:hanging="169"/>
              <w:rPr>
                <w:rFonts w:asciiTheme="minorHAnsi" w:hAnsiTheme="minorHAnsi"/>
                <w:szCs w:val="24"/>
                <w:lang w:val="fr-CH"/>
              </w:rPr>
            </w:pPr>
            <w:r w:rsidRPr="00CE4067">
              <w:rPr>
                <w:rFonts w:asciiTheme="minorHAnsi" w:hAnsiTheme="minorHAnsi"/>
                <w:szCs w:val="24"/>
                <w:lang w:val="fr-CH"/>
              </w:rPr>
              <w:t>–</w:t>
            </w:r>
            <w:r w:rsidRPr="00CE4067">
              <w:rPr>
                <w:rFonts w:asciiTheme="minorHAnsi" w:hAnsiTheme="minorHAnsi"/>
                <w:szCs w:val="24"/>
                <w:lang w:val="fr-CH"/>
              </w:rPr>
              <w:tab/>
              <w:t xml:space="preserve">aux Membres du Secteur UIT-T; </w:t>
            </w:r>
          </w:p>
          <w:p w:rsidR="00E713AE" w:rsidRDefault="00E713AE" w:rsidP="00E713AE">
            <w:pPr>
              <w:tabs>
                <w:tab w:val="clear" w:pos="794"/>
                <w:tab w:val="clear" w:pos="1191"/>
                <w:tab w:val="clear" w:pos="1588"/>
                <w:tab w:val="clear" w:pos="1985"/>
              </w:tabs>
              <w:spacing w:before="0"/>
              <w:ind w:left="226" w:hanging="169"/>
              <w:rPr>
                <w:rFonts w:asciiTheme="minorHAnsi" w:hAnsiTheme="minorHAnsi"/>
                <w:szCs w:val="24"/>
                <w:lang w:val="fr-CH"/>
              </w:rPr>
            </w:pPr>
            <w:r w:rsidRPr="00CE4067">
              <w:rPr>
                <w:rFonts w:asciiTheme="minorHAnsi" w:hAnsiTheme="minorHAnsi"/>
                <w:szCs w:val="24"/>
                <w:lang w:val="fr-CH"/>
              </w:rPr>
              <w:t>–</w:t>
            </w:r>
            <w:r w:rsidRPr="00CE4067">
              <w:rPr>
                <w:rFonts w:asciiTheme="minorHAnsi" w:hAnsiTheme="minorHAnsi"/>
                <w:szCs w:val="24"/>
                <w:lang w:val="fr-CH"/>
              </w:rPr>
              <w:tab/>
              <w:t>aux Associés de l'UIT-T participant aux travaux de la Commission d'études 17;</w:t>
            </w:r>
          </w:p>
          <w:p w:rsidR="00E713AE" w:rsidRPr="00CE4067" w:rsidRDefault="00E713AE" w:rsidP="00E713AE">
            <w:pPr>
              <w:tabs>
                <w:tab w:val="clear" w:pos="794"/>
                <w:tab w:val="clear" w:pos="1191"/>
                <w:tab w:val="clear" w:pos="1588"/>
                <w:tab w:val="clear" w:pos="1985"/>
              </w:tabs>
              <w:spacing w:before="0"/>
              <w:ind w:left="226" w:hanging="169"/>
              <w:rPr>
                <w:rFonts w:asciiTheme="minorHAnsi" w:hAnsiTheme="minorHAnsi"/>
                <w:b/>
                <w:szCs w:val="24"/>
              </w:rPr>
            </w:pPr>
            <w:r w:rsidRPr="00E713AE">
              <w:rPr>
                <w:rFonts w:asciiTheme="minorHAnsi" w:hAnsiTheme="minorHAnsi"/>
                <w:szCs w:val="24"/>
                <w:lang w:val="fr-CH"/>
              </w:rPr>
              <w:t>–</w:t>
            </w:r>
            <w:r>
              <w:rPr>
                <w:rFonts w:asciiTheme="minorHAnsi" w:hAnsiTheme="minorHAnsi"/>
                <w:szCs w:val="24"/>
                <w:lang w:val="fr-CH"/>
              </w:rPr>
              <w:tab/>
            </w:r>
            <w:r w:rsidRPr="00CE4067">
              <w:rPr>
                <w:rFonts w:asciiTheme="minorHAnsi" w:hAnsiTheme="minorHAnsi"/>
                <w:szCs w:val="24"/>
                <w:lang w:val="fr-CH"/>
              </w:rPr>
              <w:t>aux établissements universitaires participant aux travaux de l'UIT-T</w:t>
            </w:r>
          </w:p>
        </w:tc>
      </w:tr>
      <w:tr w:rsidR="00E713AE" w:rsidRPr="00CE4067" w:rsidTr="00E77BEC">
        <w:trPr>
          <w:cantSplit/>
          <w:trHeight w:val="1025"/>
        </w:trPr>
        <w:tc>
          <w:tcPr>
            <w:tcW w:w="822" w:type="dxa"/>
          </w:tcPr>
          <w:p w:rsidR="00E713AE" w:rsidRPr="00CE4067" w:rsidRDefault="00E713AE" w:rsidP="00E713AE">
            <w:pPr>
              <w:tabs>
                <w:tab w:val="left" w:pos="4111"/>
              </w:tabs>
              <w:spacing w:before="10"/>
              <w:ind w:left="57"/>
              <w:rPr>
                <w:rFonts w:asciiTheme="minorHAnsi" w:hAnsiTheme="minorHAnsi"/>
                <w:szCs w:val="24"/>
              </w:rPr>
            </w:pPr>
            <w:r w:rsidRPr="00CE4067">
              <w:rPr>
                <w:rFonts w:asciiTheme="minorHAnsi" w:hAnsiTheme="minorHAnsi"/>
                <w:szCs w:val="24"/>
              </w:rPr>
              <w:t>Tél.:</w:t>
            </w:r>
            <w:r>
              <w:rPr>
                <w:rFonts w:asciiTheme="minorHAnsi" w:hAnsiTheme="minorHAnsi"/>
                <w:szCs w:val="24"/>
              </w:rPr>
              <w:br/>
            </w:r>
            <w:r w:rsidRPr="00CE4067">
              <w:rPr>
                <w:rFonts w:asciiTheme="minorHAnsi" w:hAnsiTheme="minorHAnsi"/>
                <w:szCs w:val="24"/>
              </w:rPr>
              <w:t>Fax:</w:t>
            </w:r>
            <w:r w:rsidRPr="00CE4067">
              <w:rPr>
                <w:rFonts w:asciiTheme="minorHAnsi" w:hAnsiTheme="minorHAnsi"/>
                <w:szCs w:val="24"/>
              </w:rPr>
              <w:br/>
              <w:t>E-mail:</w:t>
            </w:r>
          </w:p>
        </w:tc>
        <w:tc>
          <w:tcPr>
            <w:tcW w:w="4055" w:type="dxa"/>
          </w:tcPr>
          <w:p w:rsidR="00E713AE" w:rsidRPr="00CE4067" w:rsidRDefault="00E713AE" w:rsidP="00E713AE">
            <w:pPr>
              <w:tabs>
                <w:tab w:val="left" w:pos="4111"/>
              </w:tabs>
              <w:spacing w:before="0"/>
              <w:ind w:left="57"/>
              <w:rPr>
                <w:rFonts w:asciiTheme="minorHAnsi" w:hAnsiTheme="minorHAnsi"/>
                <w:szCs w:val="24"/>
              </w:rPr>
            </w:pPr>
            <w:r w:rsidRPr="00CE4067">
              <w:rPr>
                <w:rFonts w:asciiTheme="minorHAnsi" w:hAnsiTheme="minorHAnsi"/>
                <w:szCs w:val="24"/>
              </w:rPr>
              <w:t xml:space="preserve">+41 22 730 </w:t>
            </w:r>
            <w:proofErr w:type="gramStart"/>
            <w:r w:rsidRPr="00CE4067">
              <w:rPr>
                <w:rFonts w:asciiTheme="minorHAnsi" w:hAnsiTheme="minorHAnsi"/>
                <w:szCs w:val="24"/>
              </w:rPr>
              <w:t>5866</w:t>
            </w:r>
            <w:r>
              <w:rPr>
                <w:rFonts w:asciiTheme="minorHAnsi" w:hAnsiTheme="minorHAnsi"/>
                <w:szCs w:val="24"/>
              </w:rPr>
              <w:br/>
            </w:r>
            <w:r w:rsidRPr="00CE4067">
              <w:rPr>
                <w:rFonts w:asciiTheme="minorHAnsi" w:hAnsiTheme="minorHAnsi"/>
                <w:szCs w:val="24"/>
              </w:rPr>
              <w:t>+41 22 730 5853</w:t>
            </w:r>
            <w:r w:rsidRPr="00CE4067">
              <w:rPr>
                <w:rFonts w:asciiTheme="minorHAnsi" w:hAnsiTheme="minorHAnsi"/>
                <w:szCs w:val="24"/>
              </w:rPr>
              <w:br/>
            </w:r>
            <w:hyperlink r:id="rId10" w:history="1">
              <w:r w:rsidRPr="00CE4067">
                <w:rPr>
                  <w:rStyle w:val="Hyperlink"/>
                  <w:rFonts w:asciiTheme="minorHAnsi" w:hAnsiTheme="minorHAnsi"/>
                  <w:szCs w:val="22"/>
                </w:rPr>
                <w:t>tsbsg17@itu.int</w:t>
              </w:r>
              <w:proofErr w:type="gramEnd"/>
            </w:hyperlink>
          </w:p>
        </w:tc>
        <w:tc>
          <w:tcPr>
            <w:tcW w:w="4762" w:type="dxa"/>
            <w:gridSpan w:val="2"/>
            <w:vMerge/>
          </w:tcPr>
          <w:p w:rsidR="00E713AE" w:rsidRPr="00CE4067" w:rsidRDefault="00E713AE" w:rsidP="00E713AE">
            <w:pPr>
              <w:tabs>
                <w:tab w:val="clear" w:pos="794"/>
                <w:tab w:val="clear" w:pos="1191"/>
                <w:tab w:val="clear" w:pos="1588"/>
                <w:tab w:val="clear" w:pos="1985"/>
              </w:tabs>
              <w:spacing w:before="0"/>
              <w:ind w:left="226" w:hanging="169"/>
              <w:rPr>
                <w:rFonts w:asciiTheme="minorHAnsi" w:hAnsiTheme="minorHAnsi"/>
                <w:szCs w:val="24"/>
                <w:lang w:val="fr-CH"/>
              </w:rPr>
            </w:pPr>
          </w:p>
        </w:tc>
      </w:tr>
      <w:tr w:rsidR="00AC5975" w:rsidRPr="00CE4067" w:rsidTr="00A40FAD">
        <w:trPr>
          <w:gridAfter w:val="1"/>
          <w:wAfter w:w="8" w:type="dxa"/>
          <w:cantSplit/>
        </w:trPr>
        <w:tc>
          <w:tcPr>
            <w:tcW w:w="822" w:type="dxa"/>
          </w:tcPr>
          <w:p w:rsidR="00AC5975" w:rsidRPr="00CE4067" w:rsidRDefault="00AC5975" w:rsidP="00CE4067">
            <w:pPr>
              <w:tabs>
                <w:tab w:val="left" w:pos="4111"/>
              </w:tabs>
              <w:spacing w:before="240"/>
              <w:ind w:left="57"/>
              <w:rPr>
                <w:rFonts w:asciiTheme="minorHAnsi" w:hAnsiTheme="minorHAnsi"/>
                <w:szCs w:val="24"/>
              </w:rPr>
            </w:pPr>
            <w:r w:rsidRPr="00CE4067">
              <w:rPr>
                <w:rFonts w:asciiTheme="minorHAnsi" w:hAnsiTheme="minorHAnsi"/>
                <w:szCs w:val="24"/>
              </w:rPr>
              <w:t>Objet:</w:t>
            </w:r>
          </w:p>
        </w:tc>
        <w:tc>
          <w:tcPr>
            <w:tcW w:w="8809" w:type="dxa"/>
            <w:gridSpan w:val="2"/>
          </w:tcPr>
          <w:p w:rsidR="00AC5975" w:rsidRPr="00CE4067" w:rsidRDefault="00CE4067" w:rsidP="00CE4067">
            <w:pPr>
              <w:tabs>
                <w:tab w:val="left" w:pos="4111"/>
              </w:tabs>
              <w:spacing w:before="240"/>
              <w:ind w:left="57"/>
              <w:rPr>
                <w:rFonts w:asciiTheme="minorHAnsi" w:hAnsiTheme="minorHAnsi"/>
                <w:szCs w:val="24"/>
              </w:rPr>
            </w:pPr>
            <w:r w:rsidRPr="00CE4067">
              <w:rPr>
                <w:rFonts w:asciiTheme="minorHAnsi" w:hAnsiTheme="minorHAnsi"/>
                <w:b/>
                <w:bCs/>
                <w:szCs w:val="24"/>
                <w:lang w:val="fr-CH"/>
              </w:rPr>
              <w:t>Réunion de la Commission d'études 17</w:t>
            </w:r>
            <w:r w:rsidR="00E713AE">
              <w:rPr>
                <w:rFonts w:asciiTheme="minorHAnsi" w:hAnsiTheme="minorHAnsi"/>
                <w:b/>
                <w:bCs/>
                <w:szCs w:val="24"/>
                <w:lang w:val="fr-CH"/>
              </w:rPr>
              <w:t xml:space="preserve">; </w:t>
            </w:r>
            <w:r w:rsidRPr="00CE4067">
              <w:rPr>
                <w:rFonts w:asciiTheme="minorHAnsi" w:hAnsiTheme="minorHAnsi"/>
                <w:b/>
                <w:bCs/>
                <w:szCs w:val="24"/>
                <w:lang w:val="fr-CH"/>
              </w:rPr>
              <w:t>Genève,</w:t>
            </w:r>
            <w:r w:rsidRPr="00CE4067">
              <w:rPr>
                <w:rFonts w:asciiTheme="minorHAnsi" w:hAnsiTheme="minorHAnsi"/>
                <w:szCs w:val="24"/>
                <w:lang w:val="fr-CH"/>
              </w:rPr>
              <w:t xml:space="preserve"> </w:t>
            </w:r>
            <w:r w:rsidRPr="00CE4067">
              <w:rPr>
                <w:rFonts w:asciiTheme="minorHAnsi" w:hAnsiTheme="minorHAnsi"/>
                <w:b/>
                <w:bCs/>
                <w:szCs w:val="24"/>
                <w:lang w:val="fr-CH"/>
              </w:rPr>
              <w:t>8-17 avril 2015</w:t>
            </w:r>
          </w:p>
        </w:tc>
      </w:tr>
    </w:tbl>
    <w:p w:rsidR="00CE4067" w:rsidRPr="00CE4067" w:rsidRDefault="00CE4067" w:rsidP="00E713AE">
      <w:pPr>
        <w:pStyle w:val="ITUintr"/>
        <w:tabs>
          <w:tab w:val="clear" w:pos="737"/>
          <w:tab w:val="clear" w:pos="1134"/>
          <w:tab w:val="left" w:pos="794"/>
        </w:tabs>
        <w:spacing w:before="360" w:after="0"/>
        <w:ind w:right="91"/>
        <w:rPr>
          <w:rFonts w:asciiTheme="minorHAnsi" w:hAnsiTheme="minorHAnsi"/>
          <w:sz w:val="24"/>
          <w:szCs w:val="24"/>
          <w:lang w:val="fr-CH"/>
        </w:rPr>
      </w:pPr>
      <w:r w:rsidRPr="00CE4067">
        <w:rPr>
          <w:rFonts w:asciiTheme="minorHAnsi" w:hAnsiTheme="minorHAnsi"/>
          <w:sz w:val="24"/>
          <w:szCs w:val="24"/>
          <w:lang w:val="fr-CH"/>
        </w:rPr>
        <w:t>Madame, Monsieur,</w:t>
      </w:r>
    </w:p>
    <w:p w:rsidR="00CE4067" w:rsidRPr="00CE4067" w:rsidRDefault="00CE4067" w:rsidP="00CE4067">
      <w:pPr>
        <w:rPr>
          <w:rFonts w:asciiTheme="minorHAnsi" w:hAnsiTheme="minorHAnsi"/>
          <w:szCs w:val="24"/>
          <w:lang w:val="fr-CH"/>
        </w:rPr>
      </w:pPr>
      <w:bookmarkStart w:id="1" w:name="suitetext"/>
      <w:bookmarkEnd w:id="1"/>
      <w:r w:rsidRPr="00CE4067">
        <w:rPr>
          <w:rFonts w:asciiTheme="minorHAnsi" w:hAnsiTheme="minorHAnsi"/>
          <w:szCs w:val="24"/>
          <w:lang w:val="fr-CH"/>
        </w:rPr>
        <w:t>Les deux textes à l'étude ci-après relevant de la procédure AAP ont fait l'objet d'observations pendant la période du dernier appel et seront soumis pour examen à la réunion de la Commission d'études 17 qui aura lieu à Genève du 8 au 17 avril 2015:</w:t>
      </w:r>
    </w:p>
    <w:p w:rsidR="00CE4067" w:rsidRPr="00CE4067" w:rsidRDefault="00CE4067" w:rsidP="00E713AE">
      <w:pPr>
        <w:pStyle w:val="enumlev1"/>
        <w:spacing w:before="240"/>
        <w:rPr>
          <w:rFonts w:asciiTheme="minorHAnsi" w:hAnsiTheme="minorHAnsi"/>
          <w:i/>
          <w:iCs/>
          <w:lang w:val="fr-CH"/>
        </w:rPr>
      </w:pPr>
      <w:r w:rsidRPr="00CE4067">
        <w:rPr>
          <w:rFonts w:asciiTheme="minorHAnsi" w:hAnsiTheme="minorHAnsi"/>
          <w:b/>
          <w:bCs/>
          <w:lang w:val="fr-CH"/>
        </w:rPr>
        <w:t>1)</w:t>
      </w:r>
      <w:r w:rsidRPr="00CE4067">
        <w:rPr>
          <w:rFonts w:asciiTheme="minorHAnsi" w:hAnsiTheme="minorHAnsi"/>
          <w:b/>
          <w:bCs/>
          <w:lang w:val="fr-CH"/>
        </w:rPr>
        <w:tab/>
        <w:t>Projet de nouvelle Recommandation UIT-T X.1341 (X.cmail)</w:t>
      </w:r>
      <w:r w:rsidRPr="00CE4067">
        <w:rPr>
          <w:rFonts w:asciiTheme="minorHAnsi" w:hAnsiTheme="minorHAnsi"/>
          <w:lang w:val="fr-CH"/>
        </w:rPr>
        <w:t>,</w:t>
      </w:r>
      <w:r w:rsidRPr="00CE4067">
        <w:rPr>
          <w:rFonts w:asciiTheme="minorHAnsi" w:hAnsiTheme="minorHAnsi"/>
          <w:b/>
          <w:bCs/>
          <w:lang w:val="fr-CH"/>
        </w:rPr>
        <w:t xml:space="preserve"> </w:t>
      </w:r>
      <w:r w:rsidRPr="00CE4067">
        <w:rPr>
          <w:rFonts w:asciiTheme="minorHAnsi" w:hAnsiTheme="minorHAnsi"/>
          <w:i/>
          <w:iCs/>
          <w:lang w:val="fr-CH"/>
        </w:rPr>
        <w:t>Protocoles de transport de courrier certifié et de bureau de poste certifié</w:t>
      </w:r>
    </w:p>
    <w:p w:rsidR="00CE4067" w:rsidRPr="00CE4067" w:rsidRDefault="00CE4067" w:rsidP="00CE4067">
      <w:pPr>
        <w:pStyle w:val="enumlev1"/>
        <w:spacing w:before="120"/>
        <w:rPr>
          <w:rFonts w:asciiTheme="minorHAnsi" w:hAnsiTheme="minorHAnsi"/>
          <w:lang w:val="fr-CH"/>
        </w:rPr>
      </w:pPr>
      <w:r w:rsidRPr="00CE4067">
        <w:rPr>
          <w:rFonts w:asciiTheme="minorHAnsi" w:hAnsiTheme="minorHAnsi"/>
          <w:lang w:val="fr-CH"/>
        </w:rPr>
        <w:tab/>
      </w:r>
      <w:r w:rsidRPr="00CE4067">
        <w:rPr>
          <w:rFonts w:asciiTheme="minorHAnsi" w:hAnsiTheme="minorHAnsi"/>
          <w:b/>
          <w:bCs/>
          <w:lang w:val="fr-CH"/>
        </w:rPr>
        <w:t>Emplacement des observations formulées pendant la période du dernier appel et du projet de texte:</w:t>
      </w:r>
      <w:r w:rsidRPr="00CE4067">
        <w:rPr>
          <w:rFonts w:asciiTheme="minorHAnsi" w:hAnsiTheme="minorHAnsi"/>
          <w:lang w:val="fr-CH"/>
        </w:rPr>
        <w:t xml:space="preserve"> </w:t>
      </w:r>
      <w:hyperlink r:id="rId11" w:history="1">
        <w:r w:rsidRPr="00CE4067">
          <w:rPr>
            <w:rStyle w:val="Hyperlink"/>
            <w:rFonts w:asciiTheme="minorHAnsi" w:hAnsiTheme="minorHAnsi"/>
            <w:szCs w:val="24"/>
            <w:lang w:val="fr-CH"/>
          </w:rPr>
          <w:t>COM 17 – TD 1634 Rév.1</w:t>
        </w:r>
      </w:hyperlink>
      <w:r w:rsidRPr="00CE4067">
        <w:rPr>
          <w:rFonts w:asciiTheme="minorHAnsi" w:hAnsiTheme="minorHAnsi"/>
          <w:lang w:val="fr-CH"/>
        </w:rPr>
        <w:t>.</w:t>
      </w:r>
    </w:p>
    <w:p w:rsidR="00CE4067" w:rsidRPr="00CE4067" w:rsidRDefault="00CE4067" w:rsidP="00CE4067">
      <w:pPr>
        <w:pStyle w:val="enumlev1"/>
        <w:spacing w:before="120"/>
        <w:rPr>
          <w:rFonts w:asciiTheme="minorHAnsi" w:hAnsiTheme="minorHAnsi"/>
          <w:b/>
          <w:bCs/>
          <w:lang w:val="fr-CH"/>
        </w:rPr>
      </w:pPr>
      <w:r w:rsidRPr="00CE4067">
        <w:rPr>
          <w:rFonts w:asciiTheme="minorHAnsi" w:hAnsiTheme="minorHAnsi"/>
          <w:lang w:val="fr-CH"/>
        </w:rPr>
        <w:tab/>
      </w:r>
      <w:r w:rsidRPr="00CE4067">
        <w:rPr>
          <w:rFonts w:asciiTheme="minorHAnsi" w:hAnsiTheme="minorHAnsi"/>
          <w:b/>
          <w:bCs/>
          <w:lang w:val="fr-CH"/>
        </w:rPr>
        <w:t>Résumé</w:t>
      </w:r>
    </w:p>
    <w:p w:rsidR="00CE4067" w:rsidRPr="00CE4067" w:rsidRDefault="00CE4067" w:rsidP="00CE4067">
      <w:pPr>
        <w:pStyle w:val="enumlev1"/>
        <w:rPr>
          <w:rFonts w:asciiTheme="minorHAnsi" w:hAnsiTheme="minorHAnsi"/>
          <w:lang w:val="fr-CH" w:eastAsia="ko-KR"/>
        </w:rPr>
      </w:pPr>
      <w:r w:rsidRPr="00CE4067">
        <w:rPr>
          <w:rFonts w:asciiTheme="minorHAnsi" w:hAnsiTheme="minorHAnsi"/>
          <w:lang w:val="fr-CH" w:eastAsia="ko-KR"/>
        </w:rPr>
        <w:tab/>
        <w:t>L'objectif de cette Recommandation est de définir le prot</w:t>
      </w:r>
      <w:r>
        <w:rPr>
          <w:rFonts w:asciiTheme="minorHAnsi" w:hAnsiTheme="minorHAnsi"/>
          <w:lang w:val="fr-CH" w:eastAsia="ko-KR"/>
        </w:rPr>
        <w:t>ocole de transfert de courrier </w:t>
      </w:r>
      <w:r w:rsidRPr="00CE4067">
        <w:rPr>
          <w:rFonts w:asciiTheme="minorHAnsi" w:hAnsiTheme="minorHAnsi"/>
          <w:lang w:val="fr-CH" w:eastAsia="ko-KR"/>
        </w:rPr>
        <w:t xml:space="preserve">certifié (CMTP) et le protocole de bureau de poste certifié (CPOP) afin d'encourager les échanges de courriers électroniques certifiés dans le monde de manière sécurisée en assurant la confidentialité, l'identification des correspondants, l'intégrité </w:t>
      </w:r>
      <w:r>
        <w:rPr>
          <w:rFonts w:asciiTheme="minorHAnsi" w:hAnsiTheme="minorHAnsi"/>
          <w:lang w:val="fr-CH" w:eastAsia="ko-KR"/>
        </w:rPr>
        <w:t>et la </w:t>
      </w:r>
      <w:r w:rsidRPr="00CE4067">
        <w:rPr>
          <w:rFonts w:asciiTheme="minorHAnsi" w:hAnsiTheme="minorHAnsi"/>
          <w:lang w:val="fr-CH" w:eastAsia="ko-KR"/>
        </w:rPr>
        <w:t>non-répudiation.</w:t>
      </w:r>
    </w:p>
    <w:p w:rsidR="00CE4067" w:rsidRPr="00CE4067" w:rsidRDefault="00CE4067" w:rsidP="00E713AE">
      <w:pPr>
        <w:pStyle w:val="enumlev1"/>
        <w:spacing w:before="240"/>
        <w:rPr>
          <w:rFonts w:asciiTheme="minorHAnsi" w:hAnsiTheme="minorHAnsi"/>
          <w:b/>
          <w:bCs/>
          <w:i/>
          <w:iCs/>
          <w:lang w:val="fr-CH"/>
        </w:rPr>
      </w:pPr>
      <w:r w:rsidRPr="00CE4067">
        <w:rPr>
          <w:rFonts w:asciiTheme="minorHAnsi" w:hAnsiTheme="minorHAnsi"/>
          <w:b/>
          <w:bCs/>
          <w:lang w:val="fr-CH"/>
        </w:rPr>
        <w:t>2)</w:t>
      </w:r>
      <w:r w:rsidRPr="00CE4067">
        <w:rPr>
          <w:rFonts w:asciiTheme="minorHAnsi" w:hAnsiTheme="minorHAnsi"/>
          <w:b/>
          <w:bCs/>
          <w:lang w:val="fr-CH"/>
        </w:rPr>
        <w:tab/>
        <w:t>Projet de nouvelle Recommandation UIT-T X.1157 (X.sap-7)</w:t>
      </w:r>
      <w:r w:rsidRPr="00CE4067">
        <w:rPr>
          <w:rFonts w:asciiTheme="minorHAnsi" w:hAnsiTheme="minorHAnsi"/>
          <w:lang w:val="fr-CH"/>
        </w:rPr>
        <w:t>,</w:t>
      </w:r>
      <w:r w:rsidRPr="00CE4067">
        <w:rPr>
          <w:rFonts w:asciiTheme="minorHAnsi" w:hAnsiTheme="minorHAnsi"/>
          <w:b/>
          <w:bCs/>
          <w:lang w:val="fr-CH"/>
        </w:rPr>
        <w:t xml:space="preserve"> </w:t>
      </w:r>
      <w:r w:rsidRPr="00CE4067">
        <w:rPr>
          <w:rFonts w:asciiTheme="minorHAnsi" w:hAnsiTheme="minorHAnsi"/>
          <w:i/>
          <w:iCs/>
          <w:lang w:val="fr-CH"/>
        </w:rPr>
        <w:t>Capacités techniques de détection de fraude et de réponse pour les services exigeant un niveau de garantie élevé</w:t>
      </w:r>
    </w:p>
    <w:p w:rsidR="00CE4067" w:rsidRPr="00FD2049" w:rsidRDefault="00CE4067" w:rsidP="00CE4067">
      <w:pPr>
        <w:pStyle w:val="enumlev1"/>
        <w:spacing w:before="120"/>
        <w:rPr>
          <w:rFonts w:asciiTheme="minorHAnsi" w:hAnsiTheme="minorHAnsi"/>
          <w:lang w:val="fr-CH"/>
        </w:rPr>
      </w:pPr>
      <w:r w:rsidRPr="00FD2049">
        <w:rPr>
          <w:rFonts w:asciiTheme="minorHAnsi" w:hAnsiTheme="minorHAnsi"/>
          <w:lang w:val="fr-CH"/>
        </w:rPr>
        <w:tab/>
      </w:r>
      <w:r w:rsidRPr="00FD2049">
        <w:rPr>
          <w:rFonts w:asciiTheme="minorHAnsi" w:hAnsiTheme="minorHAnsi"/>
          <w:b/>
          <w:bCs/>
          <w:lang w:val="fr-CH"/>
        </w:rPr>
        <w:t>Emplacement des observations formulées pendant la période du dernier appel et du projet de texte</w:t>
      </w:r>
      <w:r w:rsidRPr="00FD2049">
        <w:rPr>
          <w:rFonts w:asciiTheme="minorHAnsi" w:hAnsiTheme="minorHAnsi"/>
          <w:lang w:val="fr-CH"/>
        </w:rPr>
        <w:t xml:space="preserve">: </w:t>
      </w:r>
      <w:hyperlink r:id="rId12" w:history="1">
        <w:r w:rsidRPr="00FD2049">
          <w:rPr>
            <w:rStyle w:val="Hyperlink"/>
            <w:rFonts w:asciiTheme="minorHAnsi" w:hAnsiTheme="minorHAnsi"/>
            <w:szCs w:val="24"/>
            <w:lang w:val="fr-CH"/>
          </w:rPr>
          <w:t xml:space="preserve">COM </w:t>
        </w:r>
        <w:bookmarkStart w:id="2" w:name="_GoBack"/>
        <w:bookmarkEnd w:id="2"/>
        <w:r w:rsidRPr="00FD2049">
          <w:rPr>
            <w:rStyle w:val="Hyperlink"/>
            <w:rFonts w:asciiTheme="minorHAnsi" w:hAnsiTheme="minorHAnsi"/>
            <w:szCs w:val="24"/>
            <w:lang w:val="fr-CH"/>
          </w:rPr>
          <w:t>17 – TD 1638</w:t>
        </w:r>
      </w:hyperlink>
      <w:r w:rsidRPr="00FD2049">
        <w:rPr>
          <w:rFonts w:asciiTheme="minorHAnsi" w:hAnsiTheme="minorHAnsi"/>
          <w:lang w:val="fr-CH"/>
        </w:rPr>
        <w:t>.</w:t>
      </w:r>
    </w:p>
    <w:p w:rsidR="00CE4067" w:rsidRPr="00CE4067" w:rsidRDefault="00CE4067" w:rsidP="00CE4067">
      <w:pPr>
        <w:pStyle w:val="enumlev1"/>
        <w:spacing w:before="120"/>
        <w:rPr>
          <w:rFonts w:asciiTheme="minorHAnsi" w:hAnsiTheme="minorHAnsi"/>
          <w:b/>
          <w:bCs/>
          <w:lang w:val="fr-CH"/>
        </w:rPr>
      </w:pPr>
      <w:r>
        <w:rPr>
          <w:rFonts w:asciiTheme="minorHAnsi" w:hAnsiTheme="minorHAnsi"/>
          <w:lang w:val="fr-CH"/>
        </w:rPr>
        <w:tab/>
      </w:r>
      <w:r w:rsidRPr="00CE4067">
        <w:rPr>
          <w:rFonts w:asciiTheme="minorHAnsi" w:hAnsiTheme="minorHAnsi"/>
          <w:b/>
          <w:bCs/>
          <w:lang w:val="fr-CH"/>
        </w:rPr>
        <w:t>Résumé</w:t>
      </w:r>
    </w:p>
    <w:p w:rsidR="00E713AE" w:rsidRDefault="00CE4067" w:rsidP="00CE4067">
      <w:pPr>
        <w:pStyle w:val="enumlev1"/>
        <w:spacing w:before="120"/>
        <w:rPr>
          <w:rFonts w:asciiTheme="minorHAnsi" w:hAnsiTheme="minorHAnsi"/>
          <w:lang w:val="fr-CH"/>
        </w:rPr>
      </w:pPr>
      <w:r>
        <w:rPr>
          <w:rFonts w:asciiTheme="minorHAnsi" w:hAnsiTheme="minorHAnsi"/>
          <w:lang w:val="fr-CH"/>
        </w:rPr>
        <w:lastRenderedPageBreak/>
        <w:tab/>
      </w:r>
      <w:r w:rsidRPr="00CE4067">
        <w:rPr>
          <w:rFonts w:asciiTheme="minorHAnsi" w:hAnsiTheme="minorHAnsi"/>
          <w:lang w:val="fr-CH"/>
        </w:rPr>
        <w:t>La Recommandation UIT-T X.1157 définit les capacités néc</w:t>
      </w:r>
      <w:r w:rsidR="00E713AE">
        <w:rPr>
          <w:rFonts w:asciiTheme="minorHAnsi" w:hAnsiTheme="minorHAnsi"/>
          <w:lang w:val="fr-CH"/>
        </w:rPr>
        <w:t xml:space="preserve">essaires pour prendre en charge </w:t>
      </w:r>
      <w:r w:rsidRPr="00CE4067">
        <w:rPr>
          <w:rFonts w:asciiTheme="minorHAnsi" w:hAnsiTheme="minorHAnsi"/>
          <w:lang w:val="fr-CH"/>
        </w:rPr>
        <w:t>un service de détection de fraude et de réponse pour les applications</w:t>
      </w:r>
      <w:r w:rsidR="00E713AE">
        <w:rPr>
          <w:rFonts w:asciiTheme="minorHAnsi" w:hAnsiTheme="minorHAnsi"/>
          <w:lang w:val="fr-CH"/>
        </w:rPr>
        <w:t xml:space="preserve"> des technologies de </w:t>
      </w:r>
      <w:r w:rsidRPr="00CE4067">
        <w:rPr>
          <w:rFonts w:asciiTheme="minorHAnsi" w:hAnsiTheme="minorHAnsi"/>
          <w:lang w:val="fr-CH"/>
        </w:rPr>
        <w:t xml:space="preserve">l'information et de la communication (TIC) sensibles sur le plan de la sécurité. </w:t>
      </w:r>
      <w:r w:rsidR="00E713AE">
        <w:rPr>
          <w:rFonts w:asciiTheme="minorHAnsi" w:hAnsiTheme="minorHAnsi"/>
          <w:lang w:val="fr-CH"/>
        </w:rPr>
        <w:t>Le service de </w:t>
      </w:r>
      <w:r w:rsidRPr="00CE4067">
        <w:rPr>
          <w:rFonts w:asciiTheme="minorHAnsi" w:hAnsiTheme="minorHAnsi"/>
          <w:lang w:val="fr-CH"/>
        </w:rPr>
        <w:t xml:space="preserve">détection de fraude et de réponse assure la détection, </w:t>
      </w:r>
      <w:r w:rsidR="00E713AE">
        <w:rPr>
          <w:rFonts w:asciiTheme="minorHAnsi" w:hAnsiTheme="minorHAnsi"/>
          <w:lang w:val="fr-CH"/>
        </w:rPr>
        <w:t>l'analyse et la gestion des </w:t>
      </w:r>
      <w:r w:rsidRPr="00CE4067">
        <w:rPr>
          <w:rFonts w:asciiTheme="minorHAnsi" w:hAnsiTheme="minorHAnsi"/>
          <w:lang w:val="fr-CH"/>
        </w:rPr>
        <w:t>fraudes</w:t>
      </w:r>
      <w:r w:rsidR="00E713AE">
        <w:rPr>
          <w:rFonts w:asciiTheme="minorHAnsi" w:hAnsiTheme="minorHAnsi"/>
          <w:lang w:val="fr-CH"/>
        </w:rPr>
        <w:t> </w:t>
      </w:r>
      <w:r w:rsidRPr="00CE4067">
        <w:rPr>
          <w:rFonts w:asciiTheme="minorHAnsi" w:hAnsiTheme="minorHAnsi"/>
          <w:lang w:val="fr-CH"/>
        </w:rPr>
        <w:t xml:space="preserve">parmi les utilisateurs, les comptes, les produits, les processus et les voies. </w:t>
      </w:r>
      <w:r w:rsidR="00E713AE">
        <w:rPr>
          <w:rFonts w:asciiTheme="minorHAnsi" w:hAnsiTheme="minorHAnsi"/>
          <w:lang w:val="fr-CH"/>
        </w:rPr>
        <w:br w:type="page"/>
      </w:r>
    </w:p>
    <w:p w:rsidR="00CE4067" w:rsidRPr="00CE4067" w:rsidRDefault="00E713AE" w:rsidP="00CE4067">
      <w:pPr>
        <w:pStyle w:val="enumlev1"/>
        <w:spacing w:before="120"/>
        <w:rPr>
          <w:rFonts w:asciiTheme="minorHAnsi" w:hAnsiTheme="minorHAnsi"/>
          <w:lang w:val="fr-CH"/>
        </w:rPr>
      </w:pPr>
      <w:r>
        <w:rPr>
          <w:rFonts w:asciiTheme="minorHAnsi" w:hAnsiTheme="minorHAnsi"/>
          <w:lang w:val="fr-CH"/>
        </w:rPr>
        <w:lastRenderedPageBreak/>
        <w:tab/>
        <w:t>Il </w:t>
      </w:r>
      <w:r w:rsidR="00CE4067" w:rsidRPr="00CE4067">
        <w:rPr>
          <w:rFonts w:asciiTheme="minorHAnsi" w:hAnsiTheme="minorHAnsi"/>
          <w:lang w:val="fr-CH"/>
        </w:rPr>
        <w:t>surveille et analyse les activités et les comportements des utilisateurs au niveau des applications (</w:t>
      </w:r>
      <w:r w:rsidR="00FD2049">
        <w:rPr>
          <w:rFonts w:asciiTheme="minorHAnsi" w:hAnsiTheme="minorHAnsi"/>
          <w:lang w:val="fr-CH"/>
        </w:rPr>
        <w:t>et </w:t>
      </w:r>
      <w:r w:rsidR="00CE4067" w:rsidRPr="00CE4067">
        <w:rPr>
          <w:rFonts w:asciiTheme="minorHAnsi" w:hAnsiTheme="minorHAnsi"/>
          <w:lang w:val="fr-CH"/>
        </w:rPr>
        <w:t>non au niveau des systèmes, des bases de données ou des réseaux) et observe ce qui se passe à l'intérieur des comptes et parmi les comptes, via toute voie dont dispose les utilisateurs. Il analyse aussi les comportements entre des utilisateurs, des comptes ou d'autres entités en lien les uns avec les autres, à la recherche d'activités anormales, de corruptions ou d'utilisations abusives. Il est très couramment utilisé dans des secteurs d'activité gérant l'argent de clients, comme la finance en ligne, l'accès à distance aux entreprises, etc., mais est également couramment utilisé pour détecter des fraudes internes et d'autres types d'activités non autorisées.</w:t>
      </w:r>
    </w:p>
    <w:p w:rsidR="00CE4067" w:rsidRPr="00CE4067" w:rsidRDefault="00CE4067" w:rsidP="00CE4067">
      <w:pPr>
        <w:rPr>
          <w:rFonts w:asciiTheme="minorHAnsi" w:hAnsiTheme="minorHAnsi"/>
          <w:szCs w:val="24"/>
          <w:lang w:val="fr-CH"/>
        </w:rPr>
      </w:pPr>
      <w:r w:rsidRPr="00CE4067">
        <w:rPr>
          <w:rFonts w:asciiTheme="minorHAnsi" w:hAnsiTheme="minorHAnsi"/>
          <w:szCs w:val="24"/>
          <w:lang w:val="fr-CH"/>
        </w:rPr>
        <w:t>Veuillez agréer, Madame, Monsieur, l'assurance de ma considération distinguée.</w:t>
      </w:r>
    </w:p>
    <w:p w:rsidR="00526114" w:rsidRPr="00CE4067" w:rsidRDefault="00CE4067" w:rsidP="00173DF2">
      <w:pPr>
        <w:pStyle w:val="ITUintr"/>
        <w:tabs>
          <w:tab w:val="clear" w:pos="737"/>
          <w:tab w:val="clear" w:pos="1134"/>
          <w:tab w:val="left" w:pos="794"/>
        </w:tabs>
        <w:spacing w:before="1200" w:after="0"/>
        <w:ind w:right="91"/>
        <w:rPr>
          <w:rFonts w:asciiTheme="minorHAnsi" w:hAnsiTheme="minorHAnsi"/>
          <w:sz w:val="24"/>
          <w:szCs w:val="24"/>
        </w:rPr>
      </w:pPr>
      <w:r w:rsidRPr="00CE4067">
        <w:rPr>
          <w:rFonts w:asciiTheme="minorHAnsi" w:hAnsiTheme="minorHAnsi"/>
          <w:sz w:val="24"/>
          <w:szCs w:val="24"/>
          <w:lang w:val="fr-CH"/>
        </w:rPr>
        <w:t>Chaesub Lee</w:t>
      </w:r>
      <w:r w:rsidRPr="00CE4067">
        <w:rPr>
          <w:rFonts w:asciiTheme="minorHAnsi" w:hAnsiTheme="minorHAnsi"/>
          <w:sz w:val="24"/>
          <w:szCs w:val="24"/>
          <w:lang w:val="fr-CH"/>
        </w:rPr>
        <w:br/>
        <w:t xml:space="preserve">Directeur du Bureau de la normalisation </w:t>
      </w:r>
      <w:r w:rsidRPr="00CE4067">
        <w:rPr>
          <w:rFonts w:asciiTheme="minorHAnsi" w:hAnsiTheme="minorHAnsi"/>
          <w:sz w:val="24"/>
          <w:szCs w:val="24"/>
          <w:lang w:val="fr-CH"/>
        </w:rPr>
        <w:br/>
        <w:t>des télécommunications</w:t>
      </w:r>
    </w:p>
    <w:sectPr w:rsidR="00526114" w:rsidRPr="00CE4067" w:rsidSect="00CE4067">
      <w:headerReference w:type="even" r:id="rId13"/>
      <w:headerReference w:type="default" r:id="rId14"/>
      <w:footerReference w:type="even" r:id="rId15"/>
      <w:footerReference w:type="default" r:id="rId16"/>
      <w:footerReference w:type="first" r:id="rId17"/>
      <w:type w:val="oddPage"/>
      <w:pgSz w:w="11907" w:h="16727" w:code="9"/>
      <w:pgMar w:top="993"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7D9" w:rsidRDefault="007217D9">
      <w:r>
        <w:separator/>
      </w:r>
    </w:p>
  </w:endnote>
  <w:endnote w:type="continuationSeparator" w:id="0">
    <w:p w:rsidR="007217D9" w:rsidRDefault="0072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19" w:rsidRPr="00FE0F8E" w:rsidRDefault="00FE0F8E" w:rsidP="00FE0F8E">
    <w:pPr>
      <w:tabs>
        <w:tab w:val="clear" w:pos="794"/>
        <w:tab w:val="clear" w:pos="1191"/>
        <w:tab w:val="clear" w:pos="1588"/>
        <w:tab w:val="clear" w:pos="1985"/>
        <w:tab w:val="left" w:pos="5954"/>
        <w:tab w:val="right" w:pos="9639"/>
      </w:tabs>
      <w:spacing w:before="0"/>
      <w:rPr>
        <w:rFonts w:asciiTheme="minorHAnsi" w:hAnsiTheme="minorHAnsi"/>
        <w:caps/>
        <w:noProof/>
        <w:sz w:val="16"/>
        <w:lang w:val="fr-CH"/>
      </w:rPr>
    </w:pPr>
    <w:r w:rsidRPr="00FE0F8E">
      <w:rPr>
        <w:rFonts w:asciiTheme="minorHAnsi" w:hAnsiTheme="minorHAnsi"/>
        <w:caps/>
        <w:noProof/>
        <w:sz w:val="16"/>
      </w:rPr>
      <w:t>ITU-T\COM-T\COM17\COLL\5Add1</w:t>
    </w:r>
    <w:r>
      <w:rPr>
        <w:rFonts w:asciiTheme="minorHAnsi" w:hAnsiTheme="minorHAnsi"/>
        <w:caps/>
        <w:noProof/>
        <w:sz w:val="16"/>
      </w:rPr>
      <w:t>F</w:t>
    </w:r>
    <w:r w:rsidRPr="00FE0F8E">
      <w:rPr>
        <w:rFonts w:asciiTheme="minorHAnsi" w:hAnsiTheme="minorHAnsi"/>
        <w:caps/>
        <w:noProof/>
        <w:sz w:val="16"/>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19" w:rsidRPr="00B04F59" w:rsidRDefault="00B04F59" w:rsidP="00B04F59">
    <w:pPr>
      <w:pStyle w:val="Footer"/>
      <w:rPr>
        <w:lang w:val="fr-CH"/>
      </w:rPr>
    </w:pPr>
    <w:r w:rsidRPr="00B04F59">
      <w:rPr>
        <w:sz w:val="16"/>
        <w:szCs w:val="16"/>
        <w:lang w:val="fr-CH"/>
      </w:rPr>
      <w:t>ITU-T\COM-T\COM…\COLL\...F.DOC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8A5" w:rsidRPr="00C618A5" w:rsidRDefault="00C618A5" w:rsidP="00CD3772">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Tél</w:t>
    </w:r>
    <w:r w:rsidR="00F33E84">
      <w:rPr>
        <w:rFonts w:ascii="Calibri" w:hAnsi="Calibri" w:cs="Calibri"/>
        <w:color w:val="3E8EDE"/>
        <w:sz w:val="18"/>
        <w:szCs w:val="18"/>
        <w:lang w:val="fr-CH"/>
      </w:rPr>
      <w:t>.</w:t>
    </w:r>
    <w:r w:rsidRPr="00C618A5">
      <w:rPr>
        <w:rFonts w:ascii="Calibri" w:hAnsi="Calibri" w:cs="Calibri"/>
        <w:color w:val="3E8EDE"/>
        <w:sz w:val="18"/>
        <w:szCs w:val="18"/>
        <w:lang w:val="fr-CH"/>
      </w:rPr>
      <w:t xml:space="preserve">: +41 22 730 5111 • Fax: +41 22 733 7256 • </w:t>
    </w:r>
    <w:r w:rsidRPr="00C618A5">
      <w:rPr>
        <w:rFonts w:ascii="Calibri" w:hAnsi="Calibri" w:cs="Calibri"/>
        <w:color w:val="3E8EDE"/>
        <w:sz w:val="18"/>
        <w:szCs w:val="18"/>
        <w:lang w:val="fr-CH"/>
      </w:rPr>
      <w:br/>
      <w:t>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 </w:t>
    </w:r>
    <w:hyperlink r:id="rId3" w:history="1">
      <w:r w:rsidR="00CD3772" w:rsidRPr="00CD3772">
        <w:rPr>
          <w:rFonts w:asciiTheme="minorHAnsi" w:hAnsiTheme="minorHAnsi"/>
          <w:color w:val="3E8EDE"/>
          <w:sz w:val="18"/>
          <w:szCs w:val="22"/>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7D9" w:rsidRDefault="007217D9">
      <w:r>
        <w:t>____________________</w:t>
      </w:r>
    </w:p>
  </w:footnote>
  <w:footnote w:type="continuationSeparator" w:id="0">
    <w:p w:rsidR="007217D9" w:rsidRDefault="00721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73825744"/>
      <w:docPartObj>
        <w:docPartGallery w:val="Page Numbers (Top of Page)"/>
        <w:docPartUnique/>
      </w:docPartObj>
    </w:sdtPr>
    <w:sdtEndPr>
      <w:rPr>
        <w:rFonts w:asciiTheme="minorHAnsi" w:hAnsiTheme="minorHAnsi"/>
        <w:b w:val="0"/>
        <w:noProof/>
      </w:rPr>
    </w:sdtEndPr>
    <w:sdtContent>
      <w:sdt>
        <w:sdtPr>
          <w:id w:val="-1366980355"/>
          <w:docPartObj>
            <w:docPartGallery w:val="Page Numbers (Top of Page)"/>
            <w:docPartUnique/>
          </w:docPartObj>
        </w:sdtPr>
        <w:sdtEndPr>
          <w:rPr>
            <w:rFonts w:asciiTheme="minorHAnsi" w:hAnsiTheme="minorHAnsi"/>
            <w:noProof/>
            <w:sz w:val="18"/>
            <w:szCs w:val="18"/>
          </w:rPr>
        </w:sdtEndPr>
        <w:sdtContent>
          <w:p w:rsidR="00C64E19" w:rsidRPr="00A40FAD" w:rsidRDefault="00C64E19" w:rsidP="00FD2049">
            <w:pPr>
              <w:pStyle w:val="Header"/>
              <w:spacing w:after="240"/>
              <w:rPr>
                <w:rFonts w:asciiTheme="minorHAnsi" w:hAnsiTheme="minorHAnsi"/>
                <w:b/>
                <w:noProof/>
                <w:sz w:val="18"/>
                <w:szCs w:val="18"/>
              </w:rPr>
            </w:pPr>
            <w:r w:rsidRPr="00A40FAD">
              <w:rPr>
                <w:rFonts w:asciiTheme="minorHAnsi" w:hAnsiTheme="minorHAnsi"/>
                <w:sz w:val="18"/>
                <w:szCs w:val="18"/>
              </w:rPr>
              <w:fldChar w:fldCharType="begin"/>
            </w:r>
            <w:r w:rsidRPr="00A40FAD">
              <w:rPr>
                <w:rFonts w:asciiTheme="minorHAnsi" w:hAnsiTheme="minorHAnsi"/>
                <w:sz w:val="18"/>
                <w:szCs w:val="18"/>
              </w:rPr>
              <w:instrText xml:space="preserve"> PAGE   \* MERGEFORMAT </w:instrText>
            </w:r>
            <w:r w:rsidRPr="00A40FAD">
              <w:rPr>
                <w:rFonts w:asciiTheme="minorHAnsi" w:hAnsiTheme="minorHAnsi"/>
                <w:sz w:val="18"/>
                <w:szCs w:val="18"/>
              </w:rPr>
              <w:fldChar w:fldCharType="separate"/>
            </w:r>
            <w:r w:rsidR="000D0E26">
              <w:rPr>
                <w:rFonts w:asciiTheme="minorHAnsi" w:hAnsiTheme="minorHAnsi"/>
                <w:noProof/>
                <w:sz w:val="18"/>
                <w:szCs w:val="18"/>
              </w:rPr>
              <w:t>2</w:t>
            </w:r>
            <w:r w:rsidRPr="00A40FAD">
              <w:rPr>
                <w:rFonts w:asciiTheme="minorHAnsi" w:hAnsiTheme="minorHAnsi"/>
                <w:noProof/>
                <w:sz w:val="18"/>
                <w:szCs w:val="18"/>
              </w:rPr>
              <w:fldChar w:fldCharType="end"/>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25645089"/>
      <w:docPartObj>
        <w:docPartGallery w:val="Page Numbers (Top of Page)"/>
        <w:docPartUnique/>
      </w:docPartObj>
    </w:sdtPr>
    <w:sdtEndPr>
      <w:rPr>
        <w:noProof/>
      </w:rPr>
    </w:sdtEndPr>
    <w:sdtContent>
      <w:p w:rsidR="00C64E19" w:rsidRPr="003222B0" w:rsidRDefault="00C64E19" w:rsidP="00C358D5">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F33E84">
          <w:rPr>
            <w:noProof/>
            <w:sz w:val="18"/>
            <w:szCs w:val="18"/>
          </w:rPr>
          <w:t>3</w:t>
        </w:r>
        <w:r w:rsidRPr="003222B0">
          <w:rPr>
            <w:noProof/>
            <w:sz w:val="18"/>
            <w:szCs w:val="18"/>
          </w:rPr>
          <w:fldChar w:fldCharType="end"/>
        </w:r>
        <w:r w:rsidRPr="003222B0">
          <w:rPr>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C1C10F4"/>
    <w:multiLevelType w:val="hybridMultilevel"/>
    <w:tmpl w:val="4162D98E"/>
    <w:lvl w:ilvl="0" w:tplc="2AAA3436">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7D9"/>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D0E26"/>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73DF2"/>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9340B"/>
    <w:rsid w:val="002974EF"/>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0BE6"/>
    <w:rsid w:val="005D639B"/>
    <w:rsid w:val="005D665F"/>
    <w:rsid w:val="005E07C5"/>
    <w:rsid w:val="005E16E5"/>
    <w:rsid w:val="005E2720"/>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17D9"/>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A793E"/>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4067"/>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13AE"/>
    <w:rsid w:val="00E72182"/>
    <w:rsid w:val="00E72C5E"/>
    <w:rsid w:val="00E77BEC"/>
    <w:rsid w:val="00E86E18"/>
    <w:rsid w:val="00E8788E"/>
    <w:rsid w:val="00E87A59"/>
    <w:rsid w:val="00EA4E24"/>
    <w:rsid w:val="00EC6E02"/>
    <w:rsid w:val="00EC724B"/>
    <w:rsid w:val="00F1516F"/>
    <w:rsid w:val="00F15ACB"/>
    <w:rsid w:val="00F17154"/>
    <w:rsid w:val="00F249E6"/>
    <w:rsid w:val="00F33E84"/>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2049"/>
    <w:rsid w:val="00FD7219"/>
    <w:rsid w:val="00FE0F8E"/>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DA81AFE-FEA1-413A-B2A7-FBF9D118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uiPriority w:val="99"/>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CE4067"/>
    <w:pPr>
      <w:overflowPunct/>
      <w:autoSpaceDE/>
      <w:autoSpaceDN/>
      <w:adjustRightInd/>
      <w:ind w:left="720"/>
      <w:contextualSpacing/>
      <w:textAlignment w:val="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meetingdoc.asp?lang=en&amp;parent=T13-SG17-150408-TD-PLEN-1638"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meetingdoc.asp?lang=en&amp;parent=T13-SG17-150408-TD-PLEN-163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sbsg17@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65BD6-A378-4177-9E26-F762687AD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0</TotalTime>
  <Pages>2</Pages>
  <Words>470</Words>
  <Characters>2896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3360</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Royer, Veronique</dc:creator>
  <cp:keywords/>
  <dc:description>SG17Coll5Add1F.docx  For: _x000d_Document date: _x000d_Saved by ITU51006837 at 16:25:46 on 05/03/15</dc:description>
  <cp:lastModifiedBy>Bettini, Nadine</cp:lastModifiedBy>
  <cp:revision>2</cp:revision>
  <cp:lastPrinted>2015-03-05T16:24:00Z</cp:lastPrinted>
  <dcterms:created xsi:type="dcterms:W3CDTF">2015-03-06T13:10:00Z</dcterms:created>
  <dcterms:modified xsi:type="dcterms:W3CDTF">2015-03-06T13:10:00Z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SG17Coll5Add1F.docx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