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992C0D" w:rsidRPr="00992C0D">
        <w:t>22 de junio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34772" w:rsidP="00992C0D">
            <w:pPr>
              <w:tabs>
                <w:tab w:val="left" w:pos="4111"/>
              </w:tabs>
              <w:spacing w:before="0"/>
              <w:ind w:left="57"/>
              <w:rPr>
                <w:b/>
              </w:rPr>
            </w:pPr>
            <w:r>
              <w:rPr>
                <w:b/>
              </w:rPr>
              <w:t xml:space="preserve">Circular TSB </w:t>
            </w:r>
            <w:r w:rsidR="00992C0D">
              <w:rPr>
                <w:b/>
              </w:rPr>
              <w:t>296</w:t>
            </w:r>
          </w:p>
          <w:p w:rsidR="00C34772" w:rsidRDefault="00992C0D" w:rsidP="00303D62">
            <w:pPr>
              <w:tabs>
                <w:tab w:val="left" w:pos="4111"/>
              </w:tabs>
              <w:spacing w:before="0"/>
              <w:ind w:left="57"/>
              <w:rPr>
                <w:b/>
              </w:rPr>
            </w:pPr>
            <w:r w:rsidRPr="009B2D35">
              <w:rPr>
                <w:lang w:val="es-ES"/>
              </w:rPr>
              <w:t>COM 2/RH</w:t>
            </w:r>
          </w:p>
          <w:p w:rsidR="00C34772" w:rsidRDefault="00C34772" w:rsidP="00303D62">
            <w:pPr>
              <w:tabs>
                <w:tab w:val="left" w:pos="4111"/>
              </w:tabs>
              <w:spacing w:before="0"/>
              <w:ind w:left="57"/>
            </w:pPr>
          </w:p>
          <w:p w:rsidR="00C34772" w:rsidRDefault="00992C0D" w:rsidP="00303D62">
            <w:pPr>
              <w:tabs>
                <w:tab w:val="left" w:pos="4111"/>
              </w:tabs>
              <w:spacing w:before="0"/>
              <w:ind w:left="57"/>
            </w:pPr>
            <w:r w:rsidRPr="009B2D35">
              <w:rPr>
                <w:lang w:val="es-ES"/>
              </w:rPr>
              <w:t>+41 22 730 5887</w:t>
            </w:r>
            <w:r w:rsidR="00C34772">
              <w:br/>
            </w:r>
            <w:r w:rsidRPr="009B2D35">
              <w:rPr>
                <w:lang w:val="es-ES"/>
              </w:rP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r>
            <w:r w:rsidR="00992C0D" w:rsidRPr="00992C0D">
              <w:t>A las Administraciones de los Estados Miembros de la Unión</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034403" w:rsidP="00303D62">
            <w:pPr>
              <w:tabs>
                <w:tab w:val="left" w:pos="4111"/>
              </w:tabs>
              <w:spacing w:before="0"/>
              <w:ind w:left="57"/>
            </w:pPr>
            <w:hyperlink r:id="rId10" w:history="1">
              <w:r w:rsidR="00992C0D" w:rsidRPr="005553C2">
                <w:rPr>
                  <w:rStyle w:val="Hyperlink"/>
                  <w:lang w:val="es-ES"/>
                </w:rPr>
                <w:t>tsbsg2@itu.int</w:t>
              </w:r>
            </w:hyperlink>
          </w:p>
        </w:tc>
        <w:tc>
          <w:tcPr>
            <w:tcW w:w="5329"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w:t>
            </w:r>
            <w:r>
              <w:noBreakHyphen/>
              <w:t>T;</w:t>
            </w:r>
          </w:p>
          <w:p w:rsidR="00C34772" w:rsidRDefault="00C34772" w:rsidP="00303D62">
            <w:pPr>
              <w:tabs>
                <w:tab w:val="clear" w:pos="794"/>
                <w:tab w:val="left" w:pos="226"/>
                <w:tab w:val="left" w:pos="4111"/>
              </w:tabs>
              <w:spacing w:before="0"/>
            </w:pPr>
            <w:r>
              <w:t>-</w:t>
            </w:r>
            <w:r>
              <w:tab/>
              <w:t>A los Asociados del UIT</w:t>
            </w:r>
            <w:r>
              <w:noBreakHyphen/>
              <w:t>T;</w:t>
            </w:r>
          </w:p>
          <w:p w:rsidR="00C34772" w:rsidRDefault="00C34772" w:rsidP="00303D62">
            <w:pPr>
              <w:tabs>
                <w:tab w:val="clear" w:pos="794"/>
                <w:tab w:val="left" w:pos="226"/>
                <w:tab w:val="left" w:pos="4111"/>
              </w:tabs>
              <w:spacing w:before="0"/>
            </w:pPr>
            <w:r w:rsidRPr="00665FBD">
              <w:t>-</w:t>
            </w:r>
            <w:r>
              <w:tab/>
              <w:t xml:space="preserve">A las Instituciones Académicas del </w:t>
            </w:r>
            <w:r w:rsidRPr="00665FBD">
              <w:t>UIT-T</w:t>
            </w:r>
            <w:r>
              <w:t>;</w:t>
            </w:r>
          </w:p>
          <w:p w:rsidR="00C34772" w:rsidRDefault="00C34772" w:rsidP="00303D62">
            <w:pPr>
              <w:tabs>
                <w:tab w:val="left" w:pos="226"/>
                <w:tab w:val="left" w:pos="4111"/>
              </w:tabs>
              <w:spacing w:before="0"/>
              <w:ind w:left="226" w:hanging="226"/>
            </w:pPr>
            <w:r>
              <w:t>-</w:t>
            </w:r>
            <w:r>
              <w:tab/>
              <w:t xml:space="preserve">Al Presidente y a los Vicepresidentes de </w:t>
            </w:r>
            <w:r w:rsidR="00992C0D">
              <w:t xml:space="preserve">todas </w:t>
            </w:r>
            <w:r>
              <w:t>la</w:t>
            </w:r>
            <w:r w:rsidR="00992C0D">
              <w:t>s</w:t>
            </w:r>
            <w:r>
              <w:br/>
            </w:r>
            <w:r w:rsidR="00992C0D">
              <w:t>Comisio</w:t>
            </w:r>
            <w:r>
              <w:t>n</w:t>
            </w:r>
            <w:r w:rsidR="00992C0D">
              <w:t>es</w:t>
            </w:r>
            <w:r>
              <w:t xml:space="preserve"> de Estudio </w:t>
            </w:r>
            <w:r w:rsidR="00992C0D" w:rsidRPr="00992C0D">
              <w:t>del UIT T y del GANT</w:t>
            </w:r>
            <w:r>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992C0D" w:rsidP="00992C0D">
            <w:pPr>
              <w:tabs>
                <w:tab w:val="left" w:pos="4111"/>
              </w:tabs>
              <w:overflowPunct/>
              <w:autoSpaceDE/>
              <w:autoSpaceDN/>
              <w:adjustRightInd/>
              <w:spacing w:before="0"/>
              <w:ind w:left="57"/>
              <w:textAlignment w:val="auto"/>
              <w:rPr>
                <w:b/>
              </w:rPr>
            </w:pPr>
            <w:r w:rsidRPr="00992C0D">
              <w:rPr>
                <w:b/>
              </w:rPr>
              <w:t>Utilización indebida de recursos de numeración</w:t>
            </w:r>
          </w:p>
        </w:tc>
      </w:tr>
      <w:tr w:rsidR="00992C0D" w:rsidTr="00992C0D">
        <w:trPr>
          <w:cantSplit/>
        </w:trPr>
        <w:tc>
          <w:tcPr>
            <w:tcW w:w="7938" w:type="dxa"/>
            <w:gridSpan w:val="2"/>
          </w:tcPr>
          <w:p w:rsidR="00992C0D" w:rsidRPr="00347998" w:rsidRDefault="00992C0D" w:rsidP="006D3624">
            <w:pPr>
              <w:tabs>
                <w:tab w:val="left" w:pos="4111"/>
              </w:tabs>
              <w:overflowPunct/>
              <w:autoSpaceDE/>
              <w:autoSpaceDN/>
              <w:adjustRightInd/>
              <w:spacing w:before="240"/>
              <w:ind w:left="57"/>
              <w:textAlignment w:val="auto"/>
              <w:rPr>
                <w:b/>
                <w:bCs/>
                <w:szCs w:val="24"/>
              </w:rPr>
            </w:pPr>
            <w:r w:rsidRPr="00347998">
              <w:rPr>
                <w:b/>
                <w:bCs/>
                <w:szCs w:val="24"/>
              </w:rPr>
              <w:t>Plazo para las respuestas:</w:t>
            </w:r>
            <w:r w:rsidR="00347998">
              <w:rPr>
                <w:szCs w:val="24"/>
              </w:rPr>
              <w:t xml:space="preserve"> 1</w:t>
            </w:r>
            <w:r w:rsidRPr="00347998">
              <w:rPr>
                <w:szCs w:val="24"/>
              </w:rPr>
              <w:t xml:space="preserve"> de noviembre de 2012</w:t>
            </w:r>
          </w:p>
        </w:tc>
      </w:tr>
    </w:tbl>
    <w:p w:rsidR="00C34772" w:rsidRPr="00347998" w:rsidRDefault="00992C0D" w:rsidP="006D3624">
      <w:pPr>
        <w:pStyle w:val="Normalaftertitle"/>
        <w:overflowPunct/>
        <w:autoSpaceDE/>
        <w:autoSpaceDN/>
        <w:adjustRightInd/>
        <w:spacing w:before="200"/>
        <w:textAlignment w:val="auto"/>
      </w:pPr>
      <w:bookmarkStart w:id="1" w:name="StartTyping_S"/>
      <w:bookmarkStart w:id="2" w:name="suitetext"/>
      <w:bookmarkStart w:id="3" w:name="text"/>
      <w:bookmarkEnd w:id="1"/>
      <w:bookmarkEnd w:id="2"/>
      <w:bookmarkEnd w:id="3"/>
      <w:r w:rsidRPr="00347998">
        <w:t>Estimado/a señor/a,</w:t>
      </w:r>
    </w:p>
    <w:p w:rsidR="00C34772" w:rsidRDefault="00C34772" w:rsidP="006D3624">
      <w:r>
        <w:rPr>
          <w:bCs/>
        </w:rPr>
        <w:t>1</w:t>
      </w:r>
      <w:r>
        <w:tab/>
      </w:r>
      <w:r w:rsidR="00BF4979" w:rsidRPr="00BF4979">
        <w:t xml:space="preserve">En la Recomendación UIT-T E.156 se describen los procedimientos que debe tener en cuenta el Director de la TSB al recibir informes de supuesta utilización indebida </w:t>
      </w:r>
      <w:r w:rsidR="007E2B3E">
        <w:t>de</w:t>
      </w:r>
      <w:r w:rsidR="00BF4979" w:rsidRPr="00BF4979">
        <w:t xml:space="preserve"> los miembros, incluidos los métodos para hacer frente y combatir cualquier supuesta utilización indebida.</w:t>
      </w:r>
      <w:r w:rsidR="00AE13E2">
        <w:t xml:space="preserve"> </w:t>
      </w:r>
      <w:r w:rsidR="00BF4979" w:rsidRPr="00BF4979">
        <w:t xml:space="preserve">De conformidad con dicha Recomendación, </w:t>
      </w:r>
      <w:r w:rsidR="00AE13E2">
        <w:t>"</w:t>
      </w:r>
      <w:r w:rsidR="00BF4979" w:rsidRPr="00BF4979">
        <w:t>por utilización indebida de un recurso de numeración internacional se entiende la utilización de dicho recurso para fines distintos de los estipulados en los criterios de asignación que figuran en las Recomendaciones del UIT</w:t>
      </w:r>
      <w:r w:rsidR="006D3624">
        <w:t>-</w:t>
      </w:r>
      <w:r w:rsidR="00BF4979" w:rsidRPr="00BF4979">
        <w:t>T pertinentes o la prestación de un servicio de telecomunicaciones a través de un recurso de numeración no asignado</w:t>
      </w:r>
      <w:r w:rsidR="00AE13E2">
        <w:t>"</w:t>
      </w:r>
      <w:r w:rsidR="00BF4979" w:rsidRPr="00BF4979">
        <w:t>.</w:t>
      </w:r>
    </w:p>
    <w:p w:rsidR="00C34772" w:rsidRDefault="00C34772" w:rsidP="006D3624">
      <w:r>
        <w:rPr>
          <w:bCs/>
        </w:rPr>
        <w:t>2</w:t>
      </w:r>
      <w:r>
        <w:tab/>
      </w:r>
      <w:r w:rsidR="00BF4979" w:rsidRPr="00BF4979">
        <w:t xml:space="preserve">El tema de la utilización indebida de la numeración fue uno de los temas abordados en el taller sobre identificación de origen y procedimientos alternativos de llamada celebrado en </w:t>
      </w:r>
      <w:r w:rsidR="00AE13E2" w:rsidRPr="00BF4979">
        <w:t xml:space="preserve">Ginebra </w:t>
      </w:r>
      <w:r w:rsidR="00BF4979" w:rsidRPr="00BF4979">
        <w:t>los días 19 y 20 de marzo de 2012, véase</w:t>
      </w:r>
      <w:r w:rsidR="007E2B3E">
        <w:t>:</w:t>
      </w:r>
    </w:p>
    <w:p w:rsidR="007E2B3E" w:rsidRPr="007E2B3E" w:rsidRDefault="007E2B3E" w:rsidP="007E2B3E">
      <w:pPr>
        <w:ind w:right="91"/>
        <w:rPr>
          <w:szCs w:val="24"/>
          <w:lang w:eastAsia="en-GB"/>
        </w:rPr>
      </w:pPr>
      <w:r>
        <w:tab/>
      </w:r>
      <w:hyperlink r:id="rId11" w:history="1">
        <w:r w:rsidRPr="007E2B3E">
          <w:rPr>
            <w:rStyle w:val="Hyperlink"/>
            <w:szCs w:val="24"/>
            <w:lang w:eastAsia="en-GB"/>
          </w:rPr>
          <w:t>http://www.itu.int/ITU-T/worksem/oi-acp/index.html</w:t>
        </w:r>
      </w:hyperlink>
      <w:r w:rsidRPr="007E2B3E">
        <w:rPr>
          <w:szCs w:val="24"/>
          <w:lang w:eastAsia="en-GB"/>
        </w:rPr>
        <w:t xml:space="preserve"> </w:t>
      </w:r>
    </w:p>
    <w:p w:rsidR="00C34772" w:rsidRDefault="00C34772" w:rsidP="00072B79">
      <w:r>
        <w:rPr>
          <w:bCs/>
        </w:rPr>
        <w:t>3</w:t>
      </w:r>
      <w:r>
        <w:tab/>
      </w:r>
      <w:r w:rsidR="00BF4979" w:rsidRPr="00BF4979">
        <w:t>Entre 2006 y 2012 la TSB recibió 21 informes de supuesta utilización indebida. En su reunión de 21-29 de marzo de 2012, la Comisión de Estudio 2 del UIT-T (CE2) recibió una contribución de la Asociación GSM que estimuló los debates sobre l</w:t>
      </w:r>
      <w:r w:rsidR="00072B79">
        <w:t>a</w:t>
      </w:r>
      <w:r w:rsidR="00BF4979" w:rsidRPr="00BF4979">
        <w:t xml:space="preserve"> utilización indebida de los recursos de numeración.</w:t>
      </w:r>
      <w:r w:rsidR="00AE13E2">
        <w:t xml:space="preserve"> </w:t>
      </w:r>
      <w:r w:rsidR="00BF4979" w:rsidRPr="00BF4979">
        <w:t>La contribución contenía 106 informes de supuesta utilización indebida de 14 operadores móviles correspondientes únicamente al mes de febrero de 2012 de miembros de GSMA.</w:t>
      </w:r>
      <w:r w:rsidR="00AE13E2">
        <w:t xml:space="preserve"> </w:t>
      </w:r>
      <w:r w:rsidR="00BF4979" w:rsidRPr="00BF4979">
        <w:t>Los informes se cargarán en su debido momento en el sitio web del UIT-T sobre utilización indebida de los recursos de numeración E.164 y la CE2 evaluará la</w:t>
      </w:r>
      <w:r w:rsidR="007E2B3E">
        <w:t xml:space="preserve"> información.</w:t>
      </w:r>
      <w:r w:rsidR="00AE13E2">
        <w:t xml:space="preserve"> </w:t>
      </w:r>
      <w:r w:rsidR="007E2B3E">
        <w:t>El sitio web es:</w:t>
      </w:r>
    </w:p>
    <w:p w:rsidR="007E2B3E" w:rsidRPr="007E2B3E" w:rsidRDefault="007E2B3E" w:rsidP="007E2B3E">
      <w:pPr>
        <w:ind w:right="91"/>
        <w:rPr>
          <w:szCs w:val="24"/>
          <w:lang w:eastAsia="en-GB"/>
        </w:rPr>
      </w:pPr>
      <w:r>
        <w:tab/>
      </w:r>
      <w:hyperlink r:id="rId12" w:history="1">
        <w:r w:rsidRPr="007E2B3E">
          <w:rPr>
            <w:rStyle w:val="Hyperlink"/>
            <w:szCs w:val="24"/>
            <w:lang w:eastAsia="en-GB"/>
          </w:rPr>
          <w:t>http://www.itu.int/ITU-T/secured/misuse/index.html</w:t>
        </w:r>
      </w:hyperlink>
      <w:r w:rsidRPr="007E2B3E">
        <w:rPr>
          <w:szCs w:val="24"/>
          <w:lang w:eastAsia="en-GB"/>
        </w:rPr>
        <w:t xml:space="preserve"> </w:t>
      </w:r>
    </w:p>
    <w:p w:rsidR="00C34772" w:rsidRDefault="00C34772" w:rsidP="00072B79">
      <w:r>
        <w:rPr>
          <w:bCs/>
        </w:rPr>
        <w:br w:type="page"/>
      </w:r>
      <w:r>
        <w:rPr>
          <w:bCs/>
        </w:rPr>
        <w:lastRenderedPageBreak/>
        <w:t>4</w:t>
      </w:r>
      <w:r>
        <w:tab/>
      </w:r>
      <w:r w:rsidR="00BF4979" w:rsidRPr="00BF4979">
        <w:t>En la contribución de la Asociación GSM se estipula que la utilización indebida de los recursos de numeración es un factor clave del fraude perpetrado contra las redes móviles y sus usuarios.</w:t>
      </w:r>
      <w:r w:rsidR="00AE13E2">
        <w:t xml:space="preserve"> </w:t>
      </w:r>
      <w:r w:rsidR="00BF4979" w:rsidRPr="00BF4979">
        <w:t>En los informes sobre utilización indebida se identificaban números internacionales o gamas</w:t>
      </w:r>
      <w:r w:rsidR="00072B79">
        <w:t xml:space="preserve"> de números</w:t>
      </w:r>
      <w:r w:rsidR="00BF4979" w:rsidRPr="00BF4979">
        <w:t xml:space="preserve"> utilizad</w:t>
      </w:r>
      <w:r w:rsidR="00072B79">
        <w:t>o</w:t>
      </w:r>
      <w:r w:rsidR="00BF4979" w:rsidRPr="00BF4979">
        <w:t>s para causar una inflación fraudulenta y artificial de los incidentes de tráfico observados por operadores móviles miembros del Foro sobre Fraude.</w:t>
      </w:r>
      <w:r w:rsidR="00AE13E2">
        <w:t xml:space="preserve"> </w:t>
      </w:r>
      <w:r w:rsidR="00BF4979" w:rsidRPr="00BF4979">
        <w:t>En la mayoría de los casos</w:t>
      </w:r>
      <w:r w:rsidR="00072B79">
        <w:t>,</w:t>
      </w:r>
      <w:r w:rsidR="00BF4979" w:rsidRPr="00BF4979">
        <w:t xml:space="preserve"> la respuesta del operador de red consistió en bloquear el acceso a esos números o gamas de números con miras a impedir nuevos fraudes, e informar sobre el incidente a otros operadores móviles, por conducto del Foro sobre Fraude, para que éstos también consideren el bloqueo de </w:t>
      </w:r>
      <w:r w:rsidR="00072B79">
        <w:t>es</w:t>
      </w:r>
      <w:r w:rsidR="00BF4979" w:rsidRPr="00BF4979">
        <w:t>os números o gamas de números.</w:t>
      </w:r>
    </w:p>
    <w:p w:rsidR="00C34772" w:rsidRDefault="00C34772" w:rsidP="00072B79">
      <w:r>
        <w:rPr>
          <w:bCs/>
        </w:rPr>
        <w:t>5</w:t>
      </w:r>
      <w:r>
        <w:tab/>
      </w:r>
      <w:r w:rsidR="00BF4979" w:rsidRPr="00BF4979">
        <w:t>En el marco de los debates entablados en la CE2 se identificaron los posibles mot</w:t>
      </w:r>
      <w:r w:rsidR="00072B79">
        <w:t>ore</w:t>
      </w:r>
      <w:r w:rsidR="00BF4979" w:rsidRPr="00BF4979">
        <w:t xml:space="preserve">s de la utilización indebida, y se llegó a la conclusión de que se necesitaba información adicional </w:t>
      </w:r>
      <w:r w:rsidR="00072B79">
        <w:t>al respecto.</w:t>
      </w:r>
      <w:r w:rsidR="00AE13E2">
        <w:t xml:space="preserve"> </w:t>
      </w:r>
      <w:r w:rsidR="00072B79">
        <w:t>Los posibles mot</w:t>
      </w:r>
      <w:r w:rsidR="00BF4979" w:rsidRPr="00BF4979">
        <w:t>o</w:t>
      </w:r>
      <w:r w:rsidR="00072B79">
        <w:t>re</w:t>
      </w:r>
      <w:r w:rsidR="00BF4979" w:rsidRPr="00BF4979">
        <w:t>s eran los siguientes:</w:t>
      </w:r>
    </w:p>
    <w:p w:rsidR="00BF4979" w:rsidRDefault="00BF4979" w:rsidP="00BF4979">
      <w:pPr>
        <w:pStyle w:val="enumlev1"/>
      </w:pPr>
      <w:r>
        <w:t>a)</w:t>
      </w:r>
      <w:r>
        <w:tab/>
      </w:r>
      <w:r w:rsidR="006D3624">
        <w:t xml:space="preserve">La </w:t>
      </w:r>
      <w:r>
        <w:t xml:space="preserve">desreglamentación del sector en muchos países dio lugar a competencia en el suministro de interconexión </w:t>
      </w:r>
      <w:r w:rsidR="00AE13E2">
        <w:t xml:space="preserve">internacional: </w:t>
      </w:r>
      <w:r>
        <w:t>un servicio que en un momento fue ofrecido por un solo operador, actualmente lo proporcionan varios operadores rivales</w:t>
      </w:r>
      <w:r w:rsidR="006D3624">
        <w:t>.</w:t>
      </w:r>
    </w:p>
    <w:p w:rsidR="00BF4979" w:rsidRDefault="00BF4979" w:rsidP="00072B79">
      <w:pPr>
        <w:pStyle w:val="enumlev1"/>
      </w:pPr>
      <w:r>
        <w:t>b)</w:t>
      </w:r>
      <w:r>
        <w:tab/>
      </w:r>
      <w:r w:rsidR="006D3624">
        <w:t xml:space="preserve">El </w:t>
      </w:r>
      <w:r>
        <w:t xml:space="preserve">encaminamiento de las llamadas, que antes se basaba exclusivamente en el </w:t>
      </w:r>
      <w:r w:rsidR="00072B79">
        <w:t>indicati</w:t>
      </w:r>
      <w:r>
        <w:t>vo de país marcado, ha ido evolucionando para permitir que los operadores encaminen las llamadas en cierto</w:t>
      </w:r>
      <w:r w:rsidR="00072B79">
        <w:t>s</w:t>
      </w:r>
      <w:r>
        <w:t xml:space="preserve"> </w:t>
      </w:r>
      <w:r w:rsidR="00072B79">
        <w:t xml:space="preserve">bloques de </w:t>
      </w:r>
      <w:r>
        <w:t>número</w:t>
      </w:r>
      <w:r w:rsidR="00072B79">
        <w:t>s</w:t>
      </w:r>
      <w:r>
        <w:t xml:space="preserve"> dentro del </w:t>
      </w:r>
      <w:r w:rsidR="00072B79">
        <w:t>indica</w:t>
      </w:r>
      <w:r>
        <w:t>tivo de país y utilicen diferentes rutas de encaminamiento basadas en reglas de bloques de números.</w:t>
      </w:r>
      <w:r w:rsidR="00AE13E2">
        <w:t xml:space="preserve"> </w:t>
      </w:r>
      <w:r>
        <w:t>Esto refleja las diferentes estructuras que existen dentro de los planes de numeración nacional y que han evolucionado en el curso de los últimos decenios.</w:t>
      </w:r>
      <w:r w:rsidR="00AE13E2">
        <w:t xml:space="preserve"> </w:t>
      </w:r>
      <w:r>
        <w:t>El surgimiento de la portabilidad del número ha agravado la complejidad de la situación:</w:t>
      </w:r>
      <w:r w:rsidR="00AE13E2">
        <w:t xml:space="preserve"> </w:t>
      </w:r>
      <w:r>
        <w:t>se han añadido otros detalles de señalización y encaminamiento, de modo que resulta aún más complicado determinar los detalles de numeración telefónica válidos.</w:t>
      </w:r>
    </w:p>
    <w:p w:rsidR="00BF4979" w:rsidRDefault="00AE13E2" w:rsidP="00072B79">
      <w:pPr>
        <w:pStyle w:val="enumlev1"/>
      </w:pPr>
      <w:r>
        <w:t>c)</w:t>
      </w:r>
      <w:r>
        <w:tab/>
      </w:r>
      <w:r w:rsidR="006D3624">
        <w:t xml:space="preserve">La </w:t>
      </w:r>
      <w:r w:rsidR="00BF4979">
        <w:t>desreglamentación y la evolución de los planes nacionales de numeración han creado una estructura de tarificación variable y compleja, motivo por el cual los operadores de origen están siempre tratando de encontrar mejores acuerdos comerciales.</w:t>
      </w:r>
      <w:r>
        <w:t xml:space="preserve"> </w:t>
      </w:r>
      <w:r w:rsidR="00BF4979">
        <w:t>En tales casos se puede eludir al operador que recibe la llamada, aunque se utilice su distintivo de país.</w:t>
      </w:r>
      <w:r>
        <w:t xml:space="preserve"> </w:t>
      </w:r>
      <w:r w:rsidR="00BF4979">
        <w:t xml:space="preserve">Desde su punto de vista, se les están escatimando ingresos de liquidación legítimos mediante la </w:t>
      </w:r>
      <w:r>
        <w:t>"</w:t>
      </w:r>
      <w:r w:rsidR="00BF4979">
        <w:t>utilización indebida</w:t>
      </w:r>
      <w:r>
        <w:t>"</w:t>
      </w:r>
      <w:r w:rsidR="00BF4979">
        <w:t xml:space="preserve"> de bloques de números de su distintivo de país.</w:t>
      </w:r>
    </w:p>
    <w:p w:rsidR="00C34772" w:rsidRDefault="00C34772" w:rsidP="00072B79">
      <w:r>
        <w:rPr>
          <w:bCs/>
        </w:rPr>
        <w:t>6</w:t>
      </w:r>
      <w:r>
        <w:tab/>
      </w:r>
      <w:r w:rsidR="00BF4979" w:rsidRPr="00BF4979">
        <w:t xml:space="preserve">Independientemente del carácter de los planes nacionales de numeración, el </w:t>
      </w:r>
      <w:r w:rsidR="00072B79">
        <w:t>objetivo</w:t>
      </w:r>
      <w:r w:rsidR="00BF4979" w:rsidRPr="00BF4979">
        <w:t xml:space="preserve"> fundamental de las medidas destinadas a combatir la utilización indebida </w:t>
      </w:r>
      <w:r w:rsidR="00072B79">
        <w:t xml:space="preserve">de la numeración </w:t>
      </w:r>
      <w:r w:rsidR="00BF4979" w:rsidRPr="00BF4979">
        <w:t xml:space="preserve">es </w:t>
      </w:r>
      <w:r w:rsidR="00072B79">
        <w:t>atenuar</w:t>
      </w:r>
      <w:r w:rsidR="00BF4979" w:rsidRPr="00BF4979">
        <w:t xml:space="preserve"> una fuga inevitable de ingresos en </w:t>
      </w:r>
      <w:r w:rsidR="00072B79">
        <w:t>concepto de</w:t>
      </w:r>
      <w:r w:rsidR="00BF4979" w:rsidRPr="00BF4979">
        <w:t xml:space="preserve"> pagos de liquidación de las llamadas internacionales, cuando los operadores de origen basan sus esquemas de fijación de precios en acuerdos comerciales </w:t>
      </w:r>
      <w:r w:rsidR="00072B79">
        <w:t>que utilizan ciertas</w:t>
      </w:r>
      <w:r w:rsidR="00BF4979" w:rsidRPr="00BF4979">
        <w:t xml:space="preserve"> rutas de tráfico </w:t>
      </w:r>
      <w:r w:rsidR="00072B79">
        <w:t>para eludir</w:t>
      </w:r>
      <w:r w:rsidR="00BF4979" w:rsidRPr="00BF4979">
        <w:t xml:space="preserve"> los acuerdos tradicionales de contabilidad de las comunicaciones.</w:t>
      </w:r>
    </w:p>
    <w:p w:rsidR="00C34772" w:rsidRDefault="00C34772" w:rsidP="0088190F">
      <w:r>
        <w:rPr>
          <w:bCs/>
        </w:rPr>
        <w:t>7</w:t>
      </w:r>
      <w:r>
        <w:tab/>
      </w:r>
      <w:r w:rsidR="00BF4979" w:rsidRPr="00BF4979">
        <w:t>Para muchos países u operadores que no tienen una competencia apreciable, el resultado de ello es un golpe financiero, pues junto con la reducción de los minutos de terminación de llamadas ven desaparecer sus corrientes de ingres</w:t>
      </w:r>
      <w:r w:rsidR="0088190F">
        <w:t>os procedentes del extranjero. El</w:t>
      </w:r>
      <w:r w:rsidR="00BF4979" w:rsidRPr="00BF4979">
        <w:t xml:space="preserve"> </w:t>
      </w:r>
      <w:r w:rsidR="0088190F">
        <w:t>margen</w:t>
      </w:r>
      <w:r w:rsidR="00BF4979" w:rsidRPr="00BF4979">
        <w:t xml:space="preserve"> de que disponen los operadores para reaccionar ante posibles utilizaciones indebidas </w:t>
      </w:r>
      <w:r w:rsidR="0088190F">
        <w:t>es</w:t>
      </w:r>
      <w:r w:rsidR="00BF4979" w:rsidRPr="00BF4979">
        <w:t xml:space="preserve"> limitad</w:t>
      </w:r>
      <w:r w:rsidR="0088190F">
        <w:t>o</w:t>
      </w:r>
      <w:r w:rsidR="00BF4979" w:rsidRPr="00BF4979">
        <w:t>, y la intención de este documento es tratar de aclarar los aspectos relacionados con la presunta utilización indebida de los recursos de numeración.</w:t>
      </w:r>
    </w:p>
    <w:p w:rsidR="00BF4979" w:rsidRDefault="00BF4979" w:rsidP="00BF4979">
      <w:r>
        <w:t>8</w:t>
      </w:r>
      <w:r>
        <w:tab/>
      </w:r>
      <w:r w:rsidRPr="00BF4979">
        <w:t>En el marco de los debates entablados en la CE2, se observó que era indispensable disponer de información actualizada y fidedigna relacionada con el plan de numeración E.164.</w:t>
      </w:r>
      <w:r w:rsidR="00AE13E2">
        <w:t xml:space="preserve"> </w:t>
      </w:r>
      <w:r w:rsidRPr="00BF4979">
        <w:t>Los casos de uso indebido de las gamas de números no asignados se podrían evitar fácilmente si se dispone de información actualizada sobre los planes nacionales de numeración.</w:t>
      </w:r>
    </w:p>
    <w:p w:rsidR="00227B49" w:rsidRDefault="00227B49">
      <w:pPr>
        <w:tabs>
          <w:tab w:val="clear" w:pos="794"/>
          <w:tab w:val="clear" w:pos="1191"/>
          <w:tab w:val="clear" w:pos="1588"/>
          <w:tab w:val="clear" w:pos="1985"/>
        </w:tabs>
        <w:overflowPunct/>
        <w:autoSpaceDE/>
        <w:autoSpaceDN/>
        <w:adjustRightInd/>
        <w:spacing w:before="0"/>
        <w:textAlignment w:val="auto"/>
      </w:pPr>
      <w:r>
        <w:br w:type="page"/>
      </w:r>
    </w:p>
    <w:p w:rsidR="00BF4979" w:rsidRDefault="00BF4979" w:rsidP="00BF4979">
      <w:r>
        <w:lastRenderedPageBreak/>
        <w:t>9</w:t>
      </w:r>
      <w:r>
        <w:tab/>
      </w:r>
      <w:r w:rsidRPr="00BF4979">
        <w:t>Por lo tanto, le solicitamos a los Estados Miembros y Miembros de Sector que</w:t>
      </w:r>
      <w:r w:rsidR="0088190F">
        <w:t xml:space="preserve"> proporcionen información sobre:</w:t>
      </w:r>
    </w:p>
    <w:p w:rsidR="00BF4979" w:rsidRDefault="00BF4979" w:rsidP="0088190F">
      <w:pPr>
        <w:pStyle w:val="enumlev1"/>
      </w:pPr>
      <w:r>
        <w:t>a)</w:t>
      </w:r>
      <w:r>
        <w:tab/>
      </w:r>
      <w:r w:rsidR="006D3624">
        <w:t xml:space="preserve">Los </w:t>
      </w:r>
      <w:r w:rsidR="0088190F">
        <w:t>c</w:t>
      </w:r>
      <w:r>
        <w:t>riterios para determinar casos de uso indebido</w:t>
      </w:r>
      <w:r w:rsidR="006D3624">
        <w:t>.</w:t>
      </w:r>
    </w:p>
    <w:p w:rsidR="00BF4979" w:rsidRDefault="00BF4979" w:rsidP="0088190F">
      <w:pPr>
        <w:pStyle w:val="enumlev1"/>
      </w:pPr>
      <w:r>
        <w:t>b)</w:t>
      </w:r>
      <w:r>
        <w:tab/>
      </w:r>
      <w:r w:rsidR="006D3624">
        <w:t xml:space="preserve">Los </w:t>
      </w:r>
      <w:r w:rsidR="0088190F">
        <w:t>c</w:t>
      </w:r>
      <w:r>
        <w:t>riterios para determinar casos de fraude</w:t>
      </w:r>
      <w:r w:rsidR="006D3624">
        <w:t>.</w:t>
      </w:r>
    </w:p>
    <w:p w:rsidR="00BF4979" w:rsidRDefault="00BF4979" w:rsidP="0088190F">
      <w:pPr>
        <w:pStyle w:val="enumlev1"/>
      </w:pPr>
      <w:r>
        <w:t>c)</w:t>
      </w:r>
      <w:r>
        <w:tab/>
        <w:t>¿</w:t>
      </w:r>
      <w:r w:rsidR="006D3624">
        <w:t xml:space="preserve">Qué </w:t>
      </w:r>
      <w:r>
        <w:t>medidas toman para bloquear los números telefónicos:</w:t>
      </w:r>
      <w:r w:rsidR="00AE13E2">
        <w:t xml:space="preserve"> </w:t>
      </w:r>
      <w:r>
        <w:t xml:space="preserve">por número telefónico particular, gamas de números o </w:t>
      </w:r>
      <w:r w:rsidR="0088190F">
        <w:t>indica</w:t>
      </w:r>
      <w:r>
        <w:t>tivos de país?</w:t>
      </w:r>
    </w:p>
    <w:p w:rsidR="00BF4979" w:rsidRDefault="00D830E6" w:rsidP="00BF4979">
      <w:pPr>
        <w:pStyle w:val="enumlev1"/>
      </w:pPr>
      <w:r>
        <w:t>d)</w:t>
      </w:r>
      <w:r>
        <w:tab/>
      </w:r>
      <w:r w:rsidR="00BF4979">
        <w:t>¿</w:t>
      </w:r>
      <w:r w:rsidR="006D3624">
        <w:t xml:space="preserve">Qué </w:t>
      </w:r>
      <w:r w:rsidR="00BF4979">
        <w:t>medidas toman cuando se bloquean números telefónicos a causa de uso indebido?</w:t>
      </w:r>
    </w:p>
    <w:p w:rsidR="00BF4979" w:rsidRDefault="00BF4979" w:rsidP="00BF4979">
      <w:pPr>
        <w:pStyle w:val="enumlev1"/>
      </w:pPr>
      <w:r>
        <w:t>e)</w:t>
      </w:r>
      <w:r>
        <w:tab/>
        <w:t>¿</w:t>
      </w:r>
      <w:r w:rsidR="006D3624">
        <w:t xml:space="preserve">Qué </w:t>
      </w:r>
      <w:r>
        <w:t>medidas toman cuando se bloquean números telefónicos a causa de fraude?</w:t>
      </w:r>
    </w:p>
    <w:p w:rsidR="00BF4979" w:rsidRDefault="00BF4979" w:rsidP="00BF4979">
      <w:pPr>
        <w:pStyle w:val="enumlev1"/>
      </w:pPr>
      <w:r>
        <w:t>f)</w:t>
      </w:r>
      <w:r>
        <w:tab/>
        <w:t>¿</w:t>
      </w:r>
      <w:r w:rsidR="006D3624">
        <w:t xml:space="preserve">Qué </w:t>
      </w:r>
      <w:r>
        <w:t>información de señalización envía su red junto con el número de teléfono de origen y cómo se transmite al siguiente operador?</w:t>
      </w:r>
    </w:p>
    <w:p w:rsidR="00BF4979" w:rsidRDefault="00BF4979" w:rsidP="00BF4979">
      <w:pPr>
        <w:pStyle w:val="enumlev1"/>
      </w:pPr>
      <w:r>
        <w:t>g)</w:t>
      </w:r>
      <w:r>
        <w:tab/>
        <w:t>¿</w:t>
      </w:r>
      <w:r w:rsidR="006D3624">
        <w:t xml:space="preserve">Asigna </w:t>
      </w:r>
      <w:r>
        <w:t>recursos telefónicos bajo su responsabilidad fuera de la zona geográfica de la que es responsable?</w:t>
      </w:r>
      <w:r w:rsidR="00AE13E2">
        <w:t xml:space="preserve"> </w:t>
      </w:r>
      <w:r>
        <w:t xml:space="preserve">Cabe señalar que es necesario hacer una distinción entre </w:t>
      </w:r>
      <w:r w:rsidR="0088190F">
        <w:t xml:space="preserve">la </w:t>
      </w:r>
      <w:r>
        <w:t xml:space="preserve">utilización extra-territorial de recursos de numeración y la numeración relacionada con la </w:t>
      </w:r>
      <w:proofErr w:type="spellStart"/>
      <w:r>
        <w:t>itinerancia</w:t>
      </w:r>
      <w:proofErr w:type="spellEnd"/>
      <w:r>
        <w:t xml:space="preserve"> internacional.</w:t>
      </w:r>
      <w:r w:rsidR="00AE13E2">
        <w:t xml:space="preserve"> </w:t>
      </w:r>
      <w:r>
        <w:t>La utilización extra-territorial es la utilización de números distintos de los asignados a las redes móviles de la zona geográfica para la cual éstos se asignan/atribuyen.</w:t>
      </w:r>
      <w:r w:rsidR="00AE13E2">
        <w:t xml:space="preserve"> </w:t>
      </w:r>
      <w:r>
        <w:t>Véase asimismo la nota publicada en el Boletín de Explotación 974 de 1</w:t>
      </w:r>
      <w:r w:rsidR="00D830E6">
        <w:t>5/</w:t>
      </w:r>
      <w:r w:rsidR="00347998">
        <w:t>0</w:t>
      </w:r>
      <w:r w:rsidR="00D830E6">
        <w:t>2/11 que figura en el Anexo 1</w:t>
      </w:r>
      <w:r w:rsidR="006D3624">
        <w:t>.</w:t>
      </w:r>
    </w:p>
    <w:p w:rsidR="00BF4979" w:rsidRDefault="00BF4979" w:rsidP="0041125C">
      <w:pPr>
        <w:pStyle w:val="enumlev1"/>
      </w:pPr>
      <w:r>
        <w:t>h)</w:t>
      </w:r>
      <w:r>
        <w:tab/>
        <w:t>¿</w:t>
      </w:r>
      <w:r w:rsidR="006D3624">
        <w:t xml:space="preserve">Con </w:t>
      </w:r>
      <w:r>
        <w:t>qué frecuencia presenta a la UIT información sobre sus planes nacionales de numeración?</w:t>
      </w:r>
      <w:r w:rsidR="00AE13E2">
        <w:t xml:space="preserve"> </w:t>
      </w:r>
      <w:r>
        <w:t>En este contexto, véase la Recomendación UIT-T E.129 y el sitio web</w:t>
      </w:r>
      <w:r w:rsidR="0041125C">
        <w:t>:</w:t>
      </w:r>
    </w:p>
    <w:p w:rsidR="0041125C" w:rsidRPr="00BB4A44" w:rsidRDefault="00034403" w:rsidP="0041125C">
      <w:pPr>
        <w:ind w:left="794"/>
        <w:rPr>
          <w:szCs w:val="24"/>
        </w:rPr>
      </w:pPr>
      <w:hyperlink r:id="rId13" w:history="1">
        <w:r w:rsidR="0041125C" w:rsidRPr="00BB4A44">
          <w:rPr>
            <w:rStyle w:val="Hyperlink"/>
            <w:szCs w:val="24"/>
          </w:rPr>
          <w:t>http://www.itu.int/oth/T0202.aspx?parent=T0202</w:t>
        </w:r>
      </w:hyperlink>
      <w:r w:rsidR="0041125C" w:rsidRPr="00BB4A44">
        <w:rPr>
          <w:szCs w:val="24"/>
        </w:rPr>
        <w:t xml:space="preserve"> </w:t>
      </w:r>
    </w:p>
    <w:p w:rsidR="00BF4979" w:rsidRDefault="00BF4979" w:rsidP="0088190F">
      <w:r>
        <w:t>10</w:t>
      </w:r>
      <w:r>
        <w:tab/>
      </w:r>
      <w:r w:rsidRPr="00BF4979">
        <w:t>T</w:t>
      </w:r>
      <w:r w:rsidR="0088190F">
        <w:t>enga a bien tomar nota de que el</w:t>
      </w:r>
      <w:r w:rsidRPr="00BF4979">
        <w:t xml:space="preserve"> UIT-T no </w:t>
      </w:r>
      <w:r w:rsidR="0088190F">
        <w:t>ha acuñado</w:t>
      </w:r>
      <w:r w:rsidRPr="00BF4979">
        <w:t xml:space="preserve"> ninguna definición del término </w:t>
      </w:r>
      <w:r w:rsidR="00AE13E2">
        <w:t>"</w:t>
      </w:r>
      <w:r w:rsidRPr="00BF4979">
        <w:t>fraude</w:t>
      </w:r>
      <w:r w:rsidR="00AE13E2">
        <w:t>"</w:t>
      </w:r>
      <w:r w:rsidRPr="00BF4979">
        <w:t>:</w:t>
      </w:r>
      <w:r w:rsidR="00AE13E2">
        <w:t xml:space="preserve"> </w:t>
      </w:r>
      <w:r w:rsidRPr="00BF4979">
        <w:t>ello es objeto de estudio en la Comisión de Estudio 3 del UIT-T, a tenor de la contribución</w:t>
      </w:r>
      <w:r w:rsidR="0088190F">
        <w:t xml:space="preserve"> </w:t>
      </w:r>
      <w:hyperlink r:id="rId14" w:history="1">
        <w:r w:rsidR="0088190F" w:rsidRPr="00957328">
          <w:rPr>
            <w:rStyle w:val="Hyperlink"/>
            <w:bCs/>
          </w:rPr>
          <w:t>COM 3 – C 97</w:t>
        </w:r>
      </w:hyperlink>
      <w:r w:rsidR="00D830E6">
        <w:t xml:space="preserve">. </w:t>
      </w:r>
      <w:r w:rsidRPr="00BF4979">
        <w:t xml:space="preserve">El Foro sobre Fraude GSMA dispone de definiciones de tipos concretos de </w:t>
      </w:r>
      <w:r w:rsidR="00AE13E2">
        <w:t>"</w:t>
      </w:r>
      <w:r w:rsidRPr="00BF4979">
        <w:t>fraude</w:t>
      </w:r>
      <w:r w:rsidR="00AE13E2">
        <w:t>"</w:t>
      </w:r>
      <w:r w:rsidRPr="00BF4979">
        <w:t>.</w:t>
      </w:r>
      <w:r w:rsidR="00AE13E2">
        <w:t xml:space="preserve"> </w:t>
      </w:r>
      <w:r w:rsidRPr="00BF4979">
        <w:t xml:space="preserve">Por lo tanto, al responder la pregunta e) </w:t>
      </w:r>
      <w:r w:rsidRPr="006D3624">
        <w:rPr>
          <w:i/>
          <w:iCs/>
        </w:rPr>
        <w:t>supra</w:t>
      </w:r>
      <w:r w:rsidRPr="00BF4979">
        <w:t xml:space="preserve">, sírvase utilizar su propia definición del término </w:t>
      </w:r>
      <w:r w:rsidR="00AE13E2">
        <w:t>"</w:t>
      </w:r>
      <w:r w:rsidRPr="00BF4979">
        <w:t>fraude</w:t>
      </w:r>
      <w:r w:rsidR="00AE13E2">
        <w:t>"</w:t>
      </w:r>
      <w:r w:rsidRPr="00BF4979">
        <w:t>.</w:t>
      </w:r>
    </w:p>
    <w:p w:rsidR="00BF4979" w:rsidRDefault="00BF4979" w:rsidP="00D830E6">
      <w:r>
        <w:t>11</w:t>
      </w:r>
      <w:r>
        <w:tab/>
      </w:r>
      <w:r w:rsidRPr="00BF4979">
        <w:t xml:space="preserve">Le agradeceríamos que respondiera a esta Circular a más tardar el </w:t>
      </w:r>
      <w:r w:rsidRPr="00D830E6">
        <w:rPr>
          <w:b/>
          <w:bCs/>
        </w:rPr>
        <w:t>1</w:t>
      </w:r>
      <w:r w:rsidR="00D830E6" w:rsidRPr="00D830E6">
        <w:rPr>
          <w:b/>
          <w:bCs/>
        </w:rPr>
        <w:t> </w:t>
      </w:r>
      <w:r w:rsidRPr="00D830E6">
        <w:rPr>
          <w:b/>
          <w:bCs/>
        </w:rPr>
        <w:t>de</w:t>
      </w:r>
      <w:r w:rsidR="00D830E6" w:rsidRPr="00D830E6">
        <w:rPr>
          <w:b/>
          <w:bCs/>
        </w:rPr>
        <w:t> </w:t>
      </w:r>
      <w:r w:rsidRPr="00D830E6">
        <w:rPr>
          <w:b/>
          <w:bCs/>
        </w:rPr>
        <w:t>noviembre</w:t>
      </w:r>
      <w:r w:rsidR="00D830E6">
        <w:rPr>
          <w:b/>
          <w:bCs/>
        </w:rPr>
        <w:t xml:space="preserve"> </w:t>
      </w:r>
      <w:r w:rsidRPr="00D830E6">
        <w:rPr>
          <w:b/>
          <w:bCs/>
        </w:rPr>
        <w:t>de</w:t>
      </w:r>
      <w:r w:rsidR="00D830E6" w:rsidRPr="00D830E6">
        <w:rPr>
          <w:b/>
          <w:bCs/>
        </w:rPr>
        <w:t> </w:t>
      </w:r>
      <w:r w:rsidRPr="00D830E6">
        <w:rPr>
          <w:b/>
          <w:bCs/>
        </w:rPr>
        <w:t>2012</w:t>
      </w:r>
      <w:r w:rsidRPr="00BF4979">
        <w:t>, a la siguiente dirección:</w:t>
      </w:r>
    </w:p>
    <w:p w:rsidR="00BF4979" w:rsidRPr="009B2D35" w:rsidRDefault="00BF4979" w:rsidP="00BF4979">
      <w:pPr>
        <w:ind w:left="794" w:right="91"/>
        <w:rPr>
          <w:bCs/>
          <w:lang w:val="es-ES"/>
        </w:rPr>
      </w:pPr>
      <w:r>
        <w:rPr>
          <w:bCs/>
          <w:lang w:val="es-ES"/>
        </w:rPr>
        <w:t>Oficina de Normalización de las Telecomunicaciones</w:t>
      </w:r>
      <w:r w:rsidRPr="009B2D35">
        <w:rPr>
          <w:bCs/>
          <w:lang w:val="es-ES"/>
        </w:rPr>
        <w:t>/</w:t>
      </w:r>
      <w:r>
        <w:rPr>
          <w:bCs/>
          <w:lang w:val="es-ES"/>
        </w:rPr>
        <w:t>U</w:t>
      </w:r>
      <w:r w:rsidRPr="009B2D35">
        <w:rPr>
          <w:bCs/>
          <w:lang w:val="es-ES"/>
        </w:rPr>
        <w:t>IT</w:t>
      </w:r>
    </w:p>
    <w:p w:rsidR="00BF4979" w:rsidRPr="00113E04" w:rsidRDefault="00BF4979" w:rsidP="00BF4979">
      <w:pPr>
        <w:spacing w:before="0"/>
        <w:ind w:left="794" w:right="91"/>
        <w:rPr>
          <w:bCs/>
          <w:lang w:val="fr-CH"/>
        </w:rPr>
      </w:pPr>
      <w:r w:rsidRPr="00113E04">
        <w:rPr>
          <w:bCs/>
          <w:lang w:val="fr-CH"/>
        </w:rPr>
        <w:t>Place des Nations</w:t>
      </w:r>
    </w:p>
    <w:p w:rsidR="00BF4979" w:rsidRPr="00113E04" w:rsidRDefault="00BF4979" w:rsidP="00BF4979">
      <w:pPr>
        <w:spacing w:before="0"/>
        <w:ind w:left="794" w:right="91"/>
        <w:rPr>
          <w:bCs/>
          <w:lang w:val="fr-CH"/>
        </w:rPr>
      </w:pPr>
      <w:r w:rsidRPr="00113E04">
        <w:rPr>
          <w:bCs/>
          <w:lang w:val="fr-CH"/>
        </w:rPr>
        <w:t xml:space="preserve">CH-1211 </w:t>
      </w:r>
      <w:proofErr w:type="spellStart"/>
      <w:r w:rsidRPr="00113E04">
        <w:rPr>
          <w:bCs/>
          <w:lang w:val="fr-CH"/>
        </w:rPr>
        <w:t>Ginebra</w:t>
      </w:r>
      <w:proofErr w:type="spellEnd"/>
      <w:r w:rsidRPr="00113E04">
        <w:rPr>
          <w:bCs/>
          <w:lang w:val="fr-CH"/>
        </w:rPr>
        <w:t xml:space="preserve"> 20 (</w:t>
      </w:r>
      <w:proofErr w:type="spellStart"/>
      <w:r w:rsidRPr="00113E04">
        <w:rPr>
          <w:bCs/>
          <w:lang w:val="fr-CH"/>
        </w:rPr>
        <w:t>Suiza</w:t>
      </w:r>
      <w:proofErr w:type="spellEnd"/>
      <w:r w:rsidRPr="00113E04">
        <w:rPr>
          <w:bCs/>
          <w:lang w:val="fr-CH"/>
        </w:rPr>
        <w:t>)</w:t>
      </w:r>
    </w:p>
    <w:p w:rsidR="00BF4979" w:rsidRPr="009B2D35" w:rsidRDefault="00BF4979" w:rsidP="00BF4979">
      <w:pPr>
        <w:spacing w:before="0"/>
        <w:ind w:left="794" w:right="91"/>
        <w:rPr>
          <w:bCs/>
          <w:lang w:val="es-ES"/>
        </w:rPr>
      </w:pPr>
      <w:r w:rsidRPr="009B2D35">
        <w:rPr>
          <w:bCs/>
          <w:lang w:val="es-ES"/>
        </w:rPr>
        <w:t>Fax: +41 22 730 5853</w:t>
      </w:r>
    </w:p>
    <w:p w:rsidR="00BF4979" w:rsidRPr="009B2D35" w:rsidRDefault="00BF4979" w:rsidP="00BF4979">
      <w:pPr>
        <w:spacing w:before="0"/>
        <w:ind w:left="794" w:right="91"/>
        <w:rPr>
          <w:bCs/>
          <w:lang w:val="es-ES"/>
        </w:rPr>
      </w:pPr>
      <w:r>
        <w:rPr>
          <w:bCs/>
          <w:lang w:val="es-ES"/>
        </w:rPr>
        <w:t>Correo-e</w:t>
      </w:r>
      <w:r w:rsidRPr="009B2D35">
        <w:rPr>
          <w:bCs/>
          <w:lang w:val="es-ES"/>
        </w:rPr>
        <w:t xml:space="preserve">: </w:t>
      </w:r>
      <w:hyperlink r:id="rId15" w:history="1">
        <w:r w:rsidRPr="009B2D35">
          <w:rPr>
            <w:rStyle w:val="Hyperlink"/>
            <w:bCs/>
            <w:lang w:val="es-ES"/>
          </w:rPr>
          <w:t>tsbsg2@itu.int</w:t>
        </w:r>
      </w:hyperlink>
    </w:p>
    <w:p w:rsidR="00C34772" w:rsidRPr="00BF4979" w:rsidRDefault="00BF4979" w:rsidP="00BF4979">
      <w:pPr>
        <w:pStyle w:val="Normalaftertitle"/>
        <w:rPr>
          <w:lang w:val="es-ES"/>
        </w:rPr>
      </w:pPr>
      <w:r>
        <w:rPr>
          <w:lang w:val="es-ES"/>
        </w:rPr>
        <w:t>Atentamente.</w:t>
      </w:r>
    </w:p>
    <w:p w:rsidR="00BF4979" w:rsidRPr="009B2D35" w:rsidRDefault="00BF4979" w:rsidP="00BF4979">
      <w:pPr>
        <w:spacing w:before="1440"/>
        <w:rPr>
          <w:lang w:val="es-ES"/>
        </w:rPr>
      </w:pPr>
      <w:r w:rsidRPr="009B2D35">
        <w:rPr>
          <w:lang w:val="es-ES"/>
        </w:rPr>
        <w:t>Malcolm Johnson</w:t>
      </w:r>
      <w:r w:rsidRPr="009B2D35">
        <w:rPr>
          <w:lang w:val="es-ES"/>
        </w:rPr>
        <w:br/>
        <w:t xml:space="preserve">Director </w:t>
      </w:r>
      <w:r>
        <w:rPr>
          <w:lang w:val="es-ES"/>
        </w:rPr>
        <w:t>de la Oficina de Normalización</w:t>
      </w:r>
      <w:r>
        <w:rPr>
          <w:lang w:val="es-ES"/>
        </w:rPr>
        <w:br/>
        <w:t>de las Telecomunicaciones</w:t>
      </w:r>
    </w:p>
    <w:p w:rsidR="00C34772" w:rsidRPr="0041125C" w:rsidRDefault="00C34772" w:rsidP="00CB7110">
      <w:pPr>
        <w:spacing w:before="480"/>
        <w:rPr>
          <w:bCs/>
        </w:rPr>
      </w:pPr>
      <w:r w:rsidRPr="0041125C">
        <w:rPr>
          <w:bCs/>
        </w:rPr>
        <w:t xml:space="preserve">Anexo: </w:t>
      </w:r>
      <w:r w:rsidR="00BF4979" w:rsidRPr="0041125C">
        <w:rPr>
          <w:bCs/>
        </w:rPr>
        <w:t>1</w:t>
      </w:r>
    </w:p>
    <w:p w:rsidR="00BF4979" w:rsidRPr="00347998" w:rsidRDefault="00BF4979">
      <w:pPr>
        <w:tabs>
          <w:tab w:val="clear" w:pos="794"/>
          <w:tab w:val="clear" w:pos="1191"/>
          <w:tab w:val="clear" w:pos="1588"/>
          <w:tab w:val="clear" w:pos="1985"/>
        </w:tabs>
        <w:overflowPunct/>
        <w:autoSpaceDE/>
        <w:autoSpaceDN/>
        <w:adjustRightInd/>
        <w:spacing w:before="0"/>
        <w:textAlignment w:val="auto"/>
      </w:pPr>
      <w:r w:rsidRPr="00347998">
        <w:br w:type="page"/>
      </w:r>
    </w:p>
    <w:p w:rsidR="00BF4979" w:rsidRPr="00BF4979" w:rsidRDefault="00BF4979" w:rsidP="00BF4979">
      <w:pPr>
        <w:jc w:val="center"/>
      </w:pPr>
      <w:r w:rsidRPr="00BF4979">
        <w:lastRenderedPageBreak/>
        <w:t>ANEXO 1</w:t>
      </w:r>
      <w:r w:rsidRPr="00BF4979">
        <w:br/>
        <w:t>(a la Circular 296 de la TSB)</w:t>
      </w:r>
    </w:p>
    <w:p w:rsidR="00BF4979" w:rsidRPr="00BF4979" w:rsidRDefault="00BF4979" w:rsidP="00347998">
      <w:pPr>
        <w:spacing w:before="240"/>
        <w:jc w:val="center"/>
      </w:pPr>
      <w:r w:rsidRPr="00BF4979">
        <w:rPr>
          <w:b/>
          <w:bCs/>
        </w:rPr>
        <w:t>Nota publicada en el Boletín de Explotación 974 de 15/</w:t>
      </w:r>
      <w:r w:rsidR="00347998">
        <w:rPr>
          <w:b/>
          <w:bCs/>
        </w:rPr>
        <w:t>02</w:t>
      </w:r>
      <w:r w:rsidRPr="00BF4979">
        <w:rPr>
          <w:b/>
          <w:bCs/>
        </w:rPr>
        <w:t>/2011</w:t>
      </w:r>
    </w:p>
    <w:p w:rsidR="00BF4979" w:rsidRPr="00BF4979" w:rsidRDefault="00BF4979" w:rsidP="00BF4979">
      <w:pPr>
        <w:ind w:right="238"/>
        <w:rPr>
          <w:rFonts w:eastAsia="SimSun" w:cs="Arial"/>
          <w:b/>
          <w:bCs/>
          <w:color w:val="000000"/>
          <w:lang w:eastAsia="zh-CN"/>
        </w:rPr>
      </w:pPr>
    </w:p>
    <w:p w:rsidR="00BF4979" w:rsidRPr="00BF4979" w:rsidRDefault="00BF4979" w:rsidP="00BF4979">
      <w:pPr>
        <w:ind w:right="238"/>
        <w:rPr>
          <w:rFonts w:eastAsia="SimSun" w:cs="Arial"/>
          <w:b/>
          <w:bCs/>
          <w:color w:val="000000"/>
          <w:lang w:eastAsia="zh-CN"/>
        </w:rPr>
      </w:pPr>
    </w:p>
    <w:p w:rsidR="00BF4979" w:rsidRPr="002D77CD" w:rsidRDefault="00A17528" w:rsidP="00BF4979">
      <w:pPr>
        <w:ind w:right="238"/>
        <w:rPr>
          <w:rFonts w:eastAsia="SimSun" w:cs="Arial"/>
          <w:b/>
          <w:bCs/>
          <w:color w:val="000000"/>
          <w:lang w:eastAsia="zh-CN"/>
        </w:rPr>
      </w:pPr>
      <w:r w:rsidRPr="002D77CD">
        <w:rPr>
          <w:rFonts w:eastAsia="SimSun" w:cs="Arial"/>
          <w:b/>
          <w:bCs/>
          <w:color w:val="000000"/>
          <w:lang w:eastAsia="zh-CN"/>
        </w:rPr>
        <w:t>Nota de la</w:t>
      </w:r>
      <w:r w:rsidR="00BF4979" w:rsidRPr="002D77CD">
        <w:rPr>
          <w:rFonts w:eastAsia="SimSun" w:cs="Arial"/>
          <w:b/>
          <w:bCs/>
          <w:color w:val="000000"/>
          <w:lang w:eastAsia="zh-CN"/>
        </w:rPr>
        <w:t xml:space="preserve"> TSB</w:t>
      </w:r>
    </w:p>
    <w:p w:rsidR="002D77CD" w:rsidRPr="002D77CD" w:rsidRDefault="002D77CD" w:rsidP="002D77CD">
      <w:pPr>
        <w:ind w:right="238"/>
        <w:rPr>
          <w:rFonts w:eastAsia="SimSun" w:cs="Arial"/>
          <w:color w:val="000000"/>
          <w:lang w:eastAsia="zh-CN"/>
        </w:rPr>
      </w:pPr>
      <w:r w:rsidRPr="002D77CD">
        <w:rPr>
          <w:rFonts w:eastAsia="SimSun" w:cs="Arial"/>
          <w:color w:val="000000"/>
          <w:lang w:eastAsia="zh-CN"/>
        </w:rPr>
        <w:t>Ha llegado a nuestro conocimiento que ciertas organizaciones están ofreciendo la utilización de números nacionales E.164 y/o códigos de red E.164 compartidos para los servicios internacionales con recargo. En algunos casos, parece que las llamadas a tales números se desvían y no terminan en el país o en la red a la que la UIT asignó el indicativo de país E.164.</w:t>
      </w:r>
    </w:p>
    <w:p w:rsidR="002D77CD" w:rsidRPr="002D77CD" w:rsidRDefault="002D77CD" w:rsidP="002D77CD">
      <w:pPr>
        <w:ind w:right="238"/>
        <w:rPr>
          <w:rFonts w:eastAsia="SimSun" w:cs="Arial"/>
          <w:color w:val="000000"/>
          <w:lang w:eastAsia="zh-CN"/>
        </w:rPr>
      </w:pPr>
      <w:r w:rsidRPr="002D77CD">
        <w:rPr>
          <w:rFonts w:eastAsia="SimSun" w:cs="Arial"/>
          <w:color w:val="000000"/>
          <w:lang w:eastAsia="zh-CN"/>
        </w:rPr>
        <w:t xml:space="preserve">En este contexto rogamos tenga presente que el párrafo 6.2.6 of Recomendación UIT-T E.190 dispone lo siguiente: </w:t>
      </w:r>
      <w:r w:rsidR="00AE13E2">
        <w:rPr>
          <w:rFonts w:eastAsia="SimSun" w:cs="Arial"/>
          <w:color w:val="000000"/>
          <w:lang w:eastAsia="zh-CN"/>
        </w:rPr>
        <w:t>"</w:t>
      </w:r>
      <w:r w:rsidRPr="002D77CD">
        <w:rPr>
          <w:rFonts w:eastAsia="SimSun" w:cs="Arial"/>
          <w:color w:val="000000"/>
          <w:lang w:eastAsia="zh-CN"/>
        </w:rPr>
        <w:t>Los recursos de numeración de las Recomendaciones de la serie E sólo serán utilizados por el asignatario para la aplicación específica para la que han sido asignados por la TSB de la UIT.</w:t>
      </w:r>
      <w:r w:rsidR="00AE13E2">
        <w:rPr>
          <w:rFonts w:eastAsia="SimSun" w:cs="Arial"/>
          <w:color w:val="000000"/>
          <w:lang w:eastAsia="zh-CN"/>
        </w:rPr>
        <w:t>"</w:t>
      </w:r>
      <w:r w:rsidRPr="002D77CD">
        <w:rPr>
          <w:rFonts w:eastAsia="SimSun" w:cs="Arial"/>
          <w:color w:val="000000"/>
          <w:lang w:eastAsia="zh-CN"/>
        </w:rPr>
        <w:t xml:space="preserve"> En consecuencia, los recursos de numeración nacional sólo deben utilizarse para prestar servicios nacionales. Por supuesto, las partes pueden anunciar números nacionales en el plano internacional, y es evidente que la finalidad propia del sistema internacional de numeración es facilitar las llamadas internacionales. Sin embargo, toda llamada dirigida a un número nacional debe terminar en el país al que se ha asignado dicho número (excepto en el caso de la </w:t>
      </w:r>
      <w:proofErr w:type="spellStart"/>
      <w:r w:rsidRPr="002D77CD">
        <w:rPr>
          <w:rFonts w:eastAsia="SimSun" w:cs="Arial"/>
          <w:color w:val="000000"/>
          <w:lang w:eastAsia="zh-CN"/>
        </w:rPr>
        <w:t>itinerancia</w:t>
      </w:r>
      <w:proofErr w:type="spellEnd"/>
      <w:r w:rsidRPr="002D77CD">
        <w:rPr>
          <w:rFonts w:eastAsia="SimSun" w:cs="Arial"/>
          <w:color w:val="000000"/>
          <w:lang w:eastAsia="zh-CN"/>
        </w:rPr>
        <w:t xml:space="preserve"> móvil), ya que los números nacionales se asignaron con esa finalidad. En consecuencia, un número nacional no debería ser desviado fuera del país al que se ha asignado.</w:t>
      </w:r>
      <w:r w:rsidR="00AE13E2">
        <w:rPr>
          <w:rFonts w:eastAsia="SimSun" w:cs="Arial"/>
          <w:color w:val="000000"/>
          <w:lang w:eastAsia="zh-CN"/>
        </w:rPr>
        <w:t xml:space="preserve"> </w:t>
      </w:r>
    </w:p>
    <w:p w:rsidR="002D77CD" w:rsidRPr="002D77CD" w:rsidRDefault="002D77CD" w:rsidP="002D77CD">
      <w:pPr>
        <w:ind w:right="238"/>
        <w:rPr>
          <w:rFonts w:eastAsia="SimSun" w:cs="Arial"/>
          <w:color w:val="000000"/>
          <w:lang w:eastAsia="zh-CN"/>
        </w:rPr>
      </w:pPr>
      <w:r w:rsidRPr="002D77CD">
        <w:rPr>
          <w:rFonts w:eastAsia="SimSun" w:cs="Arial"/>
          <w:color w:val="000000"/>
          <w:lang w:eastAsia="zh-CN"/>
        </w:rPr>
        <w:t xml:space="preserve">De manera similar, las llamadas dirigidas a indicativos de red E.164 compartidos deben terminar en la red a la que se ha asignado dicho indicativo, y no deben desviarse fuera de la citada red. </w:t>
      </w:r>
    </w:p>
    <w:p w:rsidR="00BF4979" w:rsidRPr="002D77CD" w:rsidRDefault="002D77CD" w:rsidP="002D77CD">
      <w:pPr>
        <w:ind w:right="238"/>
        <w:rPr>
          <w:rFonts w:eastAsia="SimSun" w:cs="Arial"/>
          <w:color w:val="000000"/>
          <w:lang w:eastAsia="zh-CN"/>
        </w:rPr>
      </w:pPr>
      <w:r w:rsidRPr="002D77CD">
        <w:rPr>
          <w:rFonts w:eastAsia="SimSun" w:cs="Arial"/>
          <w:color w:val="000000"/>
          <w:lang w:eastAsia="zh-CN"/>
        </w:rPr>
        <w:t>Por la presente se notifica a todos los organismos de explotación que toda utilización de indicativos E.164 que no responda a la finalidad para la que fueron asignados puede constituir una utilización indebida en el sentido de la Recomendación UIT-T E.156, y puede ser objeto de las medidas previstas en dicha Recomendación.</w:t>
      </w:r>
    </w:p>
    <w:p w:rsidR="00BF4979" w:rsidRPr="002D77CD" w:rsidRDefault="002D77CD" w:rsidP="006D3624">
      <w:pPr>
        <w:ind w:right="238"/>
        <w:rPr>
          <w:rFonts w:eastAsia="SimSun" w:cs="Arial"/>
          <w:color w:val="000000"/>
          <w:lang w:eastAsia="zh-CN"/>
        </w:rPr>
      </w:pPr>
      <w:r w:rsidRPr="002D77CD">
        <w:rPr>
          <w:rFonts w:eastAsia="SimSun" w:cs="Arial"/>
          <w:color w:val="000000"/>
          <w:lang w:eastAsia="zh-CN"/>
        </w:rPr>
        <w:t>Por otra parte, se llama la atención sobre la Circular TSB 66 del periodo de estudios de 2001</w:t>
      </w:r>
      <w:r w:rsidR="006D3624">
        <w:rPr>
          <w:rFonts w:eastAsia="SimSun" w:cs="Arial"/>
          <w:color w:val="000000"/>
          <w:lang w:eastAsia="zh-CN"/>
        </w:rPr>
        <w:noBreakHyphen/>
      </w:r>
      <w:r w:rsidRPr="002D77CD">
        <w:rPr>
          <w:rFonts w:eastAsia="SimSun" w:cs="Arial"/>
          <w:color w:val="000000"/>
          <w:lang w:eastAsia="zh-CN"/>
        </w:rPr>
        <w:t>2004, relativa a la utilización de números nacionales para servicios internacionales. Dicha Circular puede consultarse en la dirección</w:t>
      </w:r>
      <w:r w:rsidR="00BF4979" w:rsidRPr="002D77CD">
        <w:rPr>
          <w:rFonts w:eastAsia="SimSun" w:cs="Arial"/>
          <w:color w:val="000000"/>
          <w:lang w:eastAsia="zh-CN"/>
        </w:rPr>
        <w:t xml:space="preserve">: </w:t>
      </w:r>
      <w:hyperlink r:id="rId16" w:history="1">
        <w:r w:rsidR="00BF4979" w:rsidRPr="002D77CD">
          <w:rPr>
            <w:rStyle w:val="Hyperlink"/>
            <w:rFonts w:eastAsia="SimSun" w:cs="Arial"/>
            <w:lang w:eastAsia="zh-CN"/>
          </w:rPr>
          <w:t>http://www.itu.int/md/T0</w:t>
        </w:r>
        <w:bookmarkStart w:id="4" w:name="_GoBack"/>
        <w:bookmarkEnd w:id="4"/>
        <w:r w:rsidR="00BF4979" w:rsidRPr="002D77CD">
          <w:rPr>
            <w:rStyle w:val="Hyperlink"/>
            <w:rFonts w:eastAsia="SimSun" w:cs="Arial"/>
            <w:lang w:eastAsia="zh-CN"/>
          </w:rPr>
          <w:t>1-TSB-CIR-0066/en</w:t>
        </w:r>
      </w:hyperlink>
      <w:r w:rsidR="00BF4979" w:rsidRPr="002D77CD">
        <w:rPr>
          <w:rFonts w:eastAsia="SimSun" w:cs="Arial"/>
          <w:color w:val="000000"/>
          <w:lang w:eastAsia="zh-CN"/>
        </w:rPr>
        <w:t xml:space="preserve"> .</w:t>
      </w:r>
    </w:p>
    <w:p w:rsidR="002D77CD" w:rsidRPr="00347998" w:rsidRDefault="002D77CD" w:rsidP="00227B49">
      <w:pPr>
        <w:pStyle w:val="Reasons"/>
        <w:rPr>
          <w:lang w:val="es-ES_tradnl"/>
        </w:rPr>
      </w:pPr>
    </w:p>
    <w:p w:rsidR="002D77CD" w:rsidRPr="00347998" w:rsidRDefault="002D77CD" w:rsidP="00227B49">
      <w:pPr>
        <w:pStyle w:val="Reasons"/>
        <w:rPr>
          <w:lang w:val="es-ES_tradnl"/>
        </w:rPr>
      </w:pPr>
    </w:p>
    <w:p w:rsidR="002D77CD" w:rsidRDefault="002D77CD">
      <w:pPr>
        <w:jc w:val="center"/>
      </w:pPr>
      <w:r>
        <w:t>______________</w:t>
      </w:r>
    </w:p>
    <w:sectPr w:rsidR="002D77CD">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9C" w:rsidRDefault="001F0E9C">
      <w:r>
        <w:separator/>
      </w:r>
    </w:p>
  </w:endnote>
  <w:endnote w:type="continuationSeparator" w:id="0">
    <w:p w:rsidR="001F0E9C" w:rsidRDefault="001F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9C" w:rsidRPr="00CB7110" w:rsidRDefault="00CB7110" w:rsidP="00D830E6">
    <w:pPr>
      <w:pStyle w:val="Footer"/>
      <w:rPr>
        <w:sz w:val="16"/>
        <w:szCs w:val="16"/>
        <w:lang w:val="fr-CH"/>
      </w:rPr>
    </w:pPr>
    <w:r w:rsidRPr="00CB7110">
      <w:rPr>
        <w:sz w:val="16"/>
        <w:szCs w:val="16"/>
        <w:lang w:val="fr-CH"/>
      </w:rPr>
      <w:t>ITU-T\BUREAU\CIRC\200\296S.DOCX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F0E9C" w:rsidRPr="003D673B">
      <w:tc>
        <w:tcPr>
          <w:tcW w:w="1985" w:type="dxa"/>
          <w:tcBorders>
            <w:top w:val="single" w:sz="6" w:space="0" w:color="auto"/>
            <w:left w:val="nil"/>
            <w:bottom w:val="nil"/>
            <w:right w:val="nil"/>
          </w:tcBorders>
        </w:tcPr>
        <w:p w:rsidR="001F0E9C" w:rsidRDefault="001F0E9C">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1F0E9C" w:rsidRDefault="001F0E9C">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1F0E9C" w:rsidRDefault="001F0E9C">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1F0E9C" w:rsidRDefault="001F0E9C"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1F0E9C">
      <w:tc>
        <w:tcPr>
          <w:tcW w:w="1985" w:type="dxa"/>
        </w:tcPr>
        <w:p w:rsidR="001F0E9C" w:rsidRDefault="001F0E9C">
          <w:pPr>
            <w:pStyle w:val="FirstFooter"/>
            <w:rPr>
              <w:rFonts w:ascii="Futura Lt BT" w:hAnsi="Futura Lt BT"/>
            </w:rPr>
          </w:pPr>
          <w:r>
            <w:rPr>
              <w:rFonts w:ascii="Futura Lt BT" w:hAnsi="Futura Lt BT"/>
            </w:rPr>
            <w:t>CH-1211 Ginebra 20</w:t>
          </w:r>
        </w:p>
      </w:tc>
      <w:tc>
        <w:tcPr>
          <w:tcW w:w="3119" w:type="dxa"/>
        </w:tcPr>
        <w:p w:rsidR="001F0E9C" w:rsidRDefault="001F0E9C">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F0E9C" w:rsidRDefault="001F0E9C">
          <w:pPr>
            <w:pStyle w:val="FirstFooter"/>
            <w:rPr>
              <w:rFonts w:ascii="Futura Lt BT" w:hAnsi="Futura Lt BT"/>
            </w:rPr>
          </w:pPr>
          <w:r>
            <w:rPr>
              <w:rFonts w:ascii="Futura Lt BT" w:hAnsi="Futura Lt BT"/>
            </w:rPr>
            <w:t>Telegrama ITU GENEVE</w:t>
          </w:r>
        </w:p>
      </w:tc>
      <w:tc>
        <w:tcPr>
          <w:tcW w:w="2304" w:type="dxa"/>
        </w:tcPr>
        <w:p w:rsidR="001F0E9C" w:rsidRDefault="001F0E9C" w:rsidP="008505BD">
          <w:pPr>
            <w:pStyle w:val="FirstFooter"/>
            <w:tabs>
              <w:tab w:val="right" w:pos="1956"/>
            </w:tabs>
            <w:ind w:right="70"/>
            <w:rPr>
              <w:rFonts w:ascii="Futura Lt BT" w:hAnsi="Futura Lt BT"/>
            </w:rPr>
          </w:pPr>
          <w:r>
            <w:rPr>
              <w:rFonts w:ascii="Futura Lt BT" w:hAnsi="Futura Lt BT"/>
            </w:rPr>
            <w:tab/>
            <w:t>www.itu.int</w:t>
          </w:r>
        </w:p>
      </w:tc>
    </w:tr>
    <w:tr w:rsidR="001F0E9C">
      <w:tc>
        <w:tcPr>
          <w:tcW w:w="1985" w:type="dxa"/>
        </w:tcPr>
        <w:p w:rsidR="001F0E9C" w:rsidRDefault="001F0E9C">
          <w:pPr>
            <w:pStyle w:val="FirstFooter"/>
            <w:rPr>
              <w:rFonts w:ascii="Futura Lt BT" w:hAnsi="Futura Lt BT"/>
            </w:rPr>
          </w:pPr>
          <w:r>
            <w:rPr>
              <w:rFonts w:ascii="Futura Lt BT" w:hAnsi="Futura Lt BT"/>
            </w:rPr>
            <w:t>Suiza</w:t>
          </w:r>
        </w:p>
      </w:tc>
      <w:tc>
        <w:tcPr>
          <w:tcW w:w="3119" w:type="dxa"/>
        </w:tcPr>
        <w:p w:rsidR="001F0E9C" w:rsidRDefault="001F0E9C">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F0E9C" w:rsidRDefault="001F0E9C">
          <w:pPr>
            <w:pStyle w:val="FirstFooter"/>
            <w:rPr>
              <w:rFonts w:ascii="Futura Lt BT" w:hAnsi="Futura Lt BT"/>
            </w:rPr>
          </w:pPr>
        </w:p>
      </w:tc>
      <w:tc>
        <w:tcPr>
          <w:tcW w:w="2304" w:type="dxa"/>
        </w:tcPr>
        <w:p w:rsidR="001F0E9C" w:rsidRDefault="001F0E9C">
          <w:pPr>
            <w:pStyle w:val="FirstFooter"/>
            <w:rPr>
              <w:rFonts w:ascii="Futura Lt BT" w:hAnsi="Futura Lt BT"/>
            </w:rPr>
          </w:pPr>
        </w:p>
      </w:tc>
    </w:tr>
  </w:tbl>
  <w:p w:rsidR="001F0E9C" w:rsidRPr="00D830E6" w:rsidRDefault="001F0E9C" w:rsidP="008505BD">
    <w:pPr>
      <w:pStyle w:val="Footer"/>
      <w:rPr>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9C" w:rsidRDefault="001F0E9C">
      <w:r>
        <w:t>____________________</w:t>
      </w:r>
    </w:p>
  </w:footnote>
  <w:footnote w:type="continuationSeparator" w:id="0">
    <w:p w:rsidR="001F0E9C" w:rsidRDefault="001F0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9C" w:rsidRPr="00303D62" w:rsidRDefault="001F0E9C">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034403">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8B"/>
    <w:rsid w:val="00002529"/>
    <w:rsid w:val="00034403"/>
    <w:rsid w:val="00072B79"/>
    <w:rsid w:val="000C382F"/>
    <w:rsid w:val="001173CC"/>
    <w:rsid w:val="001A54CC"/>
    <w:rsid w:val="001F0E9C"/>
    <w:rsid w:val="00227B49"/>
    <w:rsid w:val="00257FB4"/>
    <w:rsid w:val="002D77CD"/>
    <w:rsid w:val="00303D62"/>
    <w:rsid w:val="00335367"/>
    <w:rsid w:val="00347998"/>
    <w:rsid w:val="00370C2D"/>
    <w:rsid w:val="003D1E8D"/>
    <w:rsid w:val="003D673B"/>
    <w:rsid w:val="003F2855"/>
    <w:rsid w:val="00401C20"/>
    <w:rsid w:val="0041125C"/>
    <w:rsid w:val="004C4144"/>
    <w:rsid w:val="0059068B"/>
    <w:rsid w:val="006969B4"/>
    <w:rsid w:val="006D3624"/>
    <w:rsid w:val="00716588"/>
    <w:rsid w:val="00781E2A"/>
    <w:rsid w:val="007E2B3E"/>
    <w:rsid w:val="008258C2"/>
    <w:rsid w:val="008505BD"/>
    <w:rsid w:val="00850C78"/>
    <w:rsid w:val="0088190F"/>
    <w:rsid w:val="008C17AD"/>
    <w:rsid w:val="008D02CD"/>
    <w:rsid w:val="0095172A"/>
    <w:rsid w:val="00992C0D"/>
    <w:rsid w:val="009A0BA0"/>
    <w:rsid w:val="00A17528"/>
    <w:rsid w:val="00A54E47"/>
    <w:rsid w:val="00AE13E2"/>
    <w:rsid w:val="00AE7093"/>
    <w:rsid w:val="00B422BC"/>
    <w:rsid w:val="00B43F77"/>
    <w:rsid w:val="00B55A3E"/>
    <w:rsid w:val="00B95F0A"/>
    <w:rsid w:val="00B96180"/>
    <w:rsid w:val="00BF4979"/>
    <w:rsid w:val="00C17AC0"/>
    <w:rsid w:val="00C34772"/>
    <w:rsid w:val="00C5465A"/>
    <w:rsid w:val="00CB7110"/>
    <w:rsid w:val="00D54642"/>
    <w:rsid w:val="00D830E6"/>
    <w:rsid w:val="00DD77C9"/>
    <w:rsid w:val="00E839B0"/>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NormalaftertitleChar">
    <w:name w:val="Normal after title Char"/>
    <w:basedOn w:val="DefaultParagraphFont"/>
    <w:link w:val="Normalaftertitle"/>
    <w:locked/>
    <w:rsid w:val="00BF4979"/>
    <w:rPr>
      <w:rFonts w:ascii="Times New Roman" w:hAnsi="Times New Roman"/>
      <w:sz w:val="24"/>
      <w:lang w:val="es-ES_tradnl" w:eastAsia="en-US"/>
    </w:rPr>
  </w:style>
  <w:style w:type="paragraph" w:customStyle="1" w:styleId="Reasons">
    <w:name w:val="Reasons"/>
    <w:basedOn w:val="Normal"/>
    <w:qFormat/>
    <w:rsid w:val="002D77CD"/>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NormalaftertitleChar">
    <w:name w:val="Normal after title Char"/>
    <w:basedOn w:val="DefaultParagraphFont"/>
    <w:link w:val="Normalaftertitle"/>
    <w:locked/>
    <w:rsid w:val="00BF4979"/>
    <w:rPr>
      <w:rFonts w:ascii="Times New Roman" w:hAnsi="Times New Roman"/>
      <w:sz w:val="24"/>
      <w:lang w:val="es-ES_tradnl" w:eastAsia="en-US"/>
    </w:rPr>
  </w:style>
  <w:style w:type="paragraph" w:customStyle="1" w:styleId="Reasons">
    <w:name w:val="Reasons"/>
    <w:basedOn w:val="Normal"/>
    <w:qFormat/>
    <w:rsid w:val="002D77C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0202.aspx?parent=T02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secured/misuse/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T01-TSB-CIR-0066/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sem/oi-acp/index.html" TargetMode="External"/><Relationship Id="rId5" Type="http://schemas.openxmlformats.org/officeDocument/2006/relationships/settings" Target="settings.xml"/><Relationship Id="rId15" Type="http://schemas.openxmlformats.org/officeDocument/2006/relationships/hyperlink" Target="mailto:tsbsg2@itu.int" TargetMode="External"/><Relationship Id="rId10" Type="http://schemas.openxmlformats.org/officeDocument/2006/relationships/hyperlink" Target="mailto:tsbsg2@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SG03-C-009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CAB3-47FD-4993-A3D6-4B3EADF4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4</Pages>
  <Words>1678</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11076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Papara, Marion</cp:lastModifiedBy>
  <cp:revision>2</cp:revision>
  <cp:lastPrinted>2012-06-27T11:56:00Z</cp:lastPrinted>
  <dcterms:created xsi:type="dcterms:W3CDTF">2012-07-03T07:29:00Z</dcterms:created>
  <dcterms:modified xsi:type="dcterms:W3CDTF">2012-07-03T07:29:00Z</dcterms:modified>
</cp:coreProperties>
</file>