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1349E29D" wp14:editId="14874BD2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496B7B">
        <w:t>4 de junio de 2012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Default="00C34772" w:rsidP="006C499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6C4999">
              <w:rPr>
                <w:b/>
              </w:rPr>
              <w:t>288</w:t>
            </w:r>
          </w:p>
          <w:p w:rsidR="00C34772" w:rsidRDefault="006C4999" w:rsidP="006C499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>COM 3</w:t>
            </w:r>
            <w:r w:rsidR="00C34772">
              <w:t>/</w:t>
            </w:r>
            <w:r>
              <w:t>RH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6C4999">
              <w:t xml:space="preserve"> 5887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986B53" w:rsidP="006C4999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0361DC" w:rsidRPr="00064D2E">
                <w:rPr>
                  <w:rStyle w:val="Hyperlink"/>
                </w:rPr>
                <w:t>tsbsg3@itu.int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  <w:r>
              <w:t>;</w:t>
            </w:r>
          </w:p>
          <w:p w:rsidR="00C34772" w:rsidRDefault="00C34772" w:rsidP="006C4999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 la</w:t>
            </w:r>
            <w:r>
              <w:br/>
              <w:t xml:space="preserve">Comisión de Estudio </w:t>
            </w:r>
            <w:r w:rsidR="006C4999">
              <w:t>3</w:t>
            </w:r>
            <w:r>
              <w:t>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9213"/>
      </w:tblGrid>
      <w:tr w:rsidR="00C34772" w:rsidTr="00B775B6">
        <w:trPr>
          <w:cantSplit/>
        </w:trPr>
        <w:tc>
          <w:tcPr>
            <w:tcW w:w="985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9213" w:type="dxa"/>
          </w:tcPr>
          <w:p w:rsidR="00C34772" w:rsidRDefault="00C34772" w:rsidP="00D6732E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Reunión de la Comisión de Estudio </w:t>
            </w:r>
            <w:r w:rsidR="006C4999">
              <w:rPr>
                <w:b/>
              </w:rPr>
              <w:t>3</w:t>
            </w:r>
            <w:r>
              <w:rPr>
                <w:b/>
              </w:rPr>
              <w:t xml:space="preserve"> para la aprobación del proyecto de </w:t>
            </w:r>
            <w:r w:rsidR="006C4999">
              <w:rPr>
                <w:b/>
              </w:rPr>
              <w:t xml:space="preserve">nueva </w:t>
            </w:r>
            <w:r>
              <w:rPr>
                <w:b/>
              </w:rPr>
              <w:t xml:space="preserve">Recomendación </w:t>
            </w:r>
            <w:r w:rsidR="006C4999">
              <w:rPr>
                <w:b/>
              </w:rPr>
              <w:t xml:space="preserve">UIT-T D.98, el </w:t>
            </w:r>
            <w:r>
              <w:rPr>
                <w:b/>
              </w:rPr>
              <w:t>proyecto de Recomendación</w:t>
            </w:r>
            <w:r w:rsidR="006C4999">
              <w:rPr>
                <w:b/>
              </w:rPr>
              <w:t xml:space="preserve"> revisada</w:t>
            </w:r>
            <w:r>
              <w:rPr>
                <w:b/>
              </w:rPr>
              <w:t xml:space="preserve"> UIT-T </w:t>
            </w:r>
            <w:r w:rsidR="006C4999">
              <w:rPr>
                <w:b/>
              </w:rPr>
              <w:t xml:space="preserve">D.99 </w:t>
            </w:r>
            <w:r w:rsidR="00B775B6">
              <w:rPr>
                <w:b/>
              </w:rPr>
              <w:br/>
            </w:r>
            <w:r w:rsidR="006C4999">
              <w:rPr>
                <w:b/>
              </w:rPr>
              <w:t xml:space="preserve">y el proyecto de nuevo </w:t>
            </w:r>
            <w:r w:rsidR="00D6732E">
              <w:rPr>
                <w:b/>
              </w:rPr>
              <w:t>anexo</w:t>
            </w:r>
            <w:r w:rsidR="006C4999">
              <w:rPr>
                <w:b/>
              </w:rPr>
              <w:t xml:space="preserve"> B a la Recomendación UIT-T D.156, </w:t>
            </w:r>
            <w:r>
              <w:rPr>
                <w:b/>
              </w:rPr>
              <w:t xml:space="preserve">de conformidad </w:t>
            </w:r>
            <w:r w:rsidR="00B775B6">
              <w:rPr>
                <w:b/>
              </w:rPr>
              <w:br/>
            </w:r>
            <w:r>
              <w:rPr>
                <w:b/>
              </w:rPr>
              <w:t>con las disposiciones de la Resolución 1, Sección 9, de la AMNT (Johannesburgo, 2008)</w:t>
            </w:r>
            <w:r>
              <w:rPr>
                <w:b/>
              </w:rPr>
              <w:br/>
              <w:t xml:space="preserve">Ginebra, </w:t>
            </w:r>
            <w:r w:rsidR="006C4999">
              <w:rPr>
                <w:b/>
              </w:rPr>
              <w:t>7 de septiembre de 2012</w:t>
            </w:r>
          </w:p>
        </w:tc>
      </w:tr>
    </w:tbl>
    <w:p w:rsidR="00C34772" w:rsidRDefault="00C34772" w:rsidP="00303D62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C34772" w:rsidRDefault="00C34772" w:rsidP="00303D62">
      <w:r>
        <w:t>Muy Señora mía/Muy Señor mío:</w:t>
      </w:r>
    </w:p>
    <w:p w:rsidR="00C34772" w:rsidRDefault="00C34772" w:rsidP="00496B7B">
      <w:pPr>
        <w:pStyle w:val="Normalaftertitle"/>
      </w:pPr>
      <w:r>
        <w:rPr>
          <w:bCs/>
        </w:rPr>
        <w:t>1</w:t>
      </w:r>
      <w:r>
        <w:tab/>
        <w:t xml:space="preserve">A petición del Presidente de la Comisión de Estudio </w:t>
      </w:r>
      <w:r w:rsidR="000361DC">
        <w:t>3</w:t>
      </w:r>
      <w:r w:rsidR="00496B7B">
        <w:t>,</w:t>
      </w:r>
      <w:r>
        <w:t xml:space="preserve"> </w:t>
      </w:r>
      <w:r w:rsidR="000361DC" w:rsidRPr="00496B7B">
        <w:rPr>
          <w:i/>
          <w:iCs/>
        </w:rPr>
        <w:t>Principios de tarificación y contabilidad</w:t>
      </w:r>
      <w:r w:rsidR="000361DC" w:rsidRPr="00D6732E">
        <w:rPr>
          <w:i/>
          <w:iCs/>
        </w:rPr>
        <w:t>, incluidos los temas relativos a economía y política de las telecomunicaciones</w:t>
      </w:r>
      <w:r w:rsidR="000361DC">
        <w:t>,</w:t>
      </w:r>
      <w:r>
        <w:t xml:space="preserve"> tengo el honor de informarle que esta Comisión de Estudio, que se reunirá del </w:t>
      </w:r>
      <w:r w:rsidR="000361DC">
        <w:t xml:space="preserve">3 </w:t>
      </w:r>
      <w:r>
        <w:t>al</w:t>
      </w:r>
      <w:r w:rsidR="000361DC">
        <w:t xml:space="preserve"> 7 de septiembre de 2012, </w:t>
      </w:r>
      <w:r>
        <w:t xml:space="preserve">se propone aplicar el procedimiento descrito en la Resolución 1, Sección 9, de la AMNT (Johannesburgo, 2008) para la aprobación de los proyectos de </w:t>
      </w:r>
      <w:r w:rsidR="000361DC">
        <w:t xml:space="preserve">textos </w:t>
      </w:r>
      <w:r>
        <w:t>mencionados arriba.</w:t>
      </w:r>
    </w:p>
    <w:p w:rsidR="00C34772" w:rsidRDefault="00C34772" w:rsidP="00E130D2">
      <w:r>
        <w:rPr>
          <w:bCs/>
        </w:rPr>
        <w:t>2</w:t>
      </w:r>
      <w:r>
        <w:tab/>
        <w:t xml:space="preserve">El </w:t>
      </w:r>
      <w:r w:rsidR="00D6732E">
        <w:rPr>
          <w:b/>
        </w:rPr>
        <w:t>anexo</w:t>
      </w:r>
      <w:r w:rsidR="00E130D2">
        <w:rPr>
          <w:b/>
        </w:rPr>
        <w:t xml:space="preserve"> </w:t>
      </w:r>
      <w:r>
        <w:rPr>
          <w:b/>
        </w:rPr>
        <w:t>1</w:t>
      </w:r>
      <w:r>
        <w:t xml:space="preserve"> contiene el título y </w:t>
      </w:r>
      <w:r w:rsidR="00E130D2">
        <w:t xml:space="preserve">el lugar donde figuran de los </w:t>
      </w:r>
      <w:r>
        <w:t xml:space="preserve">proyectos de </w:t>
      </w:r>
      <w:r w:rsidR="00E130D2">
        <w:t>textos propuestos para aprobación</w:t>
      </w:r>
      <w:r>
        <w:t>.</w:t>
      </w:r>
    </w:p>
    <w:p w:rsidR="00C34772" w:rsidRDefault="00C34772" w:rsidP="00E130D2">
      <w:r>
        <w:rPr>
          <w:bCs/>
        </w:rPr>
        <w:t>3</w:t>
      </w:r>
      <w:r>
        <w:tab/>
        <w:t xml:space="preserve">Todo Estado Miembro, Miembro de Sector, Asociado o Institución Académica de la UIT consciente de la titularidad de una patente propia o ajena que pueda cubrir total o parcialmente los elementos de los proyectos de </w:t>
      </w:r>
      <w:r w:rsidR="00E130D2">
        <w:t xml:space="preserve">textos </w:t>
      </w:r>
      <w:r>
        <w:t>propuestos para aprobación debe poner esa información en conocimiento de la TSB, de conformidad con la política sobre patentes del UIT</w:t>
      </w:r>
      <w:r>
        <w:noBreakHyphen/>
        <w:t>T/UIT-R/ISO/CEI.</w:t>
      </w:r>
    </w:p>
    <w:p w:rsidR="00C34772" w:rsidRDefault="00C34772" w:rsidP="00D6732E">
      <w:r>
        <w:t xml:space="preserve">Puede accederse en línea a la información disponible sobre patentes a través del sitio </w:t>
      </w:r>
      <w:r w:rsidR="00D6732E">
        <w:t>w</w:t>
      </w:r>
      <w:r>
        <w:t>eb del UIT</w:t>
      </w:r>
      <w:r>
        <w:noBreakHyphen/>
        <w:t>T (</w:t>
      </w:r>
      <w:hyperlink r:id="rId11" w:history="1">
        <w:r w:rsidRPr="00F816C5">
          <w:rPr>
            <w:rStyle w:val="Hyperlink"/>
          </w:rPr>
          <w:t>www.itu.int/ITU-T/ipr/</w:t>
        </w:r>
      </w:hyperlink>
      <w:r>
        <w:t>).</w:t>
      </w:r>
    </w:p>
    <w:p w:rsidR="00496B7B" w:rsidRDefault="00496B7B" w:rsidP="00E130D2">
      <w:pPr>
        <w:rPr>
          <w:bCs/>
        </w:rPr>
      </w:pPr>
    </w:p>
    <w:p w:rsidR="00496B7B" w:rsidRDefault="00496B7B" w:rsidP="00496B7B">
      <w:pPr>
        <w:ind w:firstLine="720"/>
      </w:pPr>
    </w:p>
    <w:p w:rsidR="00C34772" w:rsidRDefault="00C34772" w:rsidP="00E130D2">
      <w:r w:rsidRPr="00496B7B">
        <w:br w:type="page"/>
      </w:r>
      <w:r>
        <w:rPr>
          <w:bCs/>
        </w:rPr>
        <w:lastRenderedPageBreak/>
        <w:t>4</w:t>
      </w:r>
      <w:r>
        <w:tab/>
        <w:t xml:space="preserve">Teniendo en cuenta las disposiciones de la Resolución 1, Sección 9, le agradecería que me comunicase </w:t>
      </w:r>
      <w:r>
        <w:rPr>
          <w:b/>
        </w:rPr>
        <w:t>antes</w:t>
      </w:r>
      <w:r>
        <w:t xml:space="preserve"> de las 24.00 horas UTC </w:t>
      </w:r>
      <w:r>
        <w:rPr>
          <w:b/>
        </w:rPr>
        <w:t xml:space="preserve">del </w:t>
      </w:r>
      <w:r w:rsidR="00E130D2">
        <w:rPr>
          <w:b/>
        </w:rPr>
        <w:t xml:space="preserve">22 de agosto de 2012 </w:t>
      </w:r>
      <w:r>
        <w:t xml:space="preserve">si su Administración otorga a la Comisión de Estudio </w:t>
      </w:r>
      <w:r w:rsidR="00E130D2">
        <w:t xml:space="preserve">3 </w:t>
      </w:r>
      <w:r>
        <w:t xml:space="preserve">la autoridad necesaria para que durante su reunión puedan considerar la aprobación de estos </w:t>
      </w:r>
      <w:r w:rsidR="00E130D2">
        <w:t>proyectos de textos</w:t>
      </w:r>
      <w:r>
        <w:t>.</w:t>
      </w:r>
    </w:p>
    <w:p w:rsidR="00C34772" w:rsidRDefault="00C34772" w:rsidP="005E6DD2">
      <w:r>
        <w:t xml:space="preserve">Si algunos Estados Miembros opinan que no puede procederse a considerar la aprobación, deben indicar sus razones de desaprobación así como los posibles cambios que facilitarían el nuevo examen y la aprobación de los proyectos de </w:t>
      </w:r>
      <w:r w:rsidR="005E6DD2">
        <w:t>textos</w:t>
      </w:r>
      <w:r>
        <w:t>.</w:t>
      </w:r>
    </w:p>
    <w:p w:rsidR="00C34772" w:rsidRDefault="00C34772" w:rsidP="00D6732E">
      <w:r>
        <w:rPr>
          <w:bCs/>
        </w:rPr>
        <w:t>5</w:t>
      </w:r>
      <w:r>
        <w:tab/>
        <w:t xml:space="preserve">Si el 70% como mínimo de las respuestas de los Estados Miembros están a favor de que se considere la aprobación de estos proyectos de </w:t>
      </w:r>
      <w:r w:rsidR="005E6DD2">
        <w:t xml:space="preserve">textos </w:t>
      </w:r>
      <w:r>
        <w:t xml:space="preserve">en la reunión de la Comisión de Estudio, </w:t>
      </w:r>
      <w:r>
        <w:rPr>
          <w:b/>
        </w:rPr>
        <w:t>el</w:t>
      </w:r>
      <w:r w:rsidR="00D6732E">
        <w:rPr>
          <w:b/>
        </w:rPr>
        <w:t> </w:t>
      </w:r>
      <w:r w:rsidR="005E6DD2">
        <w:rPr>
          <w:b/>
        </w:rPr>
        <w:t>7</w:t>
      </w:r>
      <w:r w:rsidR="00D6732E">
        <w:rPr>
          <w:b/>
        </w:rPr>
        <w:t> </w:t>
      </w:r>
      <w:r w:rsidR="005E6DD2">
        <w:rPr>
          <w:b/>
        </w:rPr>
        <w:t xml:space="preserve">de septiembre de 2012 </w:t>
      </w:r>
      <w:r>
        <w:t xml:space="preserve">se dedicará una </w:t>
      </w:r>
      <w:r w:rsidR="00D54642">
        <w:t>Sesión Plenaria</w:t>
      </w:r>
      <w:r>
        <w:t xml:space="preserve"> a la aplicación del procedimiento de aprobación.</w:t>
      </w:r>
    </w:p>
    <w:p w:rsidR="00C34772" w:rsidRDefault="00C34772" w:rsidP="00D6732E">
      <w:r>
        <w:t xml:space="preserve">Invito pues a su Administración a que envíe un representante a dicha reunión. Se invita a las </w:t>
      </w:r>
      <w:r>
        <w:rPr>
          <w:b/>
        </w:rPr>
        <w:t>Administraciones de los Estados Miembros de la Unión</w:t>
      </w:r>
      <w:r>
        <w:t xml:space="preserve"> a precisar el nombre de su Jefe de </w:t>
      </w:r>
      <w:r w:rsidR="00D6732E">
        <w:t>D</w:t>
      </w:r>
      <w:r>
        <w:t xml:space="preserve">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</w:t>
      </w:r>
      <w:r w:rsidR="00D54642">
        <w:t>A</w:t>
      </w:r>
      <w:r>
        <w:t>rtículo 19, número 239, del Convenio de la UIT.</w:t>
      </w:r>
    </w:p>
    <w:p w:rsidR="00C34772" w:rsidRDefault="00C34772" w:rsidP="00D6732E">
      <w:r>
        <w:rPr>
          <w:bCs/>
        </w:rPr>
        <w:t>6</w:t>
      </w:r>
      <w:r>
        <w:tab/>
        <w:t>El orden del día y toda la información pertinente sobre la reunión de la Comisión de Estudio</w:t>
      </w:r>
      <w:r w:rsidR="005E6DD2">
        <w:t xml:space="preserve"> 3 </w:t>
      </w:r>
      <w:r>
        <w:t xml:space="preserve">figurarán en la Carta </w:t>
      </w:r>
      <w:r w:rsidR="00D6732E">
        <w:t>C</w:t>
      </w:r>
      <w:r>
        <w:t xml:space="preserve">olectiva </w:t>
      </w:r>
      <w:r w:rsidR="005E6DD2">
        <w:t>5</w:t>
      </w:r>
      <w:r>
        <w:t>/</w:t>
      </w:r>
      <w:r w:rsidR="005E6DD2">
        <w:t>3.</w:t>
      </w:r>
    </w:p>
    <w:p w:rsidR="00C34772" w:rsidRDefault="00C34772" w:rsidP="00D6732E">
      <w:r>
        <w:rPr>
          <w:bCs/>
        </w:rPr>
        <w:t>7</w:t>
      </w:r>
      <w:r>
        <w:tab/>
        <w:t xml:space="preserve">Después de la reunión, el Director de la TSB notificará por </w:t>
      </w:r>
      <w:r w:rsidR="00D6732E">
        <w:t>C</w:t>
      </w:r>
      <w:r>
        <w:t xml:space="preserve">ircular la decisión tomada sobre </w:t>
      </w:r>
      <w:r w:rsidR="005E6DD2">
        <w:t>estos textos</w:t>
      </w:r>
      <w:r>
        <w:t>. Esta información se publicará también en el Boletín de Explotación de la UIT.</w:t>
      </w:r>
    </w:p>
    <w:p w:rsidR="00C34772" w:rsidRDefault="00C34772" w:rsidP="00B55A3E">
      <w:pPr>
        <w:ind w:right="92"/>
      </w:pPr>
      <w:r>
        <w:t>Le saluda muy atentamente</w:t>
      </w:r>
      <w:r w:rsidR="00B55A3E">
        <w:t>.</w:t>
      </w:r>
    </w:p>
    <w:p w:rsidR="00C34772" w:rsidRDefault="00C34772" w:rsidP="00303D62">
      <w:pPr>
        <w:spacing w:before="1701"/>
        <w:ind w:right="91"/>
      </w:pPr>
      <w:r w:rsidRPr="00B422BC">
        <w:t>Malcolm Johnson</w:t>
      </w:r>
      <w:r>
        <w:br/>
        <w:t>Director de la Oficina de</w:t>
      </w:r>
      <w:r>
        <w:br/>
        <w:t>Normalización de las Telecomunicaciones</w:t>
      </w:r>
    </w:p>
    <w:p w:rsidR="00C34772" w:rsidRDefault="00C34772" w:rsidP="00303D62">
      <w:pPr>
        <w:spacing w:before="400"/>
        <w:ind w:right="91"/>
      </w:pPr>
    </w:p>
    <w:p w:rsidR="00496B7B" w:rsidRDefault="00496B7B" w:rsidP="00303D62">
      <w:pPr>
        <w:spacing w:before="400"/>
        <w:ind w:right="91"/>
      </w:pPr>
    </w:p>
    <w:p w:rsidR="00C34772" w:rsidRDefault="00C34772" w:rsidP="00303D62">
      <w:pPr>
        <w:rPr>
          <w:b/>
        </w:rPr>
      </w:pPr>
      <w:r>
        <w:rPr>
          <w:b/>
        </w:rPr>
        <w:t>Anexo</w:t>
      </w:r>
      <w:r w:rsidRPr="00496B7B">
        <w:rPr>
          <w:bCs/>
        </w:rPr>
        <w:t xml:space="preserve">: </w:t>
      </w:r>
      <w:r w:rsidR="005E6DD2" w:rsidRPr="00496B7B">
        <w:rPr>
          <w:bCs/>
        </w:rPr>
        <w:t>1</w:t>
      </w:r>
    </w:p>
    <w:p w:rsidR="00D14A24" w:rsidRDefault="00D14A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CC6D6F" w:rsidRPr="00B775B6" w:rsidRDefault="00CC6D6F" w:rsidP="00D6732E">
      <w:pPr>
        <w:pStyle w:val="AnnexNotitle"/>
        <w:rPr>
          <w:b w:val="0"/>
          <w:bCs/>
          <w:sz w:val="24"/>
          <w:szCs w:val="24"/>
        </w:rPr>
      </w:pPr>
      <w:r w:rsidRPr="00B775B6">
        <w:rPr>
          <w:b w:val="0"/>
          <w:bCs/>
          <w:sz w:val="24"/>
          <w:szCs w:val="24"/>
        </w:rPr>
        <w:lastRenderedPageBreak/>
        <w:t>ANEXO 1</w:t>
      </w:r>
      <w:r w:rsidRPr="00B775B6">
        <w:rPr>
          <w:b w:val="0"/>
          <w:bCs/>
          <w:sz w:val="24"/>
          <w:szCs w:val="24"/>
        </w:rPr>
        <w:br/>
        <w:t>(a la Circular TSB 288)</w:t>
      </w:r>
    </w:p>
    <w:p w:rsidR="00D6732E" w:rsidRPr="00D6732E" w:rsidRDefault="00D6732E" w:rsidP="00D6732E"/>
    <w:p w:rsidR="00CC6D6F" w:rsidRPr="00496B7B" w:rsidRDefault="00CC6D6F" w:rsidP="00496B7B">
      <w:pPr>
        <w:pStyle w:val="Normalaftertitle"/>
        <w:rPr>
          <w:b/>
          <w:bCs/>
          <w:i/>
          <w:iCs/>
        </w:rPr>
      </w:pPr>
      <w:r w:rsidRPr="00496B7B">
        <w:rPr>
          <w:b/>
          <w:bCs/>
          <w:i/>
          <w:iCs/>
        </w:rPr>
        <w:t>Nota: Los textos íntegros figuran en el Informe COM3-R 23.</w:t>
      </w:r>
    </w:p>
    <w:p w:rsidR="00CC6D6F" w:rsidRDefault="00CC6D6F" w:rsidP="00496B7B">
      <w:pPr>
        <w:pStyle w:val="Heading1"/>
      </w:pPr>
      <w:bookmarkStart w:id="5" w:name="_Toc315248919"/>
      <w:r>
        <w:t>1</w:t>
      </w:r>
      <w:r>
        <w:tab/>
        <w:t>Proyecto de nueva Recomendación UIT-T D.98</w:t>
      </w:r>
      <w:bookmarkEnd w:id="5"/>
      <w:r>
        <w:t xml:space="preserve"> (nuevo)</w:t>
      </w:r>
    </w:p>
    <w:p w:rsidR="00CC6D6F" w:rsidRDefault="00CC6D6F" w:rsidP="00CC6D6F">
      <w:pPr>
        <w:pStyle w:val="Rectitle0"/>
        <w:rPr>
          <w:rFonts w:eastAsia="MS Mincho"/>
        </w:rPr>
      </w:pPr>
      <w:bookmarkStart w:id="6" w:name="_Toc315248920"/>
      <w:r>
        <w:t xml:space="preserve">Tarificación del servicio de </w:t>
      </w:r>
      <w:proofErr w:type="spellStart"/>
      <w:r>
        <w:t>itinerancia</w:t>
      </w:r>
      <w:proofErr w:type="spellEnd"/>
      <w:r>
        <w:t xml:space="preserve"> móvil internacional</w:t>
      </w:r>
      <w:bookmarkEnd w:id="6"/>
    </w:p>
    <w:p w:rsidR="00CC6D6F" w:rsidRPr="00496B7B" w:rsidRDefault="00CC6D6F" w:rsidP="00496B7B">
      <w:pPr>
        <w:pStyle w:val="Headingb0"/>
      </w:pPr>
      <w:r w:rsidRPr="00496B7B">
        <w:t>Resumen</w:t>
      </w:r>
    </w:p>
    <w:p w:rsidR="00CC6D6F" w:rsidRDefault="00CC6D6F" w:rsidP="00496B7B">
      <w:r>
        <w:t>En la presente Recomendación se proponen medidas que permiten a los consumidores beneficiarse de una competencia y regulación eficientes proporcionando la información y transparencia necesarias para tomar decisiones; identificando medidas para mejorar el funcionamiento del mercado, y formulando propuestas de medidas reglamentarias, incluidas las destinadas a reducir las tasas.</w:t>
      </w:r>
    </w:p>
    <w:p w:rsidR="00CC6D6F" w:rsidRDefault="00CC6D6F" w:rsidP="00496B7B">
      <w:pPr>
        <w:pStyle w:val="Heading1"/>
      </w:pPr>
      <w:bookmarkStart w:id="7" w:name="_Toc315248921"/>
      <w:r>
        <w:t>2</w:t>
      </w:r>
      <w:r>
        <w:tab/>
        <w:t>Proyecto de Recomendación UIT-T D.99</w:t>
      </w:r>
      <w:bookmarkEnd w:id="7"/>
      <w:r>
        <w:t xml:space="preserve"> (revisado)</w:t>
      </w:r>
    </w:p>
    <w:p w:rsidR="00CC6D6F" w:rsidRPr="007155F0" w:rsidRDefault="00CC6D6F" w:rsidP="007155F0">
      <w:pPr>
        <w:pStyle w:val="Rectitle0"/>
      </w:pPr>
      <w:bookmarkStart w:id="8" w:name="_Toc315248922"/>
      <w:r w:rsidRPr="007155F0">
        <w:t>Tasa indicativa para la terminación en redes móviles internacionales</w:t>
      </w:r>
      <w:bookmarkEnd w:id="8"/>
    </w:p>
    <w:p w:rsidR="00CC6D6F" w:rsidRDefault="00CC6D6F" w:rsidP="00CC6D6F">
      <w:pPr>
        <w:pStyle w:val="Headingb0"/>
      </w:pPr>
      <w:bookmarkStart w:id="9" w:name="isums"/>
      <w:r>
        <w:t>Resumen</w:t>
      </w:r>
    </w:p>
    <w:p w:rsidR="00CC6D6F" w:rsidRDefault="00CC6D6F" w:rsidP="00CC6D6F">
      <w:r>
        <w:t>En la Recomendación UIT-T D.99 se aborda la cuestión relacionada con una tasa indicativa para la terminación en redes móviles internacionales y se sugieren ciertas consideraciones que deben tener en cuenta los órganos de reglamentación nacionales.</w:t>
      </w:r>
      <w:bookmarkEnd w:id="9"/>
    </w:p>
    <w:p w:rsidR="00CC6D6F" w:rsidRDefault="00CC6D6F" w:rsidP="00D6732E">
      <w:pPr>
        <w:pStyle w:val="Heading1"/>
      </w:pPr>
      <w:bookmarkStart w:id="10" w:name="_Toc315248923"/>
      <w:r>
        <w:t>3</w:t>
      </w:r>
      <w:r>
        <w:tab/>
        <w:t xml:space="preserve">Proyecto de </w:t>
      </w:r>
      <w:r w:rsidR="00D6732E">
        <w:t>a</w:t>
      </w:r>
      <w:r>
        <w:t>nexo B a la Recomendación UIT-T D.156</w:t>
      </w:r>
      <w:bookmarkEnd w:id="10"/>
      <w:r>
        <w:t xml:space="preserve"> (nuevo)</w:t>
      </w:r>
    </w:p>
    <w:p w:rsidR="00CC6D6F" w:rsidRPr="007155F0" w:rsidRDefault="00CC6D6F" w:rsidP="007155F0">
      <w:pPr>
        <w:pStyle w:val="Rectitle0"/>
      </w:pPr>
      <w:r w:rsidRPr="007155F0">
        <w:t>Cálculo de la prima de externalidades de red</w:t>
      </w:r>
    </w:p>
    <w:p w:rsidR="00CC6D6F" w:rsidRDefault="00CC6D6F" w:rsidP="00CC6D6F">
      <w:pPr>
        <w:pStyle w:val="Headingb0"/>
      </w:pPr>
      <w:r>
        <w:t>Resumen</w:t>
      </w:r>
    </w:p>
    <w:p w:rsidR="00CC6D6F" w:rsidRDefault="00CC6D6F" w:rsidP="00D6732E">
      <w:pPr>
        <w:rPr>
          <w:szCs w:val="24"/>
        </w:rPr>
      </w:pPr>
      <w:r>
        <w:rPr>
          <w:szCs w:val="24"/>
        </w:rPr>
        <w:t xml:space="preserve">En este </w:t>
      </w:r>
      <w:r w:rsidR="00D6732E">
        <w:rPr>
          <w:szCs w:val="24"/>
        </w:rPr>
        <w:t>a</w:t>
      </w:r>
      <w:r>
        <w:rPr>
          <w:szCs w:val="24"/>
        </w:rPr>
        <w:t>nexo se presenta un método para calcular la prima de externalidades de red.</w:t>
      </w:r>
    </w:p>
    <w:p w:rsidR="007155F0" w:rsidRDefault="007155F0" w:rsidP="007155F0">
      <w:pPr>
        <w:rPr>
          <w:szCs w:val="24"/>
        </w:rPr>
      </w:pPr>
    </w:p>
    <w:p w:rsidR="007155F0" w:rsidRPr="00D6732E" w:rsidRDefault="007155F0" w:rsidP="00424D3D">
      <w:pPr>
        <w:pStyle w:val="Reasons"/>
        <w:rPr>
          <w:lang w:val="es-ES_tradnl"/>
        </w:rPr>
      </w:pPr>
    </w:p>
    <w:p w:rsidR="007155F0" w:rsidRDefault="007155F0" w:rsidP="00B775B6">
      <w:pPr>
        <w:jc w:val="center"/>
        <w:rPr>
          <w:rFonts w:asciiTheme="majorBidi" w:hAnsiTheme="majorBidi" w:cstheme="majorBidi"/>
        </w:rPr>
      </w:pPr>
      <w:r>
        <w:t>______________</w:t>
      </w:r>
    </w:p>
    <w:sectPr w:rsidR="007155F0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3D" w:rsidRDefault="00424D3D">
      <w:r>
        <w:separator/>
      </w:r>
    </w:p>
  </w:endnote>
  <w:endnote w:type="continuationSeparator" w:id="0">
    <w:p w:rsidR="00424D3D" w:rsidRDefault="0042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5B6" w:rsidRPr="00D62F37" w:rsidRDefault="00B775B6" w:rsidP="00B775B6">
    <w:pPr>
      <w:pStyle w:val="Footer"/>
      <w:rPr>
        <w:sz w:val="16"/>
        <w:szCs w:val="16"/>
        <w:lang w:val="fr-CH"/>
      </w:rPr>
    </w:pPr>
    <w:r w:rsidRPr="00D62F37">
      <w:rPr>
        <w:sz w:val="16"/>
        <w:szCs w:val="16"/>
        <w:lang w:val="fr-CH"/>
      </w:rPr>
      <w:t>ITU-T\BUREAU\CIRC\200\288</w:t>
    </w:r>
    <w:r>
      <w:rPr>
        <w:sz w:val="16"/>
        <w:szCs w:val="16"/>
        <w:lang w:val="fr-CH"/>
      </w:rPr>
      <w:t>S</w:t>
    </w:r>
    <w:r w:rsidRPr="00D62F37">
      <w:rPr>
        <w:sz w:val="16"/>
        <w:szCs w:val="16"/>
        <w:lang w:val="fr-CH"/>
      </w:rPr>
      <w:t>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424D3D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24D3D" w:rsidRDefault="00424D3D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24D3D" w:rsidRDefault="00424D3D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24D3D" w:rsidRDefault="00424D3D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424D3D" w:rsidRDefault="00424D3D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424D3D">
      <w:tc>
        <w:tcPr>
          <w:tcW w:w="1985" w:type="dxa"/>
        </w:tcPr>
        <w:p w:rsidR="00424D3D" w:rsidRDefault="00424D3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424D3D" w:rsidRDefault="00424D3D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424D3D" w:rsidRDefault="00424D3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424D3D" w:rsidRDefault="00424D3D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424D3D">
      <w:tc>
        <w:tcPr>
          <w:tcW w:w="1985" w:type="dxa"/>
        </w:tcPr>
        <w:p w:rsidR="00424D3D" w:rsidRDefault="00424D3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424D3D" w:rsidRDefault="00424D3D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424D3D" w:rsidRDefault="00424D3D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424D3D" w:rsidRDefault="00424D3D">
          <w:pPr>
            <w:pStyle w:val="FirstFooter"/>
            <w:rPr>
              <w:rFonts w:ascii="Futura Lt BT" w:hAnsi="Futura Lt BT"/>
            </w:rPr>
          </w:pPr>
        </w:p>
      </w:tc>
    </w:tr>
  </w:tbl>
  <w:p w:rsidR="00424D3D" w:rsidRPr="00496B7B" w:rsidRDefault="00424D3D" w:rsidP="00850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3D" w:rsidRDefault="00424D3D">
      <w:r>
        <w:t>____________________</w:t>
      </w:r>
    </w:p>
  </w:footnote>
  <w:footnote w:type="continuationSeparator" w:id="0">
    <w:p w:rsidR="00424D3D" w:rsidRDefault="00424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10588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424D3D" w:rsidRPr="00496B7B" w:rsidRDefault="00424D3D">
        <w:pPr>
          <w:pStyle w:val="Header"/>
          <w:rPr>
            <w:sz w:val="18"/>
            <w:szCs w:val="18"/>
          </w:rPr>
        </w:pPr>
        <w:r w:rsidRPr="00496B7B">
          <w:rPr>
            <w:sz w:val="18"/>
            <w:szCs w:val="18"/>
          </w:rPr>
          <w:fldChar w:fldCharType="begin"/>
        </w:r>
        <w:r w:rsidRPr="00496B7B">
          <w:rPr>
            <w:sz w:val="18"/>
            <w:szCs w:val="18"/>
          </w:rPr>
          <w:instrText xml:space="preserve"> PAGE   \* MERGEFORMAT </w:instrText>
        </w:r>
        <w:r w:rsidRPr="00496B7B">
          <w:rPr>
            <w:sz w:val="18"/>
            <w:szCs w:val="18"/>
          </w:rPr>
          <w:fldChar w:fldCharType="separate"/>
        </w:r>
        <w:r w:rsidR="00986B53">
          <w:rPr>
            <w:noProof/>
            <w:sz w:val="18"/>
            <w:szCs w:val="18"/>
          </w:rPr>
          <w:t>3</w:t>
        </w:r>
        <w:r w:rsidRPr="00496B7B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361DC"/>
    <w:rsid w:val="000C382F"/>
    <w:rsid w:val="001173CC"/>
    <w:rsid w:val="001A54CC"/>
    <w:rsid w:val="00257FB4"/>
    <w:rsid w:val="00303D62"/>
    <w:rsid w:val="00335367"/>
    <w:rsid w:val="00370C2D"/>
    <w:rsid w:val="003D1E8D"/>
    <w:rsid w:val="003D673B"/>
    <w:rsid w:val="003F2855"/>
    <w:rsid w:val="00401C20"/>
    <w:rsid w:val="00424D3D"/>
    <w:rsid w:val="00496B7B"/>
    <w:rsid w:val="004C4144"/>
    <w:rsid w:val="005E6DD2"/>
    <w:rsid w:val="006969B4"/>
    <w:rsid w:val="006C4999"/>
    <w:rsid w:val="007155F0"/>
    <w:rsid w:val="00781E2A"/>
    <w:rsid w:val="007D3F9B"/>
    <w:rsid w:val="008258C2"/>
    <w:rsid w:val="008505BD"/>
    <w:rsid w:val="00850C78"/>
    <w:rsid w:val="008C17AD"/>
    <w:rsid w:val="008D02CD"/>
    <w:rsid w:val="0095172A"/>
    <w:rsid w:val="00986B53"/>
    <w:rsid w:val="009A0BA0"/>
    <w:rsid w:val="00A54E47"/>
    <w:rsid w:val="00AE7093"/>
    <w:rsid w:val="00B422BC"/>
    <w:rsid w:val="00B43F77"/>
    <w:rsid w:val="00B55A3E"/>
    <w:rsid w:val="00B775B6"/>
    <w:rsid w:val="00B95F0A"/>
    <w:rsid w:val="00B96180"/>
    <w:rsid w:val="00C17AC0"/>
    <w:rsid w:val="00C34772"/>
    <w:rsid w:val="00C5465A"/>
    <w:rsid w:val="00CC6D6F"/>
    <w:rsid w:val="00D14A24"/>
    <w:rsid w:val="00D54642"/>
    <w:rsid w:val="00D6732E"/>
    <w:rsid w:val="00DB43FB"/>
    <w:rsid w:val="00DD0124"/>
    <w:rsid w:val="00DD77C9"/>
    <w:rsid w:val="00E130D2"/>
    <w:rsid w:val="00E47D68"/>
    <w:rsid w:val="00E839B0"/>
    <w:rsid w:val="00E92C09"/>
    <w:rsid w:val="00F6461F"/>
    <w:rsid w:val="00F86C04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commendationname">
    <w:name w:val="Recommendation name"/>
    <w:basedOn w:val="Heading1"/>
    <w:qFormat/>
    <w:rsid w:val="00CC6D6F"/>
    <w:pPr>
      <w:keepNext w:val="0"/>
      <w:keepLines w:val="0"/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spacing w:before="120"/>
      <w:jc w:val="both"/>
      <w:textAlignment w:val="auto"/>
    </w:pPr>
    <w:rPr>
      <w:rFonts w:asciiTheme="majorBidi" w:eastAsiaTheme="minorEastAsia" w:hAnsiTheme="majorBidi"/>
      <w:szCs w:val="24"/>
      <w:lang w:val="en-US"/>
    </w:rPr>
  </w:style>
  <w:style w:type="paragraph" w:styleId="BalloonText">
    <w:name w:val="Balloon Text"/>
    <w:basedOn w:val="Normal"/>
    <w:link w:val="BalloonTextChar"/>
    <w:rsid w:val="00DB43F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3FB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7155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commendationname">
    <w:name w:val="Recommendation name"/>
    <w:basedOn w:val="Heading1"/>
    <w:qFormat/>
    <w:rsid w:val="00CC6D6F"/>
    <w:pPr>
      <w:keepNext w:val="0"/>
      <w:keepLines w:val="0"/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spacing w:before="120"/>
      <w:jc w:val="both"/>
      <w:textAlignment w:val="auto"/>
    </w:pPr>
    <w:rPr>
      <w:rFonts w:asciiTheme="majorBidi" w:eastAsiaTheme="minorEastAsia" w:hAnsiTheme="majorBidi"/>
      <w:szCs w:val="24"/>
      <w:lang w:val="en-US"/>
    </w:rPr>
  </w:style>
  <w:style w:type="paragraph" w:styleId="BalloonText">
    <w:name w:val="Balloon Text"/>
    <w:basedOn w:val="Normal"/>
    <w:link w:val="BalloonTextChar"/>
    <w:rsid w:val="00DB43F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3FB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7155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BAF0-2532-4B46-A7C4-C20AD32E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3</Pages>
  <Words>805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5107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Papara, Marion</cp:lastModifiedBy>
  <cp:revision>2</cp:revision>
  <cp:lastPrinted>2012-06-05T11:38:00Z</cp:lastPrinted>
  <dcterms:created xsi:type="dcterms:W3CDTF">2012-06-11T06:21:00Z</dcterms:created>
  <dcterms:modified xsi:type="dcterms:W3CDTF">2012-06-11T06:21:00Z</dcterms:modified>
</cp:coreProperties>
</file>