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66"/>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572F46" w:rsidTr="00E6318A">
        <w:trPr>
          <w:cantSplit/>
        </w:trPr>
        <w:tc>
          <w:tcPr>
            <w:tcW w:w="6804" w:type="dxa"/>
            <w:vAlign w:val="center"/>
          </w:tcPr>
          <w:p w:rsidR="00BC33B4" w:rsidRPr="00572F46" w:rsidRDefault="00BC33B4" w:rsidP="00E6318A">
            <w:pPr>
              <w:tabs>
                <w:tab w:val="clear" w:pos="1191"/>
                <w:tab w:val="clear" w:pos="1588"/>
                <w:tab w:val="clear" w:pos="1985"/>
                <w:tab w:val="right" w:pos="8732"/>
              </w:tabs>
              <w:spacing w:before="0"/>
              <w:rPr>
                <w:rFonts w:ascii="Verdana" w:hAnsi="Verdana"/>
                <w:b/>
                <w:bCs/>
                <w:iCs/>
                <w:color w:val="FFFFFF"/>
                <w:sz w:val="26"/>
                <w:szCs w:val="26"/>
                <w:lang w:val="ru-RU"/>
              </w:rPr>
            </w:pPr>
            <w:r w:rsidRPr="00572F46">
              <w:rPr>
                <w:rFonts w:ascii="Verdana" w:hAnsi="Verdana"/>
                <w:b/>
                <w:bCs/>
                <w:sz w:val="26"/>
                <w:szCs w:val="26"/>
                <w:lang w:val="ru-RU"/>
              </w:rPr>
              <w:t xml:space="preserve">Бюро стандартизации </w:t>
            </w:r>
            <w:r w:rsidRPr="00572F46">
              <w:rPr>
                <w:rFonts w:ascii="Verdana" w:hAnsi="Verdana"/>
                <w:b/>
                <w:bCs/>
                <w:sz w:val="26"/>
                <w:szCs w:val="26"/>
                <w:lang w:val="ru-RU"/>
              </w:rPr>
              <w:br/>
              <w:t>электросвязи</w:t>
            </w:r>
          </w:p>
        </w:tc>
        <w:tc>
          <w:tcPr>
            <w:tcW w:w="2911" w:type="dxa"/>
            <w:vAlign w:val="center"/>
          </w:tcPr>
          <w:p w:rsidR="00BC33B4" w:rsidRPr="00572F46" w:rsidRDefault="00BC33B4" w:rsidP="00E6318A">
            <w:pPr>
              <w:tabs>
                <w:tab w:val="clear" w:pos="1191"/>
                <w:tab w:val="clear" w:pos="1588"/>
                <w:tab w:val="clear" w:pos="1985"/>
              </w:tabs>
              <w:spacing w:before="0"/>
              <w:jc w:val="right"/>
              <w:rPr>
                <w:rFonts w:ascii="Verdana" w:hAnsi="Verdana"/>
                <w:color w:val="FFFFFF"/>
                <w:sz w:val="26"/>
                <w:szCs w:val="26"/>
                <w:lang w:val="ru-RU"/>
              </w:rPr>
            </w:pPr>
            <w:r w:rsidRPr="00572F46">
              <w:rPr>
                <w:noProof/>
                <w:szCs w:val="22"/>
                <w:lang w:eastAsia="zh-CN"/>
              </w:rPr>
              <w:drawing>
                <wp:inline distT="0" distB="0" distL="0" distR="0" wp14:anchorId="5E3AE652" wp14:editId="14A2B7C6">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572F46" w:rsidTr="00E6318A">
        <w:trPr>
          <w:cantSplit/>
        </w:trPr>
        <w:tc>
          <w:tcPr>
            <w:tcW w:w="6804" w:type="dxa"/>
            <w:vAlign w:val="center"/>
          </w:tcPr>
          <w:p w:rsidR="00BC33B4" w:rsidRPr="00572F46" w:rsidRDefault="00BC33B4" w:rsidP="00E6318A">
            <w:pPr>
              <w:rPr>
                <w:lang w:val="ru-RU"/>
              </w:rPr>
            </w:pPr>
          </w:p>
        </w:tc>
        <w:tc>
          <w:tcPr>
            <w:tcW w:w="2911" w:type="dxa"/>
            <w:vAlign w:val="center"/>
          </w:tcPr>
          <w:p w:rsidR="00BC33B4" w:rsidRPr="00572F46" w:rsidRDefault="00BC33B4" w:rsidP="00E6318A">
            <w:pPr>
              <w:rPr>
                <w:lang w:val="ru-RU"/>
              </w:rPr>
            </w:pPr>
          </w:p>
        </w:tc>
      </w:tr>
    </w:tbl>
    <w:p w:rsidR="00BC33B4" w:rsidRPr="00572F46" w:rsidRDefault="00BC33B4" w:rsidP="00E6318A">
      <w:pPr>
        <w:tabs>
          <w:tab w:val="clear" w:pos="794"/>
          <w:tab w:val="clear" w:pos="1191"/>
          <w:tab w:val="clear" w:pos="1588"/>
          <w:tab w:val="clear" w:pos="1985"/>
          <w:tab w:val="left" w:pos="5387"/>
        </w:tabs>
        <w:spacing w:before="480" w:after="480"/>
        <w:rPr>
          <w:lang w:val="ru-RU"/>
        </w:rPr>
      </w:pPr>
      <w:r w:rsidRPr="00572F46">
        <w:rPr>
          <w:lang w:val="ru-RU"/>
        </w:rPr>
        <w:tab/>
        <w:t>Женева,</w:t>
      </w:r>
      <w:r w:rsidR="00860D1B" w:rsidRPr="00572F46">
        <w:rPr>
          <w:lang w:val="ru-RU"/>
        </w:rPr>
        <w:t xml:space="preserve"> 11 июня 2012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BC33B4" w:rsidRPr="00572F46" w:rsidTr="00BC33B4">
        <w:trPr>
          <w:cantSplit/>
          <w:trHeight w:val="1194"/>
        </w:trPr>
        <w:tc>
          <w:tcPr>
            <w:tcW w:w="1260" w:type="dxa"/>
          </w:tcPr>
          <w:p w:rsidR="00BC33B4" w:rsidRDefault="00BC33B4" w:rsidP="00E6318A">
            <w:pPr>
              <w:spacing w:before="0"/>
              <w:rPr>
                <w:lang w:val="ru-RU"/>
              </w:rPr>
            </w:pPr>
            <w:r w:rsidRPr="00572F46">
              <w:rPr>
                <w:lang w:val="ru-RU"/>
              </w:rPr>
              <w:t>Осн.:</w:t>
            </w:r>
            <w:r w:rsidR="004F356D">
              <w:rPr>
                <w:lang w:val="ru-RU"/>
              </w:rPr>
              <w:br/>
            </w:r>
          </w:p>
          <w:p w:rsidR="004F356D" w:rsidRDefault="004F356D" w:rsidP="00E6318A">
            <w:pPr>
              <w:spacing w:before="0"/>
              <w:rPr>
                <w:lang w:val="ru-RU"/>
              </w:rPr>
            </w:pPr>
          </w:p>
          <w:p w:rsidR="004F356D" w:rsidRPr="00572F46" w:rsidRDefault="004F356D" w:rsidP="00E6318A">
            <w:pPr>
              <w:spacing w:before="0"/>
              <w:rPr>
                <w:lang w:val="ru-RU"/>
              </w:rPr>
            </w:pPr>
            <w:r w:rsidRPr="00572F46">
              <w:rPr>
                <w:lang w:val="ru-RU"/>
              </w:rPr>
              <w:t>Тел.:</w:t>
            </w:r>
            <w:r w:rsidRPr="00572F46">
              <w:rPr>
                <w:lang w:val="ru-RU"/>
              </w:rPr>
              <w:br/>
              <w:t>Факс:</w:t>
            </w:r>
            <w:r w:rsidRPr="00572F46">
              <w:rPr>
                <w:lang w:val="ru-RU"/>
              </w:rPr>
              <w:br/>
              <w:t>Эл. почта:</w:t>
            </w:r>
          </w:p>
        </w:tc>
        <w:tc>
          <w:tcPr>
            <w:tcW w:w="4140" w:type="dxa"/>
          </w:tcPr>
          <w:p w:rsidR="0011167E" w:rsidRPr="00572F46" w:rsidRDefault="00BC33B4" w:rsidP="00E6318A">
            <w:pPr>
              <w:spacing w:before="0"/>
              <w:rPr>
                <w:lang w:val="ru-RU"/>
              </w:rPr>
            </w:pPr>
            <w:r w:rsidRPr="00572F46">
              <w:rPr>
                <w:b/>
                <w:bCs/>
                <w:lang w:val="ru-RU"/>
              </w:rPr>
              <w:t xml:space="preserve">Циркуляр </w:t>
            </w:r>
            <w:r w:rsidR="006F0C00" w:rsidRPr="00572F46">
              <w:rPr>
                <w:b/>
                <w:bCs/>
                <w:lang w:val="ru-RU"/>
              </w:rPr>
              <w:t>276</w:t>
            </w:r>
            <w:r w:rsidRPr="00572F46">
              <w:rPr>
                <w:b/>
                <w:bCs/>
                <w:lang w:val="ru-RU"/>
              </w:rPr>
              <w:t xml:space="preserve"> БСЭ</w:t>
            </w:r>
            <w:r w:rsidR="0011167E" w:rsidRPr="00572F46">
              <w:rPr>
                <w:b/>
                <w:bCs/>
                <w:lang w:val="ru-RU"/>
              </w:rPr>
              <w:br/>
            </w:r>
            <w:r w:rsidR="000E4B00" w:rsidRPr="00572F46">
              <w:rPr>
                <w:lang w:val="ru-RU"/>
              </w:rPr>
              <w:t>TSB Kaleidoscope/AM</w:t>
            </w:r>
          </w:p>
          <w:p w:rsidR="00BC33B4" w:rsidRDefault="00BC33B4" w:rsidP="00E6318A">
            <w:pPr>
              <w:spacing w:before="0"/>
              <w:rPr>
                <w:lang w:val="ru-RU"/>
              </w:rPr>
            </w:pPr>
          </w:p>
          <w:p w:rsidR="004F356D" w:rsidRPr="00572F46" w:rsidRDefault="004F356D" w:rsidP="004F356D">
            <w:pPr>
              <w:spacing w:before="0"/>
              <w:rPr>
                <w:lang w:val="ru-RU"/>
              </w:rPr>
            </w:pPr>
            <w:r w:rsidRPr="00572F46">
              <w:rPr>
                <w:lang w:val="ru-RU"/>
              </w:rPr>
              <w:t>+41 22 730 5882</w:t>
            </w:r>
            <w:r w:rsidRPr="00572F46">
              <w:rPr>
                <w:lang w:val="ru-RU"/>
              </w:rPr>
              <w:br/>
              <w:t>+41 22 730 5853</w:t>
            </w:r>
          </w:p>
          <w:p w:rsidR="004F356D" w:rsidRPr="00572F46" w:rsidRDefault="009F4A39" w:rsidP="004F356D">
            <w:pPr>
              <w:spacing w:before="0"/>
              <w:rPr>
                <w:lang w:val="ru-RU"/>
              </w:rPr>
            </w:pPr>
            <w:hyperlink r:id="rId10" w:history="1">
              <w:r w:rsidR="004F356D" w:rsidRPr="00572F46">
                <w:rPr>
                  <w:rStyle w:val="Hyperlink"/>
                  <w:lang w:val="ru-RU"/>
                </w:rPr>
                <w:t>kaleidoscope@itu.int</w:t>
              </w:r>
            </w:hyperlink>
          </w:p>
        </w:tc>
        <w:tc>
          <w:tcPr>
            <w:tcW w:w="4320" w:type="dxa"/>
          </w:tcPr>
          <w:p w:rsidR="00BC33B4" w:rsidRPr="00572F46" w:rsidRDefault="00BC33B4" w:rsidP="00E6318A">
            <w:pPr>
              <w:tabs>
                <w:tab w:val="clear" w:pos="794"/>
                <w:tab w:val="clear" w:pos="1191"/>
                <w:tab w:val="clear" w:pos="1588"/>
                <w:tab w:val="clear" w:pos="1985"/>
                <w:tab w:val="left" w:pos="284"/>
              </w:tabs>
              <w:spacing w:before="0"/>
              <w:ind w:left="284" w:hanging="284"/>
              <w:rPr>
                <w:lang w:val="ru-RU"/>
              </w:rPr>
            </w:pPr>
            <w:r w:rsidRPr="00572F46">
              <w:rPr>
                <w:lang w:val="ru-RU"/>
              </w:rPr>
              <w:t>–</w:t>
            </w:r>
            <w:r w:rsidRPr="00572F46">
              <w:rPr>
                <w:lang w:val="ru-RU"/>
              </w:rPr>
              <w:tab/>
              <w:t>Администрациям Государств – Членов Союза</w:t>
            </w:r>
          </w:p>
          <w:p w:rsidR="00BC33B4" w:rsidRPr="00572F46" w:rsidRDefault="00BC33B4" w:rsidP="00E6318A">
            <w:pPr>
              <w:tabs>
                <w:tab w:val="clear" w:pos="794"/>
                <w:tab w:val="clear" w:pos="1191"/>
                <w:tab w:val="clear" w:pos="1588"/>
                <w:tab w:val="clear" w:pos="1985"/>
                <w:tab w:val="left" w:pos="284"/>
              </w:tabs>
              <w:spacing w:before="0"/>
              <w:ind w:left="284" w:hanging="284"/>
              <w:rPr>
                <w:lang w:val="ru-RU"/>
              </w:rPr>
            </w:pPr>
            <w:r w:rsidRPr="00572F46">
              <w:rPr>
                <w:lang w:val="ru-RU"/>
              </w:rPr>
              <w:t>–</w:t>
            </w:r>
            <w:r w:rsidRPr="00572F46">
              <w:rPr>
                <w:lang w:val="ru-RU"/>
              </w:rPr>
              <w:tab/>
              <w:t>Членам Сектора МСЭ-Т</w:t>
            </w:r>
          </w:p>
          <w:p w:rsidR="00BC33B4" w:rsidRPr="00572F46" w:rsidRDefault="00BC33B4" w:rsidP="00E6318A">
            <w:pPr>
              <w:tabs>
                <w:tab w:val="clear" w:pos="794"/>
                <w:tab w:val="clear" w:pos="1191"/>
                <w:tab w:val="clear" w:pos="1588"/>
                <w:tab w:val="clear" w:pos="1985"/>
                <w:tab w:val="left" w:pos="284"/>
              </w:tabs>
              <w:spacing w:before="0"/>
              <w:ind w:left="284" w:hanging="284"/>
              <w:rPr>
                <w:lang w:val="ru-RU"/>
              </w:rPr>
            </w:pPr>
            <w:r w:rsidRPr="00572F46">
              <w:rPr>
                <w:lang w:val="ru-RU"/>
              </w:rPr>
              <w:t>–</w:t>
            </w:r>
            <w:r w:rsidRPr="00572F46">
              <w:rPr>
                <w:lang w:val="ru-RU"/>
              </w:rPr>
              <w:tab/>
              <w:t>Ассоциированным членам МСЭ-Т</w:t>
            </w:r>
          </w:p>
          <w:p w:rsidR="00F15118" w:rsidRPr="00572F46" w:rsidRDefault="00F15118" w:rsidP="00E6318A">
            <w:pPr>
              <w:tabs>
                <w:tab w:val="clear" w:pos="794"/>
                <w:tab w:val="clear" w:pos="1191"/>
                <w:tab w:val="clear" w:pos="1588"/>
                <w:tab w:val="clear" w:pos="1985"/>
                <w:tab w:val="left" w:pos="284"/>
              </w:tabs>
              <w:spacing w:before="0"/>
              <w:ind w:left="284" w:hanging="284"/>
              <w:rPr>
                <w:lang w:val="ru-RU"/>
              </w:rPr>
            </w:pPr>
            <w:r w:rsidRPr="00572F46">
              <w:rPr>
                <w:lang w:val="ru-RU"/>
              </w:rPr>
              <w:t>–</w:t>
            </w:r>
            <w:r w:rsidRPr="00572F46">
              <w:rPr>
                <w:lang w:val="ru-RU"/>
              </w:rPr>
              <w:tab/>
            </w:r>
            <w:r w:rsidR="006D7FBC" w:rsidRPr="00572F46">
              <w:rPr>
                <w:lang w:val="ru-RU"/>
              </w:rPr>
              <w:t>Академическим организациям − Членам МСЭ</w:t>
            </w:r>
            <w:r w:rsidR="006D7FBC" w:rsidRPr="00572F46">
              <w:rPr>
                <w:lang w:val="ru-RU"/>
              </w:rPr>
              <w:noBreakHyphen/>
              <w:t>Т</w:t>
            </w:r>
          </w:p>
          <w:p w:rsidR="00F15118" w:rsidRPr="00572F46" w:rsidRDefault="00F15118" w:rsidP="00E6318A">
            <w:pPr>
              <w:tabs>
                <w:tab w:val="clear" w:pos="794"/>
                <w:tab w:val="clear" w:pos="1191"/>
                <w:tab w:val="clear" w:pos="1588"/>
                <w:tab w:val="clear" w:pos="1985"/>
                <w:tab w:val="left" w:pos="284"/>
              </w:tabs>
              <w:spacing w:before="0"/>
              <w:ind w:left="284" w:hanging="284"/>
              <w:rPr>
                <w:lang w:val="ru-RU"/>
              </w:rPr>
            </w:pPr>
          </w:p>
        </w:tc>
      </w:tr>
      <w:tr w:rsidR="00BC33B4" w:rsidRPr="00572F46" w:rsidTr="00BC33B4">
        <w:trPr>
          <w:cantSplit/>
          <w:trHeight w:val="20"/>
        </w:trPr>
        <w:tc>
          <w:tcPr>
            <w:tcW w:w="1260" w:type="dxa"/>
          </w:tcPr>
          <w:p w:rsidR="00BC33B4" w:rsidRPr="00572F46" w:rsidRDefault="00BC33B4" w:rsidP="00E6318A">
            <w:pPr>
              <w:spacing w:before="0"/>
              <w:rPr>
                <w:lang w:val="ru-RU"/>
              </w:rPr>
            </w:pPr>
          </w:p>
        </w:tc>
        <w:tc>
          <w:tcPr>
            <w:tcW w:w="4140" w:type="dxa"/>
          </w:tcPr>
          <w:p w:rsidR="00BC33B4" w:rsidRPr="00572F46" w:rsidRDefault="00BC33B4" w:rsidP="00E6318A">
            <w:pPr>
              <w:spacing w:before="0"/>
              <w:rPr>
                <w:lang w:val="ru-RU"/>
              </w:rPr>
            </w:pPr>
          </w:p>
        </w:tc>
        <w:tc>
          <w:tcPr>
            <w:tcW w:w="4320" w:type="dxa"/>
          </w:tcPr>
          <w:p w:rsidR="00BC33B4" w:rsidRPr="00572F46" w:rsidRDefault="00BC33B4" w:rsidP="00E6318A">
            <w:pPr>
              <w:tabs>
                <w:tab w:val="clear" w:pos="794"/>
                <w:tab w:val="clear" w:pos="1191"/>
                <w:tab w:val="clear" w:pos="1588"/>
                <w:tab w:val="clear" w:pos="1985"/>
                <w:tab w:val="left" w:pos="284"/>
              </w:tabs>
              <w:spacing w:before="0"/>
              <w:ind w:left="284" w:hanging="284"/>
              <w:rPr>
                <w:lang w:val="ru-RU"/>
              </w:rPr>
            </w:pPr>
            <w:r w:rsidRPr="00572F46">
              <w:rPr>
                <w:b/>
                <w:bCs/>
                <w:lang w:val="ru-RU"/>
              </w:rPr>
              <w:t>Копии</w:t>
            </w:r>
            <w:r w:rsidRPr="00572F46">
              <w:rPr>
                <w:lang w:val="ru-RU"/>
              </w:rPr>
              <w:t>:</w:t>
            </w:r>
          </w:p>
          <w:p w:rsidR="00BC33B4" w:rsidRPr="00572F46" w:rsidRDefault="00BC33B4" w:rsidP="00E6318A">
            <w:pPr>
              <w:tabs>
                <w:tab w:val="clear" w:pos="794"/>
                <w:tab w:val="clear" w:pos="1191"/>
                <w:tab w:val="clear" w:pos="1588"/>
                <w:tab w:val="clear" w:pos="1985"/>
                <w:tab w:val="left" w:pos="284"/>
              </w:tabs>
              <w:spacing w:before="0"/>
              <w:ind w:left="284" w:hanging="284"/>
              <w:rPr>
                <w:lang w:val="ru-RU"/>
              </w:rPr>
            </w:pPr>
            <w:r w:rsidRPr="00572F46">
              <w:rPr>
                <w:lang w:val="ru-RU"/>
              </w:rPr>
              <w:t>–</w:t>
            </w:r>
            <w:r w:rsidRPr="00572F46">
              <w:rPr>
                <w:lang w:val="ru-RU"/>
              </w:rPr>
              <w:tab/>
              <w:t>Председател</w:t>
            </w:r>
            <w:r w:rsidR="000E4B00" w:rsidRPr="00572F46">
              <w:rPr>
                <w:lang w:val="ru-RU"/>
              </w:rPr>
              <w:t>ям</w:t>
            </w:r>
            <w:r w:rsidRPr="00572F46">
              <w:rPr>
                <w:lang w:val="ru-RU"/>
              </w:rPr>
              <w:t xml:space="preserve"> и заместителям председателя </w:t>
            </w:r>
            <w:r w:rsidR="006F0C00" w:rsidRPr="00572F46">
              <w:rPr>
                <w:lang w:val="ru-RU"/>
              </w:rPr>
              <w:t>и</w:t>
            </w:r>
            <w:r w:rsidRPr="00572F46">
              <w:rPr>
                <w:lang w:val="ru-RU"/>
              </w:rPr>
              <w:t>сследовательск</w:t>
            </w:r>
            <w:r w:rsidR="006F0C00" w:rsidRPr="00572F46">
              <w:rPr>
                <w:lang w:val="ru-RU"/>
              </w:rPr>
              <w:t>их</w:t>
            </w:r>
            <w:r w:rsidRPr="00572F46">
              <w:rPr>
                <w:lang w:val="ru-RU"/>
              </w:rPr>
              <w:t xml:space="preserve"> комисси</w:t>
            </w:r>
            <w:r w:rsidR="006F0C00" w:rsidRPr="00572F46">
              <w:rPr>
                <w:lang w:val="ru-RU"/>
              </w:rPr>
              <w:t>й</w:t>
            </w:r>
            <w:r w:rsidRPr="00572F46">
              <w:rPr>
                <w:lang w:val="ru-RU"/>
              </w:rPr>
              <w:t xml:space="preserve"> МСЭ-Т</w:t>
            </w:r>
          </w:p>
          <w:p w:rsidR="00BC33B4" w:rsidRPr="00572F46" w:rsidRDefault="00BC33B4" w:rsidP="00E6318A">
            <w:pPr>
              <w:tabs>
                <w:tab w:val="clear" w:pos="794"/>
                <w:tab w:val="clear" w:pos="1191"/>
                <w:tab w:val="clear" w:pos="1588"/>
                <w:tab w:val="clear" w:pos="1985"/>
                <w:tab w:val="left" w:pos="284"/>
              </w:tabs>
              <w:spacing w:before="0"/>
              <w:ind w:left="284" w:hanging="284"/>
              <w:rPr>
                <w:lang w:val="ru-RU"/>
              </w:rPr>
            </w:pPr>
            <w:r w:rsidRPr="00572F46">
              <w:rPr>
                <w:lang w:val="ru-RU"/>
              </w:rPr>
              <w:t>–</w:t>
            </w:r>
            <w:r w:rsidRPr="00572F46">
              <w:rPr>
                <w:lang w:val="ru-RU"/>
              </w:rPr>
              <w:tab/>
              <w:t>Директору Бюро развития электросвязи</w:t>
            </w:r>
          </w:p>
          <w:p w:rsidR="00BC33B4" w:rsidRPr="00572F46" w:rsidRDefault="00BC33B4" w:rsidP="00E6318A">
            <w:pPr>
              <w:tabs>
                <w:tab w:val="clear" w:pos="794"/>
                <w:tab w:val="clear" w:pos="1191"/>
                <w:tab w:val="clear" w:pos="1588"/>
                <w:tab w:val="clear" w:pos="1985"/>
                <w:tab w:val="left" w:pos="284"/>
              </w:tabs>
              <w:spacing w:before="0"/>
              <w:ind w:left="284" w:hanging="284"/>
              <w:rPr>
                <w:lang w:val="ru-RU"/>
              </w:rPr>
            </w:pPr>
            <w:r w:rsidRPr="00572F46">
              <w:rPr>
                <w:lang w:val="ru-RU"/>
              </w:rPr>
              <w:t>–</w:t>
            </w:r>
            <w:r w:rsidRPr="00572F46">
              <w:rPr>
                <w:lang w:val="ru-RU"/>
              </w:rPr>
              <w:tab/>
              <w:t>Директору Бюро радиосвязи</w:t>
            </w:r>
          </w:p>
        </w:tc>
      </w:tr>
    </w:tbl>
    <w:p w:rsidR="00BC33B4" w:rsidRPr="00572F46" w:rsidRDefault="00BC33B4" w:rsidP="004F356D">
      <w:pPr>
        <w:spacing w:before="24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BC33B4" w:rsidRPr="00572F46" w:rsidTr="00BC33B4">
        <w:trPr>
          <w:cantSplit/>
          <w:trHeight w:val="680"/>
        </w:trPr>
        <w:tc>
          <w:tcPr>
            <w:tcW w:w="1260" w:type="dxa"/>
          </w:tcPr>
          <w:p w:rsidR="00BC33B4" w:rsidRPr="00572F46" w:rsidRDefault="00BC33B4" w:rsidP="004F356D">
            <w:pPr>
              <w:spacing w:before="0"/>
              <w:rPr>
                <w:lang w:val="ru-RU"/>
              </w:rPr>
            </w:pPr>
            <w:r w:rsidRPr="00572F46">
              <w:rPr>
                <w:lang w:val="ru-RU"/>
              </w:rPr>
              <w:t>Предмет:</w:t>
            </w:r>
          </w:p>
        </w:tc>
        <w:tc>
          <w:tcPr>
            <w:tcW w:w="8452" w:type="dxa"/>
          </w:tcPr>
          <w:p w:rsidR="00BC33B4" w:rsidRPr="00572F46" w:rsidRDefault="00135515" w:rsidP="004F356D">
            <w:pPr>
              <w:tabs>
                <w:tab w:val="left" w:pos="4111"/>
              </w:tabs>
              <w:spacing w:before="0"/>
              <w:ind w:left="57" w:right="28"/>
              <w:rPr>
                <w:b/>
                <w:bCs/>
                <w:lang w:val="ru-RU"/>
              </w:rPr>
            </w:pPr>
            <w:r w:rsidRPr="00572F46">
              <w:rPr>
                <w:b/>
                <w:bCs/>
                <w:lang w:val="ru-RU"/>
              </w:rPr>
              <w:t xml:space="preserve">Мероприятие </w:t>
            </w:r>
            <w:r w:rsidR="006F0C00" w:rsidRPr="00572F46">
              <w:rPr>
                <w:b/>
                <w:bCs/>
                <w:lang w:val="ru-RU"/>
              </w:rPr>
              <w:t>Калейдоскоп</w:t>
            </w:r>
            <w:r w:rsidRPr="00572F46">
              <w:rPr>
                <w:b/>
                <w:bCs/>
                <w:lang w:val="ru-RU"/>
              </w:rPr>
              <w:t>-</w:t>
            </w:r>
            <w:r w:rsidR="006F0C00" w:rsidRPr="00572F46">
              <w:rPr>
                <w:b/>
                <w:bCs/>
                <w:lang w:val="ru-RU"/>
              </w:rPr>
              <w:t xml:space="preserve">2013 </w:t>
            </w:r>
            <w:r w:rsidR="006F0C00" w:rsidRPr="00572F46">
              <w:rPr>
                <w:lang w:val="ru-RU"/>
              </w:rPr>
              <w:t>"</w:t>
            </w:r>
            <w:r w:rsidR="006F0C00" w:rsidRPr="00572F46">
              <w:rPr>
                <w:b/>
                <w:bCs/>
                <w:lang w:val="ru-RU"/>
              </w:rPr>
              <w:t>Создание устойчивых сообществ</w:t>
            </w:r>
            <w:r w:rsidR="006F0C00" w:rsidRPr="00572F46">
              <w:rPr>
                <w:lang w:val="ru-RU"/>
              </w:rPr>
              <w:t>"</w:t>
            </w:r>
            <w:r w:rsidR="001F0066" w:rsidRPr="00572F46">
              <w:rPr>
                <w:b/>
                <w:bCs/>
                <w:lang w:val="ru-RU"/>
              </w:rPr>
              <w:br/>
            </w:r>
            <w:r w:rsidR="001F0066" w:rsidRPr="00572F46">
              <w:rPr>
                <w:b/>
                <w:lang w:val="ru-RU"/>
              </w:rPr>
              <w:t>Киото, Япония, 22</w:t>
            </w:r>
            <w:r w:rsidR="004F356D">
              <w:rPr>
                <w:rFonts w:ascii="Symbol" w:hAnsi="Symbol"/>
                <w:b/>
                <w:lang w:val="ru-RU"/>
              </w:rPr>
              <w:t></w:t>
            </w:r>
            <w:r w:rsidR="001F0066" w:rsidRPr="00572F46">
              <w:rPr>
                <w:b/>
                <w:lang w:val="ru-RU"/>
              </w:rPr>
              <w:t>24 апреля 2013 года</w:t>
            </w:r>
            <w:r w:rsidR="001F0066" w:rsidRPr="00572F46">
              <w:rPr>
                <w:b/>
                <w:lang w:val="ru-RU"/>
              </w:rPr>
              <w:br/>
            </w:r>
            <w:r w:rsidR="001F0066" w:rsidRPr="00572F46">
              <w:rPr>
                <w:b/>
                <w:bCs/>
                <w:lang w:val="ru-RU"/>
              </w:rPr>
              <w:t xml:space="preserve">Семинар-практикум </w:t>
            </w:r>
            <w:r w:rsidR="001F0066" w:rsidRPr="00572F46">
              <w:rPr>
                <w:lang w:val="ru-RU"/>
              </w:rPr>
              <w:t>"</w:t>
            </w:r>
            <w:r w:rsidR="001F0066" w:rsidRPr="00572F46">
              <w:rPr>
                <w:b/>
                <w:bCs/>
                <w:lang w:val="ru-RU"/>
              </w:rPr>
              <w:t>МСЭ и академические организации</w:t>
            </w:r>
            <w:r w:rsidR="001F0066" w:rsidRPr="00572F46">
              <w:rPr>
                <w:lang w:val="ru-RU"/>
              </w:rPr>
              <w:t>"</w:t>
            </w:r>
            <w:r w:rsidR="001F0066" w:rsidRPr="00572F46">
              <w:rPr>
                <w:b/>
                <w:bCs/>
                <w:lang w:val="ru-RU"/>
              </w:rPr>
              <w:t xml:space="preserve">, </w:t>
            </w:r>
            <w:r w:rsidR="001F0066" w:rsidRPr="00572F46">
              <w:rPr>
                <w:b/>
                <w:bCs/>
                <w:lang w:val="ru-RU"/>
              </w:rPr>
              <w:br/>
            </w:r>
            <w:r w:rsidR="001F0066" w:rsidRPr="00572F46">
              <w:rPr>
                <w:b/>
                <w:lang w:val="ru-RU"/>
              </w:rPr>
              <w:t>Киото, Япония,</w:t>
            </w:r>
            <w:r w:rsidR="001F0066" w:rsidRPr="00572F46">
              <w:rPr>
                <w:b/>
                <w:bCs/>
                <w:lang w:val="ru-RU"/>
              </w:rPr>
              <w:t xml:space="preserve"> 25 апреля 2013 года</w:t>
            </w:r>
          </w:p>
        </w:tc>
      </w:tr>
    </w:tbl>
    <w:p w:rsidR="00BC33B4" w:rsidRPr="00572F46" w:rsidRDefault="00BC33B4" w:rsidP="00E6318A">
      <w:pPr>
        <w:pStyle w:val="Normalaftertitle"/>
        <w:spacing w:before="480"/>
        <w:rPr>
          <w:lang w:val="ru-RU"/>
        </w:rPr>
      </w:pPr>
      <w:r w:rsidRPr="00572F46">
        <w:rPr>
          <w:lang w:val="ru-RU"/>
        </w:rPr>
        <w:t>Уважаемая госпожа,</w:t>
      </w:r>
      <w:r w:rsidRPr="00572F46">
        <w:rPr>
          <w:lang w:val="ru-RU"/>
        </w:rPr>
        <w:br/>
        <w:t>уважаемый господин,</w:t>
      </w:r>
    </w:p>
    <w:p w:rsidR="00BC33B4" w:rsidRPr="00572F46" w:rsidRDefault="00BC33B4" w:rsidP="004F356D">
      <w:pPr>
        <w:spacing w:before="240"/>
        <w:rPr>
          <w:lang w:val="ru-RU"/>
        </w:rPr>
      </w:pPr>
      <w:r w:rsidRPr="00572F46">
        <w:rPr>
          <w:lang w:val="ru-RU"/>
        </w:rPr>
        <w:t>1</w:t>
      </w:r>
      <w:r w:rsidRPr="00572F46">
        <w:rPr>
          <w:lang w:val="ru-RU"/>
        </w:rPr>
        <w:tab/>
      </w:r>
      <w:r w:rsidR="00F75A47" w:rsidRPr="00572F46">
        <w:rPr>
          <w:bCs/>
          <w:szCs w:val="22"/>
          <w:lang w:val="ru-RU"/>
        </w:rPr>
        <w:t>В рамках мероприятий "Калейдоскоп" – инициативы МСЭ-Т, направленной на расширение сотрудничества с научным сообществом и научно-исследовательскими учреждениями, – имею честь сообщить вам о проведении пятой конференции в серии научных конференций экспертной оценки, цель которой заключается в расширении диалога между академическими организациями и экспертами, занимающимися вопросами стандартизации информационно-коммуникационных технологий (ИКТ). Мероприятие</w:t>
      </w:r>
      <w:r w:rsidR="00135515" w:rsidRPr="00572F46">
        <w:rPr>
          <w:bCs/>
          <w:szCs w:val="22"/>
          <w:lang w:val="ru-RU"/>
        </w:rPr>
        <w:t xml:space="preserve"> </w:t>
      </w:r>
      <w:r w:rsidR="00F75A47" w:rsidRPr="00572F46">
        <w:rPr>
          <w:bCs/>
          <w:szCs w:val="22"/>
          <w:lang w:val="ru-RU"/>
        </w:rPr>
        <w:t>Калейдоскоп</w:t>
      </w:r>
      <w:r w:rsidR="00135515" w:rsidRPr="00572F46">
        <w:rPr>
          <w:bCs/>
          <w:szCs w:val="22"/>
          <w:lang w:val="ru-RU"/>
        </w:rPr>
        <w:t>-</w:t>
      </w:r>
      <w:r w:rsidR="00F75A47" w:rsidRPr="00572F46">
        <w:rPr>
          <w:bCs/>
          <w:szCs w:val="22"/>
          <w:lang w:val="ru-RU"/>
        </w:rPr>
        <w:t xml:space="preserve">2013 "Создание устойчивых сообществ" состоится в Киотском университете, Киото, Япония, </w:t>
      </w:r>
      <w:r w:rsidR="00F75A47" w:rsidRPr="00572F46">
        <w:rPr>
          <w:lang w:val="ru-RU"/>
        </w:rPr>
        <w:t>22</w:t>
      </w:r>
      <w:r w:rsidR="004F356D">
        <w:rPr>
          <w:rFonts w:ascii="Symbol" w:hAnsi="Symbol"/>
          <w:lang w:val="ru-RU"/>
        </w:rPr>
        <w:t></w:t>
      </w:r>
      <w:r w:rsidR="00F75A47" w:rsidRPr="00572F46">
        <w:rPr>
          <w:lang w:val="ru-RU"/>
        </w:rPr>
        <w:t xml:space="preserve">24 апреля 2013 года </w:t>
      </w:r>
      <w:r w:rsidR="0076603E" w:rsidRPr="00572F46">
        <w:rPr>
          <w:lang w:val="ru-RU"/>
        </w:rPr>
        <w:t>по любезному приглашению администрации Японии</w:t>
      </w:r>
      <w:r w:rsidR="00F75A47" w:rsidRPr="00572F46">
        <w:rPr>
          <w:lang w:val="ru-RU"/>
        </w:rPr>
        <w:t>.</w:t>
      </w:r>
    </w:p>
    <w:p w:rsidR="005D77F6" w:rsidRPr="00572F46" w:rsidRDefault="005D77F6" w:rsidP="00E6318A">
      <w:pPr>
        <w:rPr>
          <w:lang w:val="ru-RU"/>
        </w:rPr>
      </w:pPr>
      <w:r w:rsidRPr="00572F46">
        <w:rPr>
          <w:bCs/>
          <w:lang w:val="ru-RU"/>
        </w:rPr>
        <w:t>2</w:t>
      </w:r>
      <w:r w:rsidRPr="00572F46">
        <w:rPr>
          <w:lang w:val="ru-RU"/>
        </w:rPr>
        <w:tab/>
        <w:t>Технологии будущего следует разрабатывать с учетом улучшения качества жизни человека. На мероприятии</w:t>
      </w:r>
      <w:r w:rsidR="00B02D39" w:rsidRPr="00572F46">
        <w:rPr>
          <w:lang w:val="ru-RU"/>
        </w:rPr>
        <w:t xml:space="preserve"> </w:t>
      </w:r>
      <w:r w:rsidRPr="00572F46">
        <w:rPr>
          <w:lang w:val="ru-RU"/>
        </w:rPr>
        <w:t>Калейдоскоп</w:t>
      </w:r>
      <w:r w:rsidR="00B02D39" w:rsidRPr="00572F46">
        <w:rPr>
          <w:lang w:val="ru-RU"/>
        </w:rPr>
        <w:t>-</w:t>
      </w:r>
      <w:r w:rsidRPr="00572F46">
        <w:rPr>
          <w:lang w:val="ru-RU"/>
        </w:rPr>
        <w:t>2013 будут освещ</w:t>
      </w:r>
      <w:r w:rsidR="00135515" w:rsidRPr="00572F46">
        <w:rPr>
          <w:lang w:val="ru-RU"/>
        </w:rPr>
        <w:t>аться междисциплинарные аспекты будущих ИКТ, включая спрос на будущие услуги и приложения, а также социально-экономические, культурные, этические, правовые аспекты и аспекты политики устойчивого развития применительно к сообществам будущего</w:t>
      </w:r>
      <w:r w:rsidRPr="00572F46">
        <w:rPr>
          <w:lang w:val="ru-RU"/>
        </w:rPr>
        <w:t>.</w:t>
      </w:r>
    </w:p>
    <w:p w:rsidR="005D5C95" w:rsidRPr="00572F46" w:rsidRDefault="005D5C95" w:rsidP="00E6318A">
      <w:pPr>
        <w:ind w:right="-170"/>
        <w:rPr>
          <w:lang w:val="ru-RU"/>
        </w:rPr>
      </w:pPr>
      <w:r w:rsidRPr="00572F46">
        <w:rPr>
          <w:lang w:val="ru-RU"/>
        </w:rPr>
        <w:t>3</w:t>
      </w:r>
      <w:r w:rsidRPr="00572F46">
        <w:rPr>
          <w:lang w:val="ru-RU"/>
        </w:rPr>
        <w:tab/>
      </w:r>
      <w:r w:rsidRPr="00572F46">
        <w:rPr>
          <w:bCs/>
          <w:szCs w:val="22"/>
          <w:lang w:val="ru-RU"/>
        </w:rPr>
        <w:t xml:space="preserve">Калейдоскоп-2013 предлагает направлять авторские научные доклады, </w:t>
      </w:r>
      <w:r w:rsidR="006E6BD6" w:rsidRPr="00572F46">
        <w:rPr>
          <w:bCs/>
          <w:szCs w:val="22"/>
          <w:lang w:val="ru-RU"/>
        </w:rPr>
        <w:t>в которых предлага</w:t>
      </w:r>
      <w:r w:rsidR="000E4B00" w:rsidRPr="00572F46">
        <w:rPr>
          <w:bCs/>
          <w:szCs w:val="22"/>
          <w:lang w:val="ru-RU"/>
        </w:rPr>
        <w:t>ю</w:t>
      </w:r>
      <w:r w:rsidR="006E6BD6" w:rsidRPr="00572F46">
        <w:rPr>
          <w:bCs/>
          <w:szCs w:val="22"/>
          <w:lang w:val="ru-RU"/>
        </w:rPr>
        <w:t xml:space="preserve">тся инновационные и оригинальные подходы к исследованиям и разработкам в целях построения умных, этических и устойчивых сообществ. Полный текст предложения о направлении докладов приведен в </w:t>
      </w:r>
      <w:r w:rsidR="006E6BD6" w:rsidRPr="00572F46">
        <w:rPr>
          <w:b/>
          <w:szCs w:val="22"/>
          <w:lang w:val="ru-RU"/>
        </w:rPr>
        <w:t>Приложении 1</w:t>
      </w:r>
      <w:r w:rsidRPr="00572F46">
        <w:rPr>
          <w:lang w:val="ru-RU"/>
        </w:rPr>
        <w:t xml:space="preserve">. </w:t>
      </w:r>
      <w:r w:rsidR="006E6BD6" w:rsidRPr="00572F46">
        <w:rPr>
          <w:lang w:val="ru-RU"/>
        </w:rPr>
        <w:t>Как указано в предложении,</w:t>
      </w:r>
      <w:r w:rsidR="004F356D">
        <w:rPr>
          <w:lang w:val="ru-RU"/>
        </w:rPr>
        <w:t xml:space="preserve"> представлять доклады следует к </w:t>
      </w:r>
      <w:r w:rsidR="006E6BD6" w:rsidRPr="00572F46">
        <w:rPr>
          <w:lang w:val="ru-RU"/>
        </w:rPr>
        <w:t>10 сентября</w:t>
      </w:r>
      <w:r w:rsidRPr="00572F46">
        <w:rPr>
          <w:lang w:val="ru-RU"/>
        </w:rPr>
        <w:t xml:space="preserve"> 2012</w:t>
      </w:r>
      <w:r w:rsidR="006E6BD6" w:rsidRPr="00572F46">
        <w:rPr>
          <w:lang w:val="ru-RU"/>
        </w:rPr>
        <w:t> года</w:t>
      </w:r>
      <w:r w:rsidRPr="00572F46">
        <w:rPr>
          <w:lang w:val="ru-RU"/>
        </w:rPr>
        <w:t>.</w:t>
      </w:r>
    </w:p>
    <w:p w:rsidR="009C42B5" w:rsidRPr="00572F46" w:rsidRDefault="009C42B5" w:rsidP="00E6318A">
      <w:pPr>
        <w:tabs>
          <w:tab w:val="clear" w:pos="794"/>
          <w:tab w:val="clear" w:pos="1191"/>
          <w:tab w:val="clear" w:pos="1588"/>
          <w:tab w:val="clear" w:pos="1985"/>
        </w:tabs>
        <w:spacing w:before="0"/>
        <w:rPr>
          <w:bCs/>
          <w:szCs w:val="22"/>
          <w:lang w:val="ru-RU"/>
        </w:rPr>
      </w:pPr>
      <w:r w:rsidRPr="00572F46">
        <w:rPr>
          <w:bCs/>
          <w:szCs w:val="22"/>
          <w:lang w:val="ru-RU"/>
        </w:rPr>
        <w:br w:type="page"/>
      </w:r>
    </w:p>
    <w:p w:rsidR="00F91D5B" w:rsidRPr="00572F46" w:rsidRDefault="00F91D5B" w:rsidP="00E6318A">
      <w:pPr>
        <w:rPr>
          <w:bCs/>
          <w:szCs w:val="22"/>
          <w:lang w:val="ru-RU"/>
        </w:rPr>
      </w:pPr>
      <w:r w:rsidRPr="00572F46">
        <w:rPr>
          <w:bCs/>
          <w:szCs w:val="22"/>
          <w:lang w:val="ru-RU"/>
        </w:rPr>
        <w:lastRenderedPageBreak/>
        <w:t>4</w:t>
      </w:r>
      <w:r w:rsidRPr="00572F46">
        <w:rPr>
          <w:bCs/>
          <w:szCs w:val="22"/>
          <w:lang w:val="ru-RU"/>
        </w:rPr>
        <w:tab/>
        <w:t xml:space="preserve">Участвовать в мероприятии и представлять доклады могут Государства – Члены МСЭ, Члены Сектора, Ассоциированные члены и академические организации, а также любое лицо из страны, являющейся </w:t>
      </w:r>
      <w:r w:rsidR="004F356D" w:rsidRPr="00572F46">
        <w:rPr>
          <w:bCs/>
          <w:szCs w:val="22"/>
          <w:lang w:val="ru-RU"/>
        </w:rPr>
        <w:t xml:space="preserve">Членом </w:t>
      </w:r>
      <w:r w:rsidRPr="00572F46">
        <w:rPr>
          <w:bCs/>
          <w:szCs w:val="22"/>
          <w:lang w:val="ru-RU"/>
        </w:rPr>
        <w:t>МСЭ, которое пожелает внести свой вклад в работу. К таким лицам относятся также члены международных, региональных и национальных организаций. Участие в мероприятии является бесплатным, но стипендии не предоставляются.</w:t>
      </w:r>
    </w:p>
    <w:p w:rsidR="004A23EB" w:rsidRPr="00572F46" w:rsidRDefault="004A23EB" w:rsidP="00E6318A">
      <w:pPr>
        <w:rPr>
          <w:lang w:val="ru-RU"/>
        </w:rPr>
      </w:pPr>
      <w:r w:rsidRPr="00572F46">
        <w:rPr>
          <w:lang w:val="ru-RU"/>
        </w:rPr>
        <w:t>5</w:t>
      </w:r>
      <w:r w:rsidRPr="00572F46">
        <w:rPr>
          <w:lang w:val="ru-RU"/>
        </w:rPr>
        <w:tab/>
      </w:r>
      <w:r w:rsidR="00205BEF" w:rsidRPr="00572F46">
        <w:rPr>
          <w:lang w:val="ru-RU"/>
        </w:rPr>
        <w:t xml:space="preserve">После конференции "Калейдоскоп" будет проведен семинар-практикум "МСЭ и академические организации", запланированный на </w:t>
      </w:r>
      <w:r w:rsidRPr="00572F46">
        <w:rPr>
          <w:lang w:val="ru-RU"/>
        </w:rPr>
        <w:t>25</w:t>
      </w:r>
      <w:r w:rsidR="00205BEF" w:rsidRPr="00572F46">
        <w:rPr>
          <w:lang w:val="ru-RU"/>
        </w:rPr>
        <w:t> апреля</w:t>
      </w:r>
      <w:r w:rsidRPr="00572F46">
        <w:rPr>
          <w:lang w:val="ru-RU"/>
        </w:rPr>
        <w:t xml:space="preserve"> 2013</w:t>
      </w:r>
      <w:r w:rsidR="00205BEF" w:rsidRPr="00572F46">
        <w:rPr>
          <w:lang w:val="ru-RU"/>
        </w:rPr>
        <w:t> года</w:t>
      </w:r>
      <w:r w:rsidRPr="00572F46">
        <w:rPr>
          <w:lang w:val="ru-RU"/>
        </w:rPr>
        <w:t xml:space="preserve">. </w:t>
      </w:r>
      <w:r w:rsidR="00205BEF" w:rsidRPr="00572F46">
        <w:rPr>
          <w:lang w:val="ru-RU"/>
        </w:rPr>
        <w:t>Более подробная информация будет вскоре размещена на веб-странице конференции</w:t>
      </w:r>
      <w:r w:rsidRPr="00572F46">
        <w:rPr>
          <w:lang w:val="ru-RU"/>
        </w:rPr>
        <w:t>.</w:t>
      </w:r>
    </w:p>
    <w:p w:rsidR="004A23EB" w:rsidRPr="00572F46" w:rsidRDefault="004A23EB" w:rsidP="00E6318A">
      <w:pPr>
        <w:rPr>
          <w:lang w:val="ru-RU"/>
        </w:rPr>
      </w:pPr>
      <w:r w:rsidRPr="00572F46">
        <w:rPr>
          <w:lang w:val="ru-RU"/>
        </w:rPr>
        <w:t>6</w:t>
      </w:r>
      <w:r w:rsidRPr="00572F46">
        <w:rPr>
          <w:lang w:val="ru-RU"/>
        </w:rPr>
        <w:tab/>
      </w:r>
      <w:r w:rsidR="00205BEF" w:rsidRPr="00572F46">
        <w:rPr>
          <w:lang w:val="ru-RU"/>
        </w:rPr>
        <w:t xml:space="preserve">Наряду с лекционными и стендовыми сессиями, составляющими программу </w:t>
      </w:r>
      <w:r w:rsidR="004F356D">
        <w:rPr>
          <w:lang w:val="ru-RU"/>
        </w:rPr>
        <w:t>Калейдоскопа</w:t>
      </w:r>
      <w:r w:rsidR="004F356D">
        <w:rPr>
          <w:lang w:val="ru-RU"/>
        </w:rPr>
        <w:noBreakHyphen/>
      </w:r>
      <w:r w:rsidR="00205BEF" w:rsidRPr="00572F46">
        <w:rPr>
          <w:lang w:val="ru-RU"/>
        </w:rPr>
        <w:t xml:space="preserve">2013, состоится выставка </w:t>
      </w:r>
      <w:r w:rsidR="00040719" w:rsidRPr="00572F46">
        <w:rPr>
          <w:lang w:val="ru-RU"/>
        </w:rPr>
        <w:t xml:space="preserve">местного </w:t>
      </w:r>
      <w:r w:rsidR="00205BEF" w:rsidRPr="00572F46">
        <w:rPr>
          <w:lang w:val="ru-RU"/>
        </w:rPr>
        <w:t xml:space="preserve">университета. </w:t>
      </w:r>
      <w:r w:rsidR="00372723" w:rsidRPr="00572F46">
        <w:rPr>
          <w:lang w:val="ru-RU"/>
        </w:rPr>
        <w:t xml:space="preserve">Это мероприятие </w:t>
      </w:r>
      <w:r w:rsidR="00040719" w:rsidRPr="00572F46">
        <w:rPr>
          <w:lang w:val="ru-RU"/>
        </w:rPr>
        <w:t xml:space="preserve">предоставит возможность обмена идеями и информацией о выполняемых в научных кругах Японии </w:t>
      </w:r>
      <w:r w:rsidR="003269C9" w:rsidRPr="00572F46">
        <w:rPr>
          <w:lang w:val="ru-RU"/>
        </w:rPr>
        <w:t xml:space="preserve">проектах </w:t>
      </w:r>
      <w:r w:rsidR="00040719" w:rsidRPr="00572F46">
        <w:rPr>
          <w:lang w:val="ru-RU"/>
        </w:rPr>
        <w:t>между представителями отрасли, являющимися экспертами в области стандартизации ИКТ, и академическими организациями</w:t>
      </w:r>
      <w:r w:rsidRPr="00572F46">
        <w:rPr>
          <w:lang w:val="ru-RU"/>
        </w:rPr>
        <w:t>.</w:t>
      </w:r>
    </w:p>
    <w:p w:rsidR="004A23EB" w:rsidRPr="00572F46" w:rsidRDefault="004A23EB" w:rsidP="00E6318A">
      <w:pPr>
        <w:rPr>
          <w:lang w:val="ru-RU"/>
        </w:rPr>
      </w:pPr>
      <w:r w:rsidRPr="00572F46">
        <w:rPr>
          <w:bCs/>
          <w:lang w:val="ru-RU"/>
        </w:rPr>
        <w:t>7</w:t>
      </w:r>
      <w:r w:rsidRPr="00572F46">
        <w:rPr>
          <w:lang w:val="ru-RU"/>
        </w:rPr>
        <w:tab/>
      </w:r>
      <w:r w:rsidR="003D492D" w:rsidRPr="00572F46">
        <w:rPr>
          <w:bCs/>
          <w:szCs w:val="22"/>
          <w:lang w:val="ru-RU"/>
        </w:rPr>
        <w:t xml:space="preserve">Мы призываем всех </w:t>
      </w:r>
      <w:r w:rsidR="004F356D" w:rsidRPr="00572F46">
        <w:rPr>
          <w:bCs/>
          <w:szCs w:val="22"/>
          <w:lang w:val="ru-RU"/>
        </w:rPr>
        <w:t xml:space="preserve">Членов </w:t>
      </w:r>
      <w:r w:rsidR="003D492D" w:rsidRPr="00572F46">
        <w:rPr>
          <w:bCs/>
          <w:szCs w:val="22"/>
          <w:lang w:val="ru-RU"/>
        </w:rPr>
        <w:t>МСЭ осуществить распространение информации об этих мероприятиях в научном сообществе своей страны</w:t>
      </w:r>
      <w:r w:rsidRPr="00572F46">
        <w:rPr>
          <w:lang w:val="ru-RU"/>
        </w:rPr>
        <w:t>.</w:t>
      </w:r>
      <w:r w:rsidR="00572F46">
        <w:rPr>
          <w:lang w:val="ru-RU"/>
        </w:rPr>
        <w:t xml:space="preserve"> </w:t>
      </w:r>
    </w:p>
    <w:p w:rsidR="006C27B7" w:rsidRPr="00572F46" w:rsidRDefault="006C27B7" w:rsidP="00E6318A">
      <w:pPr>
        <w:tabs>
          <w:tab w:val="left" w:pos="1418"/>
          <w:tab w:val="left" w:pos="1702"/>
          <w:tab w:val="left" w:pos="2160"/>
        </w:tabs>
        <w:ind w:right="92"/>
        <w:rPr>
          <w:lang w:val="ru-RU"/>
        </w:rPr>
      </w:pPr>
      <w:r w:rsidRPr="00572F46">
        <w:rPr>
          <w:lang w:val="ru-RU"/>
        </w:rPr>
        <w:t>8</w:t>
      </w:r>
      <w:r w:rsidRPr="00572F46">
        <w:rPr>
          <w:lang w:val="ru-RU"/>
        </w:rPr>
        <w:tab/>
        <w:t xml:space="preserve">Подробная информация относительно регистрации и материально-технического обеспечения будет размещена </w:t>
      </w:r>
      <w:r w:rsidR="003269C9" w:rsidRPr="00572F46">
        <w:rPr>
          <w:lang w:val="ru-RU"/>
        </w:rPr>
        <w:t xml:space="preserve">на </w:t>
      </w:r>
      <w:r w:rsidRPr="00572F46">
        <w:rPr>
          <w:lang w:val="ru-RU"/>
        </w:rPr>
        <w:t xml:space="preserve">веб-странице мероприятия по адресу: </w:t>
      </w:r>
      <w:r w:rsidR="00572F46" w:rsidRPr="00572F46">
        <w:rPr>
          <w:lang w:val="ru-RU"/>
        </w:rPr>
        <w:br/>
      </w:r>
      <w:hyperlink r:id="rId11" w:history="1">
        <w:r w:rsidR="00572F46" w:rsidRPr="006B7145">
          <w:rPr>
            <w:rStyle w:val="Hyperlink"/>
            <w:lang w:val="ru-RU"/>
          </w:rPr>
          <w:t>http://www.itu-kaleidoscope.org/2013</w:t>
        </w:r>
      </w:hyperlink>
      <w:r w:rsidRPr="00572F46">
        <w:rPr>
          <w:lang w:val="ru-RU"/>
        </w:rPr>
        <w:t xml:space="preserve"> ближе к периоду проведения конференции. </w:t>
      </w:r>
      <w:r w:rsidR="00F17022" w:rsidRPr="00572F46">
        <w:rPr>
          <w:b/>
          <w:bCs/>
          <w:lang w:val="ru-RU"/>
        </w:rPr>
        <w:t xml:space="preserve">Обращаем внимание на то, что предварительная регистрация участников семинаров-практикумов проводится только в </w:t>
      </w:r>
      <w:r w:rsidR="00F17022" w:rsidRPr="00572F46">
        <w:rPr>
          <w:b/>
          <w:bCs/>
          <w:i/>
          <w:iCs/>
          <w:lang w:val="ru-RU"/>
        </w:rPr>
        <w:t>онлайновом режиме</w:t>
      </w:r>
      <w:r w:rsidR="003269C9" w:rsidRPr="00572F46">
        <w:rPr>
          <w:lang w:val="ru-RU"/>
        </w:rPr>
        <w:t>.</w:t>
      </w:r>
    </w:p>
    <w:p w:rsidR="00BC33B4" w:rsidRPr="00572F46" w:rsidRDefault="00AE252E" w:rsidP="00E6318A">
      <w:pPr>
        <w:rPr>
          <w:rFonts w:asciiTheme="majorBidi" w:hAnsiTheme="majorBidi" w:cstheme="majorBidi"/>
          <w:szCs w:val="22"/>
          <w:lang w:val="ru-RU"/>
        </w:rPr>
      </w:pPr>
      <w:r w:rsidRPr="00572F46">
        <w:rPr>
          <w:lang w:val="ru-RU"/>
        </w:rPr>
        <w:t>9</w:t>
      </w:r>
      <w:r w:rsidR="00BC33B4" w:rsidRPr="00572F46">
        <w:rPr>
          <w:lang w:val="ru-RU"/>
        </w:rPr>
        <w:tab/>
      </w:r>
      <w:r w:rsidR="00BC33B4" w:rsidRPr="00572F46">
        <w:rPr>
          <w:rFonts w:asciiTheme="majorBidi" w:hAnsiTheme="majorBidi" w:cstheme="majorBidi"/>
          <w:szCs w:val="22"/>
          <w:lang w:val="ru-RU"/>
        </w:rPr>
        <w:t xml:space="preserve">Хотели бы напомнить о том, что для въезда в </w:t>
      </w:r>
      <w:r w:rsidR="00F17022" w:rsidRPr="00572F46">
        <w:rPr>
          <w:rFonts w:asciiTheme="majorBidi" w:hAnsiTheme="majorBidi" w:cstheme="majorBidi"/>
          <w:szCs w:val="22"/>
          <w:lang w:val="ru-RU"/>
        </w:rPr>
        <w:t>Японию</w:t>
      </w:r>
      <w:r w:rsidR="00BC33B4" w:rsidRPr="00572F46">
        <w:rPr>
          <w:rFonts w:asciiTheme="majorBidi" w:hAnsiTheme="majorBidi" w:cstheme="majorBidi"/>
          <w:szCs w:val="22"/>
          <w:lang w:val="ru-RU"/>
        </w:rPr>
        <w:t xml:space="preserve"> и пребывания </w:t>
      </w:r>
      <w:r w:rsidR="00DA09D7" w:rsidRPr="00572F46">
        <w:rPr>
          <w:rFonts w:asciiTheme="majorBidi" w:hAnsiTheme="majorBidi" w:cstheme="majorBidi"/>
          <w:szCs w:val="22"/>
          <w:lang w:val="ru-RU"/>
        </w:rPr>
        <w:t>в ней</w:t>
      </w:r>
      <w:r w:rsidR="00BC33B4" w:rsidRPr="00572F46">
        <w:rPr>
          <w:rFonts w:asciiTheme="majorBidi" w:hAnsiTheme="majorBidi" w:cstheme="majorBidi"/>
          <w:szCs w:val="22"/>
          <w:lang w:val="ru-RU"/>
        </w:rPr>
        <w:t xml:space="preserve"> </w:t>
      </w:r>
      <w:r w:rsidR="00DA09D7" w:rsidRPr="00572F46">
        <w:rPr>
          <w:rFonts w:asciiTheme="majorBidi" w:hAnsiTheme="majorBidi" w:cstheme="majorBidi"/>
          <w:szCs w:val="22"/>
          <w:lang w:val="ru-RU"/>
        </w:rPr>
        <w:t>в</w:t>
      </w:r>
      <w:r w:rsidR="00BC33B4" w:rsidRPr="00572F46">
        <w:rPr>
          <w:rFonts w:asciiTheme="majorBidi" w:hAnsiTheme="majorBidi" w:cstheme="majorBidi"/>
          <w:szCs w:val="22"/>
          <w:lang w:val="ru-RU"/>
        </w:rPr>
        <w:t xml:space="preserve"> течение любого срока гражданам некоторых стран необходимо получить визу.</w:t>
      </w:r>
      <w:r w:rsidR="00F17022" w:rsidRPr="00572F46">
        <w:rPr>
          <w:rFonts w:asciiTheme="majorBidi" w:hAnsiTheme="majorBidi" w:cstheme="majorBidi"/>
          <w:szCs w:val="22"/>
          <w:lang w:val="ru-RU"/>
        </w:rPr>
        <w:t xml:space="preserve"> </w:t>
      </w:r>
      <w:r w:rsidR="00F17022" w:rsidRPr="00572F46">
        <w:rPr>
          <w:rFonts w:asciiTheme="majorBidi" w:hAnsiTheme="majorBidi" w:cstheme="majorBidi"/>
          <w:color w:val="000000"/>
          <w:szCs w:val="22"/>
          <w:lang w:val="ru-RU"/>
        </w:rPr>
        <w:t>В таком случае визу следует запрашивать и получать в учреждении (посольстве или консульстве), представляющем Японию в вашей стране</w:t>
      </w:r>
      <w:r w:rsidR="00F17022" w:rsidRPr="00572F46">
        <w:rPr>
          <w:rFonts w:asciiTheme="majorBidi" w:hAnsiTheme="majorBidi" w:cstheme="majorBidi"/>
          <w:szCs w:val="22"/>
          <w:lang w:val="ru-RU"/>
        </w:rPr>
        <w:t xml:space="preserve"> или, если в вашей стране такое учреждение отсутствует, в ближайшем к стране выезда</w:t>
      </w:r>
      <w:r w:rsidR="00F17022" w:rsidRPr="00572F46">
        <w:rPr>
          <w:rFonts w:asciiTheme="majorBidi" w:hAnsiTheme="majorBidi" w:cstheme="majorBidi"/>
          <w:color w:val="000000"/>
          <w:szCs w:val="22"/>
          <w:lang w:val="ru-RU"/>
        </w:rPr>
        <w:t>.</w:t>
      </w:r>
      <w:r w:rsidR="00BC33B4" w:rsidRPr="00572F46">
        <w:rPr>
          <w:rFonts w:asciiTheme="majorBidi" w:hAnsiTheme="majorBidi" w:cstheme="majorBidi"/>
          <w:szCs w:val="22"/>
          <w:lang w:val="ru-RU"/>
        </w:rPr>
        <w:t xml:space="preserve"> </w:t>
      </w:r>
      <w:r w:rsidR="00F17022" w:rsidRPr="00572F46">
        <w:rPr>
          <w:rFonts w:asciiTheme="majorBidi" w:hAnsiTheme="majorBidi" w:cstheme="majorBidi"/>
          <w:color w:val="000000"/>
          <w:szCs w:val="22"/>
          <w:lang w:val="ru-RU"/>
        </w:rPr>
        <w:t xml:space="preserve">Участникам, которым необходимо содействие принимающей стороны в получении въездной визы, предлагаем ознакомиться с информацией, представленной на веб-странице </w:t>
      </w:r>
      <w:r w:rsidRPr="00572F46">
        <w:rPr>
          <w:rFonts w:asciiTheme="majorBidi" w:hAnsiTheme="majorBidi" w:cstheme="majorBidi"/>
          <w:color w:val="000000"/>
          <w:szCs w:val="22"/>
          <w:lang w:val="ru-RU"/>
        </w:rPr>
        <w:t xml:space="preserve">мероприятия "Калейдоскоп" по адресу: </w:t>
      </w:r>
      <w:hyperlink r:id="rId12" w:history="1">
        <w:r w:rsidRPr="00572F46">
          <w:rPr>
            <w:rStyle w:val="Hyperlink"/>
            <w:rFonts w:asciiTheme="majorBidi" w:hAnsiTheme="majorBidi" w:cstheme="majorBidi"/>
            <w:szCs w:val="22"/>
            <w:lang w:val="ru-RU"/>
          </w:rPr>
          <w:t>http://www.itu-kaleidoscope.org/2013</w:t>
        </w:r>
      </w:hyperlink>
      <w:r w:rsidRPr="00572F46">
        <w:rPr>
          <w:rFonts w:asciiTheme="majorBidi" w:hAnsiTheme="majorBidi" w:cstheme="majorBidi"/>
          <w:szCs w:val="22"/>
          <w:lang w:val="ru-RU"/>
        </w:rPr>
        <w:t>. Информация будет размещать</w:t>
      </w:r>
      <w:r w:rsidR="004C24E2" w:rsidRPr="00572F46">
        <w:rPr>
          <w:rFonts w:asciiTheme="majorBidi" w:hAnsiTheme="majorBidi" w:cstheme="majorBidi"/>
          <w:szCs w:val="22"/>
          <w:lang w:val="ru-RU"/>
        </w:rPr>
        <w:t>ся</w:t>
      </w:r>
      <w:r w:rsidRPr="00572F46">
        <w:rPr>
          <w:rFonts w:asciiTheme="majorBidi" w:hAnsiTheme="majorBidi" w:cstheme="majorBidi"/>
          <w:szCs w:val="22"/>
          <w:lang w:val="ru-RU"/>
        </w:rPr>
        <w:t xml:space="preserve"> по мере поступления</w:t>
      </w:r>
      <w:r w:rsidR="004C24E2" w:rsidRPr="00572F46">
        <w:rPr>
          <w:rFonts w:asciiTheme="majorBidi" w:hAnsiTheme="majorBidi" w:cstheme="majorBidi"/>
          <w:szCs w:val="22"/>
          <w:lang w:val="ru-RU"/>
        </w:rPr>
        <w:t>.</w:t>
      </w:r>
    </w:p>
    <w:p w:rsidR="00BC33B4" w:rsidRPr="00572F46" w:rsidRDefault="00BC33B4" w:rsidP="00E6318A">
      <w:pPr>
        <w:pStyle w:val="Normalaftertitle"/>
        <w:spacing w:before="240"/>
        <w:rPr>
          <w:lang w:val="ru-RU"/>
        </w:rPr>
      </w:pPr>
      <w:r w:rsidRPr="00572F46">
        <w:rPr>
          <w:lang w:val="ru-RU"/>
        </w:rPr>
        <w:t>С уважением,</w:t>
      </w:r>
    </w:p>
    <w:p w:rsidR="00BC33B4" w:rsidRPr="00572F46" w:rsidRDefault="00BC33B4" w:rsidP="00E6318A">
      <w:pPr>
        <w:spacing w:before="1080"/>
        <w:rPr>
          <w:lang w:val="ru-RU"/>
        </w:rPr>
      </w:pPr>
      <w:r w:rsidRPr="00572F46">
        <w:rPr>
          <w:lang w:val="ru-RU"/>
        </w:rPr>
        <w:t>Малколм Джонсон</w:t>
      </w:r>
      <w:r w:rsidRPr="00572F46">
        <w:rPr>
          <w:lang w:val="ru-RU"/>
        </w:rPr>
        <w:br/>
        <w:t>Директор Бюро</w:t>
      </w:r>
      <w:r w:rsidRPr="00572F46">
        <w:rPr>
          <w:lang w:val="ru-RU"/>
        </w:rPr>
        <w:br/>
        <w:t>стандартизации электросвязи</w:t>
      </w:r>
    </w:p>
    <w:p w:rsidR="00BC33B4" w:rsidRPr="00572F46" w:rsidRDefault="00BC33B4" w:rsidP="00E6318A">
      <w:pPr>
        <w:spacing w:before="1440"/>
        <w:rPr>
          <w:lang w:val="ru-RU"/>
        </w:rPr>
      </w:pPr>
      <w:r w:rsidRPr="00572F46">
        <w:rPr>
          <w:b/>
          <w:bCs/>
          <w:lang w:val="ru-RU"/>
        </w:rPr>
        <w:t>Приложени</w:t>
      </w:r>
      <w:r w:rsidR="004F356D">
        <w:rPr>
          <w:b/>
          <w:bCs/>
          <w:lang w:val="ru-RU"/>
        </w:rPr>
        <w:t>е</w:t>
      </w:r>
      <w:r w:rsidRPr="00572F46">
        <w:rPr>
          <w:lang w:val="ru-RU"/>
        </w:rPr>
        <w:t xml:space="preserve">: </w:t>
      </w:r>
      <w:r w:rsidR="00AE252E" w:rsidRPr="00572F46">
        <w:rPr>
          <w:lang w:val="ru-RU"/>
        </w:rPr>
        <w:t>1</w:t>
      </w:r>
    </w:p>
    <w:p w:rsidR="00A563C7" w:rsidRPr="00572F46" w:rsidRDefault="00A563C7" w:rsidP="00E6318A">
      <w:pPr>
        <w:rPr>
          <w:szCs w:val="22"/>
          <w:lang w:val="ru-RU"/>
        </w:rPr>
      </w:pPr>
    </w:p>
    <w:p w:rsidR="00A563C7" w:rsidRPr="00572F46" w:rsidRDefault="00A563C7" w:rsidP="00E6318A">
      <w:pPr>
        <w:rPr>
          <w:szCs w:val="22"/>
          <w:lang w:val="ru-RU"/>
        </w:rPr>
        <w:sectPr w:rsidR="00A563C7" w:rsidRPr="00572F46" w:rsidSect="00E6318A">
          <w:headerReference w:type="default" r:id="rId13"/>
          <w:footerReference w:type="default" r:id="rId14"/>
          <w:footerReference w:type="first" r:id="rId15"/>
          <w:pgSz w:w="11907" w:h="16840" w:code="9"/>
          <w:pgMar w:top="1418" w:right="1134" w:bottom="1361" w:left="1134" w:header="567" w:footer="567" w:gutter="0"/>
          <w:pgNumType w:start="1"/>
          <w:cols w:space="720"/>
          <w:titlePg/>
        </w:sectPr>
      </w:pPr>
    </w:p>
    <w:p w:rsidR="00AE252E" w:rsidRPr="00572F46" w:rsidRDefault="00AE252E" w:rsidP="00E6318A">
      <w:pPr>
        <w:pStyle w:val="LetterStart"/>
        <w:tabs>
          <w:tab w:val="clear" w:pos="1361"/>
          <w:tab w:val="clear" w:pos="1758"/>
          <w:tab w:val="clear" w:pos="2155"/>
          <w:tab w:val="clear" w:pos="2552"/>
        </w:tabs>
        <w:spacing w:before="0"/>
        <w:ind w:left="0"/>
        <w:jc w:val="center"/>
        <w:rPr>
          <w:szCs w:val="22"/>
        </w:rPr>
      </w:pPr>
      <w:r w:rsidRPr="00572F46">
        <w:rPr>
          <w:sz w:val="26"/>
          <w:szCs w:val="26"/>
        </w:rPr>
        <w:lastRenderedPageBreak/>
        <w:t>ANNEX 1</w:t>
      </w:r>
      <w:r w:rsidRPr="00572F46">
        <w:rPr>
          <w:sz w:val="26"/>
          <w:szCs w:val="26"/>
        </w:rPr>
        <w:br/>
      </w:r>
      <w:r w:rsidRPr="00572F46">
        <w:rPr>
          <w:szCs w:val="22"/>
        </w:rPr>
        <w:t>(to TSB Circular 276)</w:t>
      </w:r>
    </w:p>
    <w:p w:rsidR="00AE252E" w:rsidRPr="00572F46" w:rsidRDefault="00AE252E" w:rsidP="00E6318A">
      <w:pPr>
        <w:jc w:val="center"/>
        <w:rPr>
          <w:b/>
          <w:bCs/>
          <w:szCs w:val="22"/>
          <w:lang w:val="en-GB"/>
        </w:rPr>
      </w:pPr>
      <w:r w:rsidRPr="00572F46">
        <w:rPr>
          <w:b/>
          <w:bCs/>
          <w:szCs w:val="22"/>
          <w:lang w:val="en-GB"/>
        </w:rPr>
        <w:t>Building Sustainable Communities</w:t>
      </w:r>
    </w:p>
    <w:p w:rsidR="00AE252E" w:rsidRPr="00572F46" w:rsidRDefault="00AE252E" w:rsidP="00E6318A">
      <w:pPr>
        <w:jc w:val="center"/>
        <w:rPr>
          <w:szCs w:val="22"/>
          <w:lang w:val="en-GB"/>
        </w:rPr>
      </w:pPr>
      <w:r w:rsidRPr="00572F46">
        <w:rPr>
          <w:szCs w:val="22"/>
          <w:lang w:val="en-GB"/>
        </w:rPr>
        <w:t>The 5th ITU Kaleidoscope academic conference</w:t>
      </w:r>
    </w:p>
    <w:p w:rsidR="00AE252E" w:rsidRPr="00572F46" w:rsidRDefault="004F356D" w:rsidP="00E6318A">
      <w:pPr>
        <w:jc w:val="center"/>
        <w:rPr>
          <w:szCs w:val="22"/>
          <w:lang w:val="en-GB"/>
        </w:rPr>
      </w:pPr>
      <w:r>
        <w:rPr>
          <w:szCs w:val="22"/>
          <w:lang w:val="en-GB"/>
        </w:rPr>
        <w:t>22</w:t>
      </w:r>
      <w:r>
        <w:rPr>
          <w:rFonts w:ascii="Symbol" w:hAnsi="Symbol"/>
          <w:szCs w:val="22"/>
          <w:lang w:val="en-GB"/>
        </w:rPr>
        <w:t></w:t>
      </w:r>
      <w:r w:rsidR="00AE252E" w:rsidRPr="00572F46">
        <w:rPr>
          <w:szCs w:val="22"/>
          <w:lang w:val="en-GB"/>
        </w:rPr>
        <w:t>24 April 2013</w:t>
      </w:r>
    </w:p>
    <w:p w:rsidR="00AE252E" w:rsidRPr="00572F46" w:rsidRDefault="00AE252E" w:rsidP="00E6318A">
      <w:pPr>
        <w:jc w:val="center"/>
        <w:rPr>
          <w:szCs w:val="22"/>
          <w:lang w:val="en-GB"/>
        </w:rPr>
      </w:pPr>
      <w:r w:rsidRPr="00572F46">
        <w:rPr>
          <w:szCs w:val="22"/>
          <w:lang w:val="en-GB"/>
        </w:rPr>
        <w:t>Kyoto, Japan</w:t>
      </w:r>
    </w:p>
    <w:p w:rsidR="00AE252E" w:rsidRPr="00572F46" w:rsidRDefault="00AE252E" w:rsidP="00E6318A">
      <w:pPr>
        <w:jc w:val="center"/>
        <w:rPr>
          <w:b/>
          <w:bCs/>
          <w:szCs w:val="22"/>
          <w:lang w:val="en-GB"/>
        </w:rPr>
      </w:pPr>
      <w:r w:rsidRPr="00572F46">
        <w:rPr>
          <w:b/>
          <w:bCs/>
          <w:szCs w:val="22"/>
          <w:lang w:val="en-GB"/>
        </w:rPr>
        <w:t>Call for Papers</w:t>
      </w:r>
    </w:p>
    <w:p w:rsidR="00AE252E" w:rsidRPr="00572F46" w:rsidRDefault="00AE252E" w:rsidP="00E6318A">
      <w:pPr>
        <w:spacing w:before="480"/>
        <w:rPr>
          <w:szCs w:val="22"/>
          <w:lang w:val="en-GB"/>
        </w:rPr>
      </w:pPr>
      <w:r w:rsidRPr="00572F46">
        <w:rPr>
          <w:szCs w:val="22"/>
          <w:lang w:val="en-GB"/>
        </w:rPr>
        <w:t>Kaleidoscope 2013 Building Sustainable Communities − is the fifth in a series of peer-reviewed academic conferences organized by ITU that brings together a wide range of views from universities, industry and research institutions of different fields. The aim of Kaleidoscope conferences is to identify emerging developments in Information and Communication Technologies (ICTs) at an early stage to generate successful products and services through the development of international and open standards.</w:t>
      </w:r>
    </w:p>
    <w:p w:rsidR="00AE252E" w:rsidRPr="00572F46" w:rsidRDefault="00AE252E" w:rsidP="00E6318A">
      <w:pPr>
        <w:rPr>
          <w:szCs w:val="22"/>
          <w:lang w:val="en-GB"/>
        </w:rPr>
      </w:pPr>
      <w:r w:rsidRPr="00572F46">
        <w:rPr>
          <w:szCs w:val="22"/>
          <w:lang w:val="en-GB"/>
        </w:rPr>
        <w:t xml:space="preserve">Future technologies should be designed to enhance the quality of human life. </w:t>
      </w:r>
    </w:p>
    <w:p w:rsidR="00AE252E" w:rsidRPr="00572F46" w:rsidRDefault="00AE252E" w:rsidP="00E6318A">
      <w:pPr>
        <w:rPr>
          <w:szCs w:val="22"/>
          <w:lang w:val="en-GB"/>
        </w:rPr>
      </w:pPr>
      <w:r w:rsidRPr="00572F46">
        <w:rPr>
          <w:szCs w:val="22"/>
          <w:lang w:val="en-GB"/>
        </w:rPr>
        <w:t xml:space="preserve">Kaleidoscope 2013 will, therefore, highlight multidisciplinary aspects of future ICTs including future services and applications demand as well as socio-economic, cultural, ethical, legal, and sustainable development policy aspects of communities of the future. </w:t>
      </w:r>
    </w:p>
    <w:p w:rsidR="00AE252E" w:rsidRPr="00572F46" w:rsidRDefault="00AE252E" w:rsidP="00E6318A">
      <w:pPr>
        <w:rPr>
          <w:szCs w:val="22"/>
          <w:lang w:val="en-GB"/>
        </w:rPr>
      </w:pPr>
      <w:r w:rsidRPr="00572F46">
        <w:rPr>
          <w:szCs w:val="22"/>
          <w:lang w:val="en-GB"/>
        </w:rPr>
        <w:t>ICTs can be used as a catalyst for transforming life to meet the challenges of the new millennium, including global economic and financial crises, high unemployment rates, accessibility issues, global diseases, food availability and distribution, climate change, environmental disasters, energy consumption, transport systems, safety, security, and welfare.</w:t>
      </w:r>
    </w:p>
    <w:p w:rsidR="00AE252E" w:rsidRPr="00572F46" w:rsidRDefault="00AE252E" w:rsidP="00E6318A">
      <w:pPr>
        <w:rPr>
          <w:szCs w:val="22"/>
          <w:lang w:val="en-GB"/>
        </w:rPr>
      </w:pPr>
      <w:r w:rsidRPr="00572F46">
        <w:rPr>
          <w:szCs w:val="22"/>
          <w:lang w:val="en-GB"/>
        </w:rPr>
        <w:t>Sustainable communities will combine human-oriented technologies and human values.</w:t>
      </w:r>
    </w:p>
    <w:p w:rsidR="00AE252E" w:rsidRPr="00572F46" w:rsidRDefault="00AE252E" w:rsidP="00E6318A">
      <w:pPr>
        <w:rPr>
          <w:szCs w:val="22"/>
          <w:lang w:val="en-GB"/>
        </w:rPr>
      </w:pPr>
      <w:r w:rsidRPr="00572F46">
        <w:rPr>
          <w:szCs w:val="22"/>
          <w:lang w:val="en-GB"/>
        </w:rPr>
        <w:t>Besides technical issues, building sustainable communities also raises ethical concerns such as responsibility for future generations and for the environment, as well as for data and information privacy. Therefore, an improved understanding of technology, its suitable application, and a high consideration of its potential consequences are necessary.</w:t>
      </w:r>
    </w:p>
    <w:p w:rsidR="00AE252E" w:rsidRPr="00572F46" w:rsidRDefault="00AE252E" w:rsidP="00E6318A">
      <w:pPr>
        <w:rPr>
          <w:szCs w:val="22"/>
          <w:lang w:val="en-GB"/>
        </w:rPr>
      </w:pPr>
      <w:r w:rsidRPr="00572F46">
        <w:rPr>
          <w:szCs w:val="22"/>
          <w:lang w:val="en-GB"/>
        </w:rPr>
        <w:t xml:space="preserve">To address these issues, and for a co-evolution of technology and sustainable communities, standards are indispensable. Developing these standards will require concerted global efforts by inter-sectoral stakeholders. This conference will help to further such collaborations. </w:t>
      </w:r>
    </w:p>
    <w:p w:rsidR="00AE252E" w:rsidRPr="00572F46" w:rsidRDefault="00AE252E" w:rsidP="00E6318A">
      <w:pPr>
        <w:rPr>
          <w:szCs w:val="22"/>
          <w:lang w:val="en-GB"/>
        </w:rPr>
      </w:pPr>
      <w:r w:rsidRPr="00572F46">
        <w:rPr>
          <w:szCs w:val="22"/>
          <w:lang w:val="en-GB"/>
        </w:rPr>
        <w:t xml:space="preserve">Building Sustainable Communities − is calling for original academic papers offering innovative and bold approaches in research and development to build smart, ethical, and sustainable communities. </w:t>
      </w:r>
    </w:p>
    <w:p w:rsidR="00AE252E" w:rsidRPr="00572F46" w:rsidRDefault="00AE252E" w:rsidP="00E6318A">
      <w:pPr>
        <w:spacing w:before="320"/>
        <w:rPr>
          <w:b/>
          <w:bCs/>
          <w:szCs w:val="22"/>
          <w:lang w:val="en-GB"/>
        </w:rPr>
      </w:pPr>
      <w:r w:rsidRPr="00572F46">
        <w:rPr>
          <w:b/>
          <w:bCs/>
          <w:szCs w:val="22"/>
          <w:lang w:val="en-GB"/>
        </w:rPr>
        <w:t>Audience</w:t>
      </w:r>
    </w:p>
    <w:p w:rsidR="00AE252E" w:rsidRPr="00572F46" w:rsidRDefault="00AE252E" w:rsidP="00E6318A">
      <w:pPr>
        <w:rPr>
          <w:szCs w:val="22"/>
          <w:lang w:val="en-GB"/>
        </w:rPr>
      </w:pPr>
      <w:r w:rsidRPr="00572F46">
        <w:rPr>
          <w:szCs w:val="22"/>
          <w:lang w:val="en-GB"/>
        </w:rPr>
        <w:t>Kaleidoscope 2013 is targeted at all specialists with a role in the field, including researchers, academics, students, engineers, policy-makers and regulators, innovators and futurists from all over the world.</w:t>
      </w:r>
    </w:p>
    <w:p w:rsidR="00AE252E" w:rsidRPr="00572F46" w:rsidRDefault="00AE252E" w:rsidP="00E6318A">
      <w:pPr>
        <w:spacing w:before="320"/>
        <w:rPr>
          <w:b/>
          <w:bCs/>
          <w:szCs w:val="22"/>
          <w:lang w:val="en-GB"/>
        </w:rPr>
      </w:pPr>
      <w:r w:rsidRPr="00572F46">
        <w:rPr>
          <w:b/>
          <w:bCs/>
          <w:szCs w:val="22"/>
          <w:lang w:val="en-GB"/>
        </w:rPr>
        <w:t>Date and venue</w:t>
      </w:r>
    </w:p>
    <w:p w:rsidR="00AE252E" w:rsidRPr="00572F46" w:rsidRDefault="00AE252E" w:rsidP="004F356D">
      <w:pPr>
        <w:rPr>
          <w:szCs w:val="22"/>
          <w:lang w:val="en-GB"/>
        </w:rPr>
      </w:pPr>
      <w:r w:rsidRPr="00572F46">
        <w:rPr>
          <w:szCs w:val="22"/>
          <w:lang w:val="en-GB"/>
        </w:rPr>
        <w:t>22</w:t>
      </w:r>
      <w:r w:rsidR="004F356D">
        <w:rPr>
          <w:rFonts w:ascii="Symbol" w:hAnsi="Symbol"/>
          <w:szCs w:val="22"/>
          <w:lang w:val="en-GB"/>
        </w:rPr>
        <w:t></w:t>
      </w:r>
      <w:r w:rsidRPr="00572F46">
        <w:rPr>
          <w:szCs w:val="22"/>
          <w:lang w:val="en-GB"/>
        </w:rPr>
        <w:t>24 April 2013, Kyoto, Japan</w:t>
      </w:r>
    </w:p>
    <w:p w:rsidR="00AE252E" w:rsidRPr="00572F46" w:rsidRDefault="00AE252E" w:rsidP="00E6318A">
      <w:pPr>
        <w:spacing w:before="320"/>
        <w:rPr>
          <w:b/>
          <w:bCs/>
          <w:szCs w:val="22"/>
          <w:lang w:val="en-GB"/>
        </w:rPr>
      </w:pPr>
      <w:r w:rsidRPr="00572F46">
        <w:rPr>
          <w:b/>
          <w:bCs/>
          <w:szCs w:val="22"/>
          <w:lang w:val="en-GB"/>
        </w:rPr>
        <w:t>Submission of papers</w:t>
      </w:r>
    </w:p>
    <w:p w:rsidR="00AE252E" w:rsidRPr="00572F46" w:rsidRDefault="00AE252E" w:rsidP="00E6318A">
      <w:pPr>
        <w:rPr>
          <w:szCs w:val="22"/>
          <w:lang w:val="en-GB"/>
        </w:rPr>
      </w:pPr>
      <w:r w:rsidRPr="00572F46">
        <w:rPr>
          <w:szCs w:val="22"/>
          <w:lang w:val="en-GB"/>
        </w:rPr>
        <w:t xml:space="preserve">Prospective authors, from countries that are members of ITU, are invited to submit complete, original papers with a maximum length of 4,500 words within eight pages including summary and references, using the template available on the event website. All papers will be reviewed through a double-blind, peer-review process and handled electronically; see </w:t>
      </w:r>
      <w:hyperlink r:id="rId16" w:history="1">
        <w:r w:rsidRPr="00572F46">
          <w:rPr>
            <w:rStyle w:val="Hyperlink"/>
            <w:szCs w:val="22"/>
            <w:lang w:val="en-GB"/>
          </w:rPr>
          <w:t>http://itu-kaleidoscope.org/2013</w:t>
        </w:r>
      </w:hyperlink>
      <w:r w:rsidRPr="00572F46">
        <w:rPr>
          <w:szCs w:val="22"/>
          <w:lang w:val="en-GB"/>
        </w:rPr>
        <w:t xml:space="preserve"> for the online submission (EDAS). Paper proposals will be evaluated according to content, originality, clarity, relevance to the conference’s theme and in particular significance to future standards. </w:t>
      </w:r>
    </w:p>
    <w:p w:rsidR="00AE252E" w:rsidRPr="00572F46" w:rsidRDefault="00AE252E" w:rsidP="00E6318A">
      <w:pPr>
        <w:spacing w:before="320"/>
        <w:rPr>
          <w:b/>
          <w:bCs/>
          <w:szCs w:val="22"/>
          <w:lang w:val="en-GB"/>
        </w:rPr>
      </w:pPr>
      <w:r w:rsidRPr="00572F46">
        <w:rPr>
          <w:b/>
          <w:bCs/>
          <w:szCs w:val="22"/>
          <w:lang w:val="en-GB"/>
        </w:rPr>
        <w:lastRenderedPageBreak/>
        <w:t>Deadlines</w:t>
      </w:r>
    </w:p>
    <w:p w:rsidR="00AE252E" w:rsidRPr="00572F46" w:rsidRDefault="00AE252E" w:rsidP="00E6318A">
      <w:pPr>
        <w:rPr>
          <w:szCs w:val="22"/>
          <w:lang w:val="en-GB"/>
        </w:rPr>
      </w:pPr>
      <w:r w:rsidRPr="00572F46">
        <w:rPr>
          <w:szCs w:val="22"/>
          <w:lang w:val="en-GB"/>
        </w:rPr>
        <w:t xml:space="preserve">Submission of full paper proposals: </w:t>
      </w:r>
      <w:r w:rsidRPr="00572F46">
        <w:rPr>
          <w:color w:val="FF0000"/>
          <w:szCs w:val="22"/>
          <w:lang w:val="en-GB"/>
        </w:rPr>
        <w:t>Mon 10 Sept 2012</w:t>
      </w:r>
    </w:p>
    <w:p w:rsidR="00AE252E" w:rsidRPr="00572F46" w:rsidRDefault="00AE252E" w:rsidP="00E6318A">
      <w:pPr>
        <w:rPr>
          <w:szCs w:val="22"/>
          <w:lang w:val="en-GB"/>
        </w:rPr>
      </w:pPr>
      <w:r w:rsidRPr="00572F46">
        <w:rPr>
          <w:szCs w:val="22"/>
          <w:lang w:val="en-GB"/>
        </w:rPr>
        <w:t>Notification of paper acceptance: Mon 12 Nov 2012</w:t>
      </w:r>
    </w:p>
    <w:p w:rsidR="00AE252E" w:rsidRPr="00572F46" w:rsidRDefault="00AE252E" w:rsidP="00E6318A">
      <w:pPr>
        <w:rPr>
          <w:szCs w:val="22"/>
          <w:lang w:val="en-GB"/>
        </w:rPr>
      </w:pPr>
      <w:r w:rsidRPr="00572F46">
        <w:rPr>
          <w:szCs w:val="22"/>
          <w:lang w:val="en-GB"/>
        </w:rPr>
        <w:t>Submission of camera-ready accepted papers: Mon 3 Dec 2012</w:t>
      </w:r>
    </w:p>
    <w:p w:rsidR="00AE252E" w:rsidRPr="00572F46" w:rsidRDefault="00AE252E" w:rsidP="00E6318A">
      <w:pPr>
        <w:spacing w:before="320"/>
        <w:rPr>
          <w:b/>
          <w:bCs/>
          <w:szCs w:val="22"/>
          <w:lang w:val="en-GB"/>
        </w:rPr>
      </w:pPr>
      <w:r w:rsidRPr="00572F46">
        <w:rPr>
          <w:b/>
          <w:bCs/>
          <w:szCs w:val="22"/>
          <w:lang w:val="en-GB"/>
        </w:rPr>
        <w:t>Publication and presentation</w:t>
      </w:r>
    </w:p>
    <w:p w:rsidR="00AE252E" w:rsidRPr="00572F46" w:rsidRDefault="00AE252E" w:rsidP="00E6318A">
      <w:pPr>
        <w:rPr>
          <w:szCs w:val="22"/>
          <w:lang w:val="en-GB"/>
        </w:rPr>
      </w:pPr>
      <w:r w:rsidRPr="00572F46">
        <w:rPr>
          <w:szCs w:val="22"/>
          <w:lang w:val="en-GB"/>
        </w:rPr>
        <w:t>Accepted papers will be presented during the event and published in the proceedings and in IEEE Xplore. The best papers will be evaluated for potential publication in IEEE Communications Magazine. In addition, selected papers will be considered for publication in the International Journal of Technology Marketing or the International Journal of IT Standards &amp; Standardization Research.</w:t>
      </w:r>
    </w:p>
    <w:p w:rsidR="00AE252E" w:rsidRPr="00572F46" w:rsidRDefault="00AE252E" w:rsidP="00E6318A">
      <w:pPr>
        <w:spacing w:before="320"/>
        <w:rPr>
          <w:b/>
          <w:bCs/>
          <w:szCs w:val="22"/>
          <w:lang w:val="en-GB"/>
        </w:rPr>
      </w:pPr>
      <w:r w:rsidRPr="00572F46">
        <w:rPr>
          <w:b/>
          <w:bCs/>
          <w:szCs w:val="22"/>
          <w:lang w:val="en-GB"/>
        </w:rPr>
        <w:t>Awards</w:t>
      </w:r>
    </w:p>
    <w:p w:rsidR="00AE252E" w:rsidRPr="00572F46" w:rsidRDefault="00AE252E" w:rsidP="00E6318A">
      <w:pPr>
        <w:rPr>
          <w:szCs w:val="22"/>
          <w:lang w:val="en-GB"/>
        </w:rPr>
      </w:pPr>
      <w:r w:rsidRPr="00572F46">
        <w:rPr>
          <w:szCs w:val="22"/>
          <w:lang w:val="en-GB"/>
        </w:rPr>
        <w:t>Awards of USD 5k, 3k and 2k will be granted to selected best papers, as judged by the Steering and Technical Programme Committees. In addition, young authors presenting accepted papers will receive a Young Author Recognition certificate.</w:t>
      </w:r>
    </w:p>
    <w:p w:rsidR="00AE252E" w:rsidRPr="00572F46" w:rsidRDefault="00AE252E" w:rsidP="00E6318A">
      <w:pPr>
        <w:spacing w:before="320"/>
        <w:rPr>
          <w:b/>
          <w:bCs/>
          <w:szCs w:val="22"/>
          <w:lang w:val="en-GB"/>
        </w:rPr>
      </w:pPr>
      <w:r w:rsidRPr="00572F46">
        <w:rPr>
          <w:b/>
          <w:bCs/>
          <w:szCs w:val="22"/>
          <w:lang w:val="en-GB"/>
        </w:rPr>
        <w:t>Steering Committee</w:t>
      </w:r>
    </w:p>
    <w:p w:rsidR="00AE252E" w:rsidRPr="00572F46" w:rsidRDefault="00AE252E" w:rsidP="00E6318A">
      <w:pPr>
        <w:pStyle w:val="ListParagraph"/>
        <w:numPr>
          <w:ilvl w:val="0"/>
          <w:numId w:val="28"/>
        </w:numPr>
        <w:rPr>
          <w:sz w:val="22"/>
          <w:szCs w:val="22"/>
        </w:rPr>
      </w:pPr>
      <w:r w:rsidRPr="00572F46">
        <w:rPr>
          <w:sz w:val="22"/>
          <w:szCs w:val="22"/>
        </w:rPr>
        <w:t xml:space="preserve">Christoph Dosch (ITU-R Study Group 6 Chairman; IRT GmbH, DE) </w:t>
      </w:r>
    </w:p>
    <w:p w:rsidR="00AE252E" w:rsidRPr="00572F46" w:rsidRDefault="00AE252E" w:rsidP="00E6318A">
      <w:pPr>
        <w:pStyle w:val="ListParagraph"/>
        <w:numPr>
          <w:ilvl w:val="0"/>
          <w:numId w:val="28"/>
        </w:numPr>
        <w:rPr>
          <w:sz w:val="22"/>
          <w:szCs w:val="22"/>
        </w:rPr>
      </w:pPr>
      <w:r w:rsidRPr="00572F46">
        <w:rPr>
          <w:sz w:val="22"/>
          <w:szCs w:val="22"/>
        </w:rPr>
        <w:t xml:space="preserve">Roch Glitho (Concordia University, CA) </w:t>
      </w:r>
    </w:p>
    <w:p w:rsidR="00AE252E" w:rsidRPr="00572F46" w:rsidRDefault="00AE252E" w:rsidP="00E6318A">
      <w:pPr>
        <w:pStyle w:val="ListParagraph"/>
        <w:numPr>
          <w:ilvl w:val="0"/>
          <w:numId w:val="28"/>
        </w:numPr>
        <w:rPr>
          <w:sz w:val="22"/>
          <w:szCs w:val="22"/>
        </w:rPr>
      </w:pPr>
      <w:r w:rsidRPr="00572F46">
        <w:rPr>
          <w:sz w:val="22"/>
          <w:szCs w:val="22"/>
        </w:rPr>
        <w:t>Kai Jakobs (RWTH Aachen University, DE)</w:t>
      </w:r>
      <w:r w:rsidR="00572F46" w:rsidRPr="00572F46">
        <w:rPr>
          <w:sz w:val="22"/>
          <w:szCs w:val="22"/>
        </w:rPr>
        <w:t xml:space="preserve"> </w:t>
      </w:r>
    </w:p>
    <w:p w:rsidR="00AE252E" w:rsidRPr="00572F46" w:rsidRDefault="00AE252E" w:rsidP="00E6318A">
      <w:pPr>
        <w:pStyle w:val="ListParagraph"/>
        <w:numPr>
          <w:ilvl w:val="0"/>
          <w:numId w:val="28"/>
        </w:numPr>
        <w:rPr>
          <w:sz w:val="22"/>
          <w:szCs w:val="22"/>
        </w:rPr>
      </w:pPr>
      <w:r w:rsidRPr="00572F46">
        <w:rPr>
          <w:sz w:val="22"/>
          <w:szCs w:val="22"/>
        </w:rPr>
        <w:t xml:space="preserve">Mostafa Hashem Sherif (AT&amp;T, US) </w:t>
      </w:r>
    </w:p>
    <w:p w:rsidR="00AE252E" w:rsidRPr="00572F46" w:rsidRDefault="00AE252E" w:rsidP="00E6318A">
      <w:pPr>
        <w:pStyle w:val="ListParagraph"/>
        <w:numPr>
          <w:ilvl w:val="0"/>
          <w:numId w:val="28"/>
        </w:numPr>
        <w:rPr>
          <w:sz w:val="22"/>
          <w:szCs w:val="22"/>
        </w:rPr>
      </w:pPr>
      <w:r w:rsidRPr="00572F46">
        <w:rPr>
          <w:sz w:val="22"/>
          <w:szCs w:val="22"/>
        </w:rPr>
        <w:t>Alfredo Terzoli (Rhodes University, ZA)</w:t>
      </w:r>
    </w:p>
    <w:p w:rsidR="00AE252E" w:rsidRPr="00572F46" w:rsidRDefault="00AE252E" w:rsidP="00E6318A">
      <w:pPr>
        <w:spacing w:before="320"/>
        <w:rPr>
          <w:b/>
          <w:bCs/>
          <w:szCs w:val="22"/>
          <w:lang w:val="en-GB"/>
        </w:rPr>
      </w:pPr>
      <w:r w:rsidRPr="00572F46">
        <w:rPr>
          <w:b/>
          <w:bCs/>
          <w:szCs w:val="22"/>
          <w:lang w:val="en-GB"/>
        </w:rPr>
        <w:t>Host Committee</w:t>
      </w:r>
    </w:p>
    <w:p w:rsidR="00AE252E" w:rsidRPr="00572F46" w:rsidRDefault="00AE252E" w:rsidP="00E6318A">
      <w:pPr>
        <w:pStyle w:val="ListParagraph"/>
        <w:numPr>
          <w:ilvl w:val="0"/>
          <w:numId w:val="28"/>
        </w:numPr>
        <w:rPr>
          <w:sz w:val="22"/>
          <w:szCs w:val="22"/>
        </w:rPr>
      </w:pPr>
      <w:r w:rsidRPr="00572F46">
        <w:rPr>
          <w:sz w:val="22"/>
          <w:szCs w:val="22"/>
        </w:rPr>
        <w:t>Chairman: Tatsuro Takahashi (Kyoto University, JP)</w:t>
      </w:r>
    </w:p>
    <w:p w:rsidR="00AE252E" w:rsidRPr="00572F46" w:rsidRDefault="00AE252E" w:rsidP="00E6318A">
      <w:pPr>
        <w:pStyle w:val="ListParagraph"/>
        <w:numPr>
          <w:ilvl w:val="0"/>
          <w:numId w:val="28"/>
        </w:numPr>
        <w:rPr>
          <w:sz w:val="22"/>
          <w:szCs w:val="22"/>
        </w:rPr>
      </w:pPr>
      <w:r w:rsidRPr="00572F46">
        <w:rPr>
          <w:sz w:val="22"/>
          <w:szCs w:val="22"/>
        </w:rPr>
        <w:t xml:space="preserve">Tohru Asami (University of Tokyo, JP) </w:t>
      </w:r>
    </w:p>
    <w:p w:rsidR="00AE252E" w:rsidRPr="00572F46" w:rsidRDefault="00AE252E" w:rsidP="00E6318A">
      <w:pPr>
        <w:pStyle w:val="ListParagraph"/>
        <w:numPr>
          <w:ilvl w:val="0"/>
          <w:numId w:val="28"/>
        </w:numPr>
        <w:rPr>
          <w:sz w:val="22"/>
          <w:szCs w:val="22"/>
        </w:rPr>
      </w:pPr>
      <w:r w:rsidRPr="00572F46">
        <w:rPr>
          <w:sz w:val="22"/>
          <w:szCs w:val="22"/>
        </w:rPr>
        <w:t>Yoshikazu Ikeda (Otani University, JP)</w:t>
      </w:r>
    </w:p>
    <w:p w:rsidR="00AE252E" w:rsidRPr="00572F46" w:rsidRDefault="00AE252E" w:rsidP="00E6318A">
      <w:pPr>
        <w:pStyle w:val="ListParagraph"/>
        <w:numPr>
          <w:ilvl w:val="0"/>
          <w:numId w:val="28"/>
        </w:numPr>
        <w:rPr>
          <w:sz w:val="22"/>
          <w:szCs w:val="22"/>
        </w:rPr>
      </w:pPr>
      <w:r w:rsidRPr="00572F46">
        <w:rPr>
          <w:sz w:val="22"/>
          <w:szCs w:val="22"/>
        </w:rPr>
        <w:t>Yasuyuki Koga (NICT, JP)</w:t>
      </w:r>
    </w:p>
    <w:p w:rsidR="00AE252E" w:rsidRPr="00572F46" w:rsidRDefault="00AE252E" w:rsidP="00E6318A">
      <w:pPr>
        <w:pStyle w:val="ListParagraph"/>
        <w:numPr>
          <w:ilvl w:val="0"/>
          <w:numId w:val="28"/>
        </w:numPr>
        <w:rPr>
          <w:sz w:val="22"/>
          <w:szCs w:val="22"/>
        </w:rPr>
      </w:pPr>
      <w:r w:rsidRPr="00572F46">
        <w:rPr>
          <w:sz w:val="22"/>
          <w:szCs w:val="22"/>
        </w:rPr>
        <w:t xml:space="preserve">Yoichi Maeda (TTC, JP) </w:t>
      </w:r>
    </w:p>
    <w:p w:rsidR="00AE252E" w:rsidRPr="00572F46" w:rsidRDefault="00AE252E" w:rsidP="00E6318A">
      <w:pPr>
        <w:pStyle w:val="ListParagraph"/>
        <w:numPr>
          <w:ilvl w:val="0"/>
          <w:numId w:val="28"/>
        </w:numPr>
        <w:rPr>
          <w:sz w:val="22"/>
          <w:szCs w:val="22"/>
        </w:rPr>
      </w:pPr>
      <w:r w:rsidRPr="00572F46">
        <w:rPr>
          <w:sz w:val="22"/>
          <w:szCs w:val="22"/>
        </w:rPr>
        <w:t xml:space="preserve">Mitsuji Matsumoto (Waseda University, JP) </w:t>
      </w:r>
    </w:p>
    <w:p w:rsidR="00AE252E" w:rsidRPr="00572F46" w:rsidRDefault="00AE252E" w:rsidP="00E6318A">
      <w:pPr>
        <w:pStyle w:val="ListParagraph"/>
        <w:numPr>
          <w:ilvl w:val="0"/>
          <w:numId w:val="28"/>
        </w:numPr>
        <w:rPr>
          <w:sz w:val="22"/>
          <w:szCs w:val="22"/>
        </w:rPr>
      </w:pPr>
      <w:r w:rsidRPr="00572F46">
        <w:rPr>
          <w:sz w:val="22"/>
          <w:szCs w:val="22"/>
        </w:rPr>
        <w:t>Tetsutaro Uehara (Ministry of Internal Affairs and Communication, JP)</w:t>
      </w:r>
    </w:p>
    <w:p w:rsidR="00AE252E" w:rsidRPr="00572F46" w:rsidRDefault="00AE252E" w:rsidP="00E6318A">
      <w:pPr>
        <w:spacing w:before="320"/>
        <w:rPr>
          <w:b/>
          <w:bCs/>
          <w:szCs w:val="22"/>
          <w:lang w:val="en-GB"/>
        </w:rPr>
      </w:pPr>
      <w:r w:rsidRPr="00572F46">
        <w:rPr>
          <w:b/>
          <w:bCs/>
          <w:szCs w:val="22"/>
          <w:lang w:val="en-GB"/>
        </w:rPr>
        <w:t>Technical Programme Committee</w:t>
      </w:r>
    </w:p>
    <w:p w:rsidR="00AE252E" w:rsidRPr="00572F46" w:rsidRDefault="00AE252E" w:rsidP="00E6318A">
      <w:pPr>
        <w:rPr>
          <w:szCs w:val="22"/>
          <w:lang w:val="en-GB"/>
        </w:rPr>
      </w:pPr>
      <w:r w:rsidRPr="00572F46">
        <w:rPr>
          <w:szCs w:val="22"/>
          <w:lang w:val="en-GB"/>
        </w:rPr>
        <w:t>Chairman: Kai Jakobs (RWTH Aachen University, DE)</w:t>
      </w:r>
    </w:p>
    <w:p w:rsidR="00AE252E" w:rsidRPr="00572F46" w:rsidRDefault="00AE252E" w:rsidP="00E6318A">
      <w:pPr>
        <w:rPr>
          <w:szCs w:val="22"/>
          <w:lang w:val="en-GB"/>
        </w:rPr>
      </w:pPr>
      <w:r w:rsidRPr="00572F46">
        <w:rPr>
          <w:szCs w:val="22"/>
          <w:lang w:val="en-GB"/>
        </w:rPr>
        <w:t xml:space="preserve">The Technical Programme Committee is composed of over 100 subject matter experts worldwide. Full details are available at </w:t>
      </w:r>
      <w:hyperlink r:id="rId17" w:history="1">
        <w:r w:rsidRPr="00572F46">
          <w:rPr>
            <w:rStyle w:val="Hyperlink"/>
            <w:szCs w:val="22"/>
            <w:lang w:val="en-GB"/>
          </w:rPr>
          <w:t>http://www.itu.int/ITU-T/uni/kaleidoscope/2013/progcom.html</w:t>
        </w:r>
      </w:hyperlink>
      <w:r w:rsidRPr="004F356D">
        <w:rPr>
          <w:rStyle w:val="Hyperlink"/>
          <w:szCs w:val="22"/>
          <w:u w:val="none"/>
          <w:lang w:val="en-GB"/>
        </w:rPr>
        <w:t>.</w:t>
      </w:r>
    </w:p>
    <w:p w:rsidR="00AE252E" w:rsidRPr="00572F46" w:rsidRDefault="00AE252E" w:rsidP="00E6318A">
      <w:pPr>
        <w:spacing w:before="0"/>
        <w:rPr>
          <w:b/>
          <w:bCs/>
          <w:szCs w:val="22"/>
          <w:lang w:val="en-GB"/>
        </w:rPr>
      </w:pPr>
      <w:r w:rsidRPr="00572F46">
        <w:rPr>
          <w:b/>
          <w:bCs/>
          <w:szCs w:val="22"/>
          <w:lang w:val="en-GB"/>
        </w:rPr>
        <w:br w:type="page"/>
      </w:r>
      <w:r w:rsidRPr="00572F46">
        <w:rPr>
          <w:b/>
          <w:bCs/>
          <w:szCs w:val="22"/>
          <w:lang w:val="en-GB"/>
        </w:rPr>
        <w:lastRenderedPageBreak/>
        <w:t>Keywords</w:t>
      </w:r>
    </w:p>
    <w:p w:rsidR="00AE252E" w:rsidRPr="00572F46" w:rsidRDefault="00AE252E" w:rsidP="00E6318A">
      <w:pPr>
        <w:rPr>
          <w:szCs w:val="22"/>
          <w:lang w:val="en-GB"/>
        </w:rPr>
      </w:pPr>
      <w:r w:rsidRPr="00572F46">
        <w:rPr>
          <w:szCs w:val="22"/>
          <w:lang w:val="en-GB"/>
        </w:rPr>
        <w:t>Information and communication technologies (ICTs), human-oriented technologies, technological innovation, standardization, ambient intelligence, ubiquitous networks, internet of things, M2M,</w:t>
      </w:r>
      <w:r w:rsidRPr="00572F46">
        <w:rPr>
          <w:szCs w:val="22"/>
          <w:lang w:val="en-GB"/>
        </w:rPr>
        <w:br/>
        <w:t>e-applications, information society, ethics, sustainability, environment.</w:t>
      </w:r>
    </w:p>
    <w:p w:rsidR="00AE252E" w:rsidRPr="00572F46" w:rsidRDefault="00AE252E" w:rsidP="00E6318A">
      <w:pPr>
        <w:spacing w:before="320"/>
        <w:rPr>
          <w:b/>
          <w:bCs/>
          <w:szCs w:val="22"/>
          <w:lang w:val="en-GB"/>
        </w:rPr>
      </w:pPr>
      <w:r w:rsidRPr="00572F46">
        <w:rPr>
          <w:b/>
          <w:bCs/>
          <w:szCs w:val="22"/>
          <w:lang w:val="en-GB"/>
        </w:rPr>
        <w:t>For additional information</w:t>
      </w:r>
    </w:p>
    <w:p w:rsidR="00AE252E" w:rsidRPr="00572F46" w:rsidRDefault="00AE252E" w:rsidP="00E6318A">
      <w:pPr>
        <w:rPr>
          <w:szCs w:val="22"/>
          <w:lang w:val="en-GB"/>
        </w:rPr>
      </w:pPr>
      <w:r w:rsidRPr="00572F46">
        <w:rPr>
          <w:szCs w:val="22"/>
          <w:lang w:val="en-GB"/>
        </w:rPr>
        <w:t xml:space="preserve">Additional information is available on the conference website: </w:t>
      </w:r>
      <w:hyperlink r:id="rId18" w:history="1">
        <w:r w:rsidRPr="00572F46">
          <w:rPr>
            <w:rStyle w:val="Hyperlink"/>
            <w:szCs w:val="22"/>
            <w:lang w:val="en-GB"/>
          </w:rPr>
          <w:t>http://itu-kaleidoscope.org/2013</w:t>
        </w:r>
      </w:hyperlink>
      <w:r w:rsidRPr="00572F46">
        <w:rPr>
          <w:szCs w:val="22"/>
          <w:lang w:val="en-GB"/>
        </w:rPr>
        <w:t>.</w:t>
      </w:r>
    </w:p>
    <w:p w:rsidR="00AE252E" w:rsidRPr="00572F46" w:rsidRDefault="00AE252E" w:rsidP="00E6318A">
      <w:pPr>
        <w:rPr>
          <w:szCs w:val="22"/>
          <w:lang w:val="en-GB"/>
        </w:rPr>
      </w:pPr>
      <w:r w:rsidRPr="00572F46">
        <w:rPr>
          <w:szCs w:val="22"/>
          <w:lang w:val="en-GB"/>
        </w:rPr>
        <w:t xml:space="preserve">Inquiries should be addressed to </w:t>
      </w:r>
      <w:hyperlink r:id="rId19" w:history="1">
        <w:r w:rsidRPr="00572F46">
          <w:rPr>
            <w:rStyle w:val="Hyperlink"/>
            <w:szCs w:val="22"/>
            <w:lang w:val="en-GB"/>
          </w:rPr>
          <w:t>kalei</w:t>
        </w:r>
        <w:bookmarkStart w:id="0" w:name="_GoBack"/>
        <w:bookmarkEnd w:id="0"/>
        <w:r w:rsidRPr="00572F46">
          <w:rPr>
            <w:rStyle w:val="Hyperlink"/>
            <w:szCs w:val="22"/>
            <w:lang w:val="en-GB"/>
          </w:rPr>
          <w:t>doscope@itu.int</w:t>
        </w:r>
      </w:hyperlink>
      <w:r w:rsidRPr="004F356D">
        <w:rPr>
          <w:rStyle w:val="Hyperlink"/>
          <w:szCs w:val="22"/>
          <w:u w:val="none"/>
          <w:lang w:val="en-GB"/>
        </w:rPr>
        <w:t>.</w:t>
      </w:r>
    </w:p>
    <w:p w:rsidR="00AE252E" w:rsidRPr="00572F46" w:rsidRDefault="00AE252E" w:rsidP="00572F46">
      <w:pPr>
        <w:spacing w:before="320"/>
        <w:rPr>
          <w:b/>
          <w:bCs/>
          <w:szCs w:val="22"/>
          <w:lang w:val="en-GB"/>
        </w:rPr>
      </w:pPr>
      <w:r w:rsidRPr="00572F46">
        <w:rPr>
          <w:b/>
          <w:bCs/>
          <w:szCs w:val="22"/>
          <w:lang w:val="en-GB"/>
        </w:rPr>
        <w:t>Suggested (non-exclusive) list of topics</w:t>
      </w:r>
    </w:p>
    <w:p w:rsidR="00AE252E" w:rsidRPr="00572F46" w:rsidRDefault="00AE252E" w:rsidP="00E6318A">
      <w:pPr>
        <w:rPr>
          <w:b/>
          <w:bCs/>
          <w:szCs w:val="22"/>
          <w:lang w:val="en-GB"/>
        </w:rPr>
        <w:sectPr w:rsidR="00AE252E" w:rsidRPr="00572F46" w:rsidSect="00E6318A">
          <w:headerReference w:type="default" r:id="rId20"/>
          <w:footerReference w:type="default" r:id="rId21"/>
          <w:headerReference w:type="first" r:id="rId22"/>
          <w:footerReference w:type="first" r:id="rId23"/>
          <w:type w:val="oddPage"/>
          <w:pgSz w:w="11907" w:h="16840" w:code="9"/>
          <w:pgMar w:top="1418" w:right="1134" w:bottom="1361" w:left="1134" w:header="567" w:footer="567" w:gutter="0"/>
          <w:cols w:space="720"/>
          <w:titlePg/>
        </w:sectPr>
      </w:pPr>
    </w:p>
    <w:p w:rsidR="00AE252E" w:rsidRPr="00572F46" w:rsidRDefault="00AE252E" w:rsidP="00E6318A">
      <w:pPr>
        <w:rPr>
          <w:b/>
          <w:bCs/>
          <w:szCs w:val="22"/>
          <w:lang w:val="en-GB"/>
        </w:rPr>
      </w:pPr>
      <w:r w:rsidRPr="00572F46">
        <w:rPr>
          <w:b/>
          <w:bCs/>
          <w:szCs w:val="22"/>
          <w:lang w:val="en-GB"/>
        </w:rPr>
        <w:lastRenderedPageBreak/>
        <w:t>Track 1: Technology and architecture evolution</w:t>
      </w:r>
    </w:p>
    <w:p w:rsidR="00AE252E" w:rsidRPr="00572F46" w:rsidRDefault="00AE252E" w:rsidP="00E6318A">
      <w:pPr>
        <w:spacing w:before="60"/>
        <w:rPr>
          <w:szCs w:val="22"/>
          <w:lang w:val="en-GB"/>
        </w:rPr>
      </w:pPr>
      <w:r w:rsidRPr="00572F46">
        <w:rPr>
          <w:szCs w:val="22"/>
          <w:lang w:val="en-GB"/>
        </w:rPr>
        <w:t>• Long distance and ultra-high-speed transmission network systems (terabit, exabit)</w:t>
      </w:r>
    </w:p>
    <w:p w:rsidR="00AE252E" w:rsidRPr="00572F46" w:rsidRDefault="00AE252E" w:rsidP="00E6318A">
      <w:pPr>
        <w:spacing w:before="60"/>
        <w:rPr>
          <w:szCs w:val="22"/>
          <w:lang w:val="en-GB"/>
        </w:rPr>
      </w:pPr>
      <w:r w:rsidRPr="00572F46">
        <w:rPr>
          <w:szCs w:val="22"/>
          <w:lang w:val="en-GB"/>
        </w:rPr>
        <w:t>• Disaster relief systems, network resilience and recovery</w:t>
      </w:r>
    </w:p>
    <w:p w:rsidR="00AE252E" w:rsidRPr="00572F46" w:rsidRDefault="00AE252E" w:rsidP="00E6318A">
      <w:pPr>
        <w:spacing w:before="60"/>
        <w:rPr>
          <w:szCs w:val="22"/>
          <w:lang w:val="en-GB"/>
        </w:rPr>
      </w:pPr>
      <w:r w:rsidRPr="00572F46">
        <w:rPr>
          <w:szCs w:val="22"/>
          <w:lang w:val="en-GB"/>
        </w:rPr>
        <w:t>• Wireless sensor networks</w:t>
      </w:r>
    </w:p>
    <w:p w:rsidR="00AE252E" w:rsidRPr="00572F46" w:rsidRDefault="00AE252E" w:rsidP="00E6318A">
      <w:pPr>
        <w:spacing w:before="60"/>
        <w:rPr>
          <w:szCs w:val="22"/>
          <w:lang w:val="en-GB"/>
        </w:rPr>
      </w:pPr>
      <w:r w:rsidRPr="00572F46">
        <w:rPr>
          <w:szCs w:val="22"/>
          <w:lang w:val="en-GB"/>
        </w:rPr>
        <w:t xml:space="preserve">• Optical wireless communication </w:t>
      </w:r>
    </w:p>
    <w:p w:rsidR="00AE252E" w:rsidRPr="00572F46" w:rsidRDefault="00AE252E" w:rsidP="00E6318A">
      <w:pPr>
        <w:spacing w:before="60"/>
        <w:rPr>
          <w:szCs w:val="22"/>
          <w:lang w:val="en-GB"/>
        </w:rPr>
      </w:pPr>
      <w:r w:rsidRPr="00572F46">
        <w:rPr>
          <w:szCs w:val="22"/>
          <w:lang w:val="en-GB"/>
        </w:rPr>
        <w:t>• Human-centric, cognitive and context-aware systems</w:t>
      </w:r>
    </w:p>
    <w:p w:rsidR="00AE252E" w:rsidRPr="00572F46" w:rsidRDefault="00AE252E" w:rsidP="00E6318A">
      <w:pPr>
        <w:spacing w:before="60"/>
        <w:rPr>
          <w:szCs w:val="22"/>
          <w:lang w:val="en-GB"/>
        </w:rPr>
      </w:pPr>
      <w:r w:rsidRPr="00572F46">
        <w:rPr>
          <w:szCs w:val="22"/>
          <w:lang w:val="en-GB"/>
        </w:rPr>
        <w:t>• Machine-to-machine communication and Internet of Things</w:t>
      </w:r>
    </w:p>
    <w:p w:rsidR="00AE252E" w:rsidRPr="00572F46" w:rsidRDefault="00AE252E" w:rsidP="00E6318A">
      <w:pPr>
        <w:spacing w:before="60"/>
        <w:rPr>
          <w:szCs w:val="22"/>
          <w:lang w:val="en-GB"/>
        </w:rPr>
      </w:pPr>
      <w:r w:rsidRPr="00572F46">
        <w:rPr>
          <w:szCs w:val="22"/>
          <w:lang w:val="en-GB"/>
        </w:rPr>
        <w:t>• Body-area networks</w:t>
      </w:r>
    </w:p>
    <w:p w:rsidR="00AE252E" w:rsidRPr="00572F46" w:rsidRDefault="00AE252E" w:rsidP="00E6318A">
      <w:pPr>
        <w:spacing w:before="60"/>
        <w:rPr>
          <w:szCs w:val="22"/>
          <w:lang w:val="en-GB"/>
        </w:rPr>
      </w:pPr>
      <w:r w:rsidRPr="00572F46">
        <w:rPr>
          <w:szCs w:val="22"/>
          <w:lang w:val="en-GB"/>
        </w:rPr>
        <w:t>• Near-field communications</w:t>
      </w:r>
    </w:p>
    <w:p w:rsidR="00AE252E" w:rsidRPr="00572F46" w:rsidRDefault="00AE252E" w:rsidP="00E6318A">
      <w:pPr>
        <w:spacing w:before="60"/>
        <w:rPr>
          <w:szCs w:val="22"/>
          <w:lang w:val="en-GB"/>
        </w:rPr>
      </w:pPr>
      <w:r w:rsidRPr="00572F46">
        <w:rPr>
          <w:szCs w:val="22"/>
          <w:lang w:val="en-GB"/>
        </w:rPr>
        <w:t>• Environmental and biometric actuators and sensors</w:t>
      </w:r>
    </w:p>
    <w:p w:rsidR="00AE252E" w:rsidRPr="00572F46" w:rsidRDefault="00AE252E" w:rsidP="00E6318A">
      <w:pPr>
        <w:spacing w:before="60"/>
        <w:rPr>
          <w:szCs w:val="22"/>
          <w:lang w:val="en-GB"/>
        </w:rPr>
      </w:pPr>
      <w:r w:rsidRPr="00572F46">
        <w:rPr>
          <w:szCs w:val="22"/>
          <w:lang w:val="en-GB"/>
        </w:rPr>
        <w:t>• Security and privacy-enhancing technologies</w:t>
      </w:r>
    </w:p>
    <w:p w:rsidR="00AE252E" w:rsidRPr="00572F46" w:rsidRDefault="00AE252E" w:rsidP="00E6318A">
      <w:pPr>
        <w:spacing w:before="60"/>
        <w:rPr>
          <w:szCs w:val="22"/>
          <w:lang w:val="en-GB"/>
        </w:rPr>
      </w:pPr>
      <w:r w:rsidRPr="00572F46">
        <w:rPr>
          <w:szCs w:val="22"/>
          <w:lang w:val="en-GB"/>
        </w:rPr>
        <w:t>• Pervasive and trusted network and service infrastructure</w:t>
      </w:r>
    </w:p>
    <w:p w:rsidR="00AE252E" w:rsidRPr="00572F46" w:rsidRDefault="00AE252E" w:rsidP="00E6318A">
      <w:pPr>
        <w:spacing w:before="60"/>
        <w:rPr>
          <w:szCs w:val="22"/>
          <w:lang w:val="en-GB"/>
        </w:rPr>
      </w:pPr>
      <w:r w:rsidRPr="00572F46">
        <w:rPr>
          <w:szCs w:val="22"/>
          <w:lang w:val="en-GB"/>
        </w:rPr>
        <w:t>• Mobility and nomadicity</w:t>
      </w:r>
    </w:p>
    <w:p w:rsidR="00AE252E" w:rsidRPr="00572F46" w:rsidRDefault="00AE252E" w:rsidP="00E6318A">
      <w:pPr>
        <w:spacing w:before="60"/>
        <w:rPr>
          <w:szCs w:val="22"/>
          <w:lang w:val="en-GB"/>
        </w:rPr>
      </w:pPr>
      <w:r w:rsidRPr="00572F46">
        <w:rPr>
          <w:szCs w:val="22"/>
          <w:lang w:val="en-GB"/>
        </w:rPr>
        <w:t>• Adaptive antenna techniques</w:t>
      </w:r>
    </w:p>
    <w:p w:rsidR="00AE252E" w:rsidRPr="00572F46" w:rsidRDefault="00AE252E" w:rsidP="00E6318A">
      <w:pPr>
        <w:rPr>
          <w:b/>
          <w:bCs/>
          <w:szCs w:val="22"/>
          <w:lang w:val="en-GB"/>
        </w:rPr>
      </w:pPr>
    </w:p>
    <w:p w:rsidR="00AE252E" w:rsidRPr="00572F46" w:rsidRDefault="00AE252E" w:rsidP="00E6318A">
      <w:pPr>
        <w:rPr>
          <w:b/>
          <w:bCs/>
          <w:szCs w:val="22"/>
          <w:lang w:val="en-GB"/>
        </w:rPr>
      </w:pPr>
      <w:r w:rsidRPr="00572F46">
        <w:rPr>
          <w:b/>
          <w:bCs/>
          <w:szCs w:val="22"/>
          <w:lang w:val="en-GB"/>
        </w:rPr>
        <w:t>Track 2: ICT applications and services for sustainable communities</w:t>
      </w:r>
    </w:p>
    <w:p w:rsidR="00AE252E" w:rsidRPr="00572F46" w:rsidRDefault="00AE252E" w:rsidP="00E6318A">
      <w:pPr>
        <w:spacing w:before="60"/>
        <w:rPr>
          <w:szCs w:val="22"/>
          <w:lang w:val="en-GB"/>
        </w:rPr>
      </w:pPr>
      <w:r w:rsidRPr="00572F46">
        <w:rPr>
          <w:szCs w:val="22"/>
          <w:lang w:val="en-GB"/>
        </w:rPr>
        <w:t>• e-government and e-democracy</w:t>
      </w:r>
    </w:p>
    <w:p w:rsidR="00AE252E" w:rsidRPr="00572F46" w:rsidRDefault="00AE252E" w:rsidP="00E6318A">
      <w:pPr>
        <w:spacing w:before="60"/>
        <w:rPr>
          <w:szCs w:val="22"/>
          <w:lang w:val="en-GB"/>
        </w:rPr>
      </w:pPr>
      <w:r w:rsidRPr="00572F46">
        <w:rPr>
          <w:szCs w:val="22"/>
          <w:lang w:val="en-GB"/>
        </w:rPr>
        <w:t>• e-learning and e-science</w:t>
      </w:r>
    </w:p>
    <w:p w:rsidR="00AE252E" w:rsidRPr="00572F46" w:rsidRDefault="00AE252E" w:rsidP="00E6318A">
      <w:pPr>
        <w:spacing w:before="60"/>
        <w:rPr>
          <w:szCs w:val="22"/>
          <w:lang w:val="en-GB"/>
        </w:rPr>
      </w:pPr>
      <w:r w:rsidRPr="00572F46">
        <w:rPr>
          <w:szCs w:val="22"/>
          <w:lang w:val="en-GB"/>
        </w:rPr>
        <w:t>• e-agriculture</w:t>
      </w:r>
    </w:p>
    <w:p w:rsidR="00AE252E" w:rsidRPr="00572F46" w:rsidRDefault="00AE252E" w:rsidP="00E6318A">
      <w:pPr>
        <w:spacing w:before="60"/>
        <w:rPr>
          <w:szCs w:val="22"/>
          <w:lang w:val="en-GB"/>
        </w:rPr>
      </w:pPr>
      <w:r w:rsidRPr="00572F46">
        <w:rPr>
          <w:szCs w:val="22"/>
          <w:lang w:val="en-GB"/>
        </w:rPr>
        <w:t>• e-health and telemedicine</w:t>
      </w:r>
    </w:p>
    <w:p w:rsidR="00AE252E" w:rsidRPr="00572F46" w:rsidRDefault="00AE252E" w:rsidP="00E6318A">
      <w:pPr>
        <w:spacing w:before="60"/>
        <w:rPr>
          <w:szCs w:val="22"/>
          <w:lang w:val="en-GB"/>
        </w:rPr>
      </w:pPr>
      <w:r w:rsidRPr="00572F46">
        <w:rPr>
          <w:szCs w:val="22"/>
          <w:lang w:val="en-GB"/>
        </w:rPr>
        <w:t>• Ageing and ambient assistive living</w:t>
      </w:r>
    </w:p>
    <w:p w:rsidR="00AE252E" w:rsidRPr="00572F46" w:rsidRDefault="00AE252E" w:rsidP="00E6318A">
      <w:pPr>
        <w:spacing w:before="60"/>
        <w:rPr>
          <w:szCs w:val="22"/>
          <w:lang w:val="en-GB"/>
        </w:rPr>
      </w:pPr>
      <w:r w:rsidRPr="00572F46">
        <w:rPr>
          <w:szCs w:val="22"/>
          <w:lang w:val="en-GB"/>
        </w:rPr>
        <w:t>• Smart cities: utilities, transport, buildings and homes</w:t>
      </w:r>
    </w:p>
    <w:p w:rsidR="00AE252E" w:rsidRPr="00572F46" w:rsidRDefault="00AE252E" w:rsidP="00E6318A">
      <w:pPr>
        <w:spacing w:before="60"/>
        <w:rPr>
          <w:szCs w:val="22"/>
          <w:lang w:val="en-GB"/>
        </w:rPr>
      </w:pPr>
      <w:r w:rsidRPr="00572F46">
        <w:rPr>
          <w:szCs w:val="22"/>
          <w:lang w:val="en-GB"/>
        </w:rPr>
        <w:lastRenderedPageBreak/>
        <w:t>• Innovative applications and content delivery (IPTV, games, etc.)</w:t>
      </w:r>
    </w:p>
    <w:p w:rsidR="00AE252E" w:rsidRPr="00572F46" w:rsidRDefault="00AE252E" w:rsidP="00E6318A">
      <w:pPr>
        <w:spacing w:before="60"/>
        <w:rPr>
          <w:szCs w:val="22"/>
          <w:lang w:val="en-GB"/>
        </w:rPr>
      </w:pPr>
      <w:r w:rsidRPr="00572F46">
        <w:rPr>
          <w:szCs w:val="22"/>
          <w:lang w:val="en-GB"/>
        </w:rPr>
        <w:t>• Mobile payment and money transfer</w:t>
      </w:r>
    </w:p>
    <w:p w:rsidR="00AE252E" w:rsidRPr="00572F46" w:rsidRDefault="00AE252E" w:rsidP="00E6318A">
      <w:pPr>
        <w:spacing w:before="60"/>
        <w:rPr>
          <w:szCs w:val="22"/>
          <w:lang w:val="en-GB"/>
        </w:rPr>
      </w:pPr>
      <w:r w:rsidRPr="00572F46">
        <w:rPr>
          <w:szCs w:val="22"/>
          <w:lang w:val="en-GB"/>
        </w:rPr>
        <w:t>• Augmented reality and technology intelligence</w:t>
      </w:r>
    </w:p>
    <w:p w:rsidR="00AE252E" w:rsidRPr="00572F46" w:rsidRDefault="00AE252E" w:rsidP="00E6318A">
      <w:pPr>
        <w:spacing w:before="60"/>
        <w:rPr>
          <w:szCs w:val="22"/>
          <w:lang w:val="en-GB"/>
        </w:rPr>
      </w:pPr>
      <w:r w:rsidRPr="00572F46">
        <w:rPr>
          <w:szCs w:val="22"/>
          <w:lang w:val="en-GB"/>
        </w:rPr>
        <w:t>• Location-based services</w:t>
      </w:r>
    </w:p>
    <w:p w:rsidR="00AE252E" w:rsidRPr="00572F46" w:rsidRDefault="00AE252E" w:rsidP="00E6318A">
      <w:pPr>
        <w:spacing w:before="60"/>
        <w:rPr>
          <w:szCs w:val="22"/>
          <w:lang w:val="en-GB"/>
        </w:rPr>
      </w:pPr>
      <w:r w:rsidRPr="00572F46">
        <w:rPr>
          <w:szCs w:val="22"/>
          <w:lang w:val="en-GB"/>
        </w:rPr>
        <w:t>• Service layer requirements</w:t>
      </w:r>
    </w:p>
    <w:p w:rsidR="00AE252E" w:rsidRPr="00572F46" w:rsidRDefault="00AE252E" w:rsidP="00E6318A">
      <w:pPr>
        <w:spacing w:before="60"/>
        <w:rPr>
          <w:szCs w:val="22"/>
          <w:lang w:val="en-GB"/>
        </w:rPr>
      </w:pPr>
      <w:r w:rsidRPr="00572F46">
        <w:rPr>
          <w:szCs w:val="22"/>
          <w:lang w:val="en-GB"/>
        </w:rPr>
        <w:t>• XaaS (Anything as a Service)</w:t>
      </w:r>
    </w:p>
    <w:p w:rsidR="00AE252E" w:rsidRPr="00572F46" w:rsidRDefault="00AE252E" w:rsidP="00E6318A">
      <w:pPr>
        <w:spacing w:before="60"/>
        <w:rPr>
          <w:szCs w:val="22"/>
          <w:lang w:val="en-GB"/>
        </w:rPr>
      </w:pPr>
      <w:r w:rsidRPr="00572F46">
        <w:rPr>
          <w:szCs w:val="22"/>
          <w:lang w:val="en-GB"/>
        </w:rPr>
        <w:t>• QoS for differentiated source</w:t>
      </w:r>
    </w:p>
    <w:p w:rsidR="00AE252E" w:rsidRPr="00572F46" w:rsidRDefault="00AE252E" w:rsidP="00E6318A">
      <w:pPr>
        <w:spacing w:before="60"/>
        <w:rPr>
          <w:szCs w:val="22"/>
          <w:lang w:val="en-GB"/>
        </w:rPr>
      </w:pPr>
      <w:r w:rsidRPr="00572F46">
        <w:rPr>
          <w:szCs w:val="22"/>
          <w:lang w:val="en-GB"/>
        </w:rPr>
        <w:t>• Location services</w:t>
      </w:r>
    </w:p>
    <w:p w:rsidR="00AE252E" w:rsidRPr="00572F46" w:rsidRDefault="00AE252E" w:rsidP="00E6318A">
      <w:pPr>
        <w:rPr>
          <w:szCs w:val="22"/>
          <w:lang w:val="en-GB"/>
        </w:rPr>
      </w:pPr>
    </w:p>
    <w:p w:rsidR="00AE252E" w:rsidRPr="00572F46" w:rsidRDefault="00AE252E" w:rsidP="00E6318A">
      <w:pPr>
        <w:rPr>
          <w:b/>
          <w:bCs/>
          <w:szCs w:val="22"/>
          <w:lang w:val="en-GB"/>
        </w:rPr>
      </w:pPr>
      <w:r w:rsidRPr="00572F46">
        <w:rPr>
          <w:b/>
          <w:bCs/>
          <w:szCs w:val="22"/>
          <w:lang w:val="en-GB"/>
        </w:rPr>
        <w:t xml:space="preserve">Track 3: Social, economic and policy aspects of ICT in sustainable communities </w:t>
      </w:r>
    </w:p>
    <w:p w:rsidR="00AE252E" w:rsidRPr="00572F46" w:rsidRDefault="00AE252E" w:rsidP="00E6318A">
      <w:pPr>
        <w:spacing w:before="60"/>
        <w:rPr>
          <w:szCs w:val="22"/>
          <w:lang w:val="en-GB"/>
        </w:rPr>
      </w:pPr>
      <w:r w:rsidRPr="00572F46">
        <w:rPr>
          <w:szCs w:val="22"/>
          <w:lang w:val="en-GB"/>
        </w:rPr>
        <w:t>• Digital rights and identity management</w:t>
      </w:r>
    </w:p>
    <w:p w:rsidR="00AE252E" w:rsidRPr="00572F46" w:rsidRDefault="00AE252E" w:rsidP="00E6318A">
      <w:pPr>
        <w:spacing w:before="60"/>
        <w:rPr>
          <w:szCs w:val="22"/>
          <w:lang w:val="en-GB"/>
        </w:rPr>
      </w:pPr>
      <w:r w:rsidRPr="00572F46">
        <w:rPr>
          <w:szCs w:val="22"/>
          <w:lang w:val="en-GB"/>
        </w:rPr>
        <w:t>• Societal impact</w:t>
      </w:r>
    </w:p>
    <w:p w:rsidR="00AE252E" w:rsidRPr="00572F46" w:rsidRDefault="00AE252E" w:rsidP="00E6318A">
      <w:pPr>
        <w:spacing w:before="60"/>
        <w:rPr>
          <w:szCs w:val="22"/>
          <w:lang w:val="en-GB"/>
        </w:rPr>
      </w:pPr>
      <w:r w:rsidRPr="00572F46">
        <w:rPr>
          <w:szCs w:val="22"/>
          <w:lang w:val="en-GB"/>
        </w:rPr>
        <w:t>• Legislative and regulatory frameworks</w:t>
      </w:r>
    </w:p>
    <w:p w:rsidR="00AE252E" w:rsidRPr="00572F46" w:rsidRDefault="00AE252E" w:rsidP="00E6318A">
      <w:pPr>
        <w:spacing w:before="60"/>
        <w:rPr>
          <w:szCs w:val="22"/>
          <w:lang w:val="en-GB"/>
        </w:rPr>
      </w:pPr>
      <w:r w:rsidRPr="00572F46">
        <w:rPr>
          <w:szCs w:val="22"/>
          <w:lang w:val="en-GB"/>
        </w:rPr>
        <w:t>• Security, confidentiality and privacy</w:t>
      </w:r>
    </w:p>
    <w:p w:rsidR="00AE252E" w:rsidRPr="00572F46" w:rsidRDefault="00AE252E" w:rsidP="00E6318A">
      <w:pPr>
        <w:spacing w:before="60"/>
        <w:rPr>
          <w:szCs w:val="22"/>
          <w:lang w:val="en-GB"/>
        </w:rPr>
      </w:pPr>
      <w:r w:rsidRPr="00572F46">
        <w:rPr>
          <w:szCs w:val="22"/>
          <w:lang w:val="en-GB"/>
        </w:rPr>
        <w:t>• Accessibility and usability</w:t>
      </w:r>
    </w:p>
    <w:p w:rsidR="00AE252E" w:rsidRPr="00572F46" w:rsidRDefault="00AE252E" w:rsidP="00E6318A">
      <w:pPr>
        <w:spacing w:before="60"/>
        <w:rPr>
          <w:szCs w:val="22"/>
          <w:lang w:val="en-GB"/>
        </w:rPr>
      </w:pPr>
      <w:r w:rsidRPr="00572F46">
        <w:rPr>
          <w:szCs w:val="22"/>
          <w:lang w:val="en-GB"/>
        </w:rPr>
        <w:t>• Business models (including accounting, billing and charging)</w:t>
      </w:r>
    </w:p>
    <w:p w:rsidR="00AE252E" w:rsidRPr="00572F46" w:rsidRDefault="00AE252E" w:rsidP="00E6318A">
      <w:pPr>
        <w:spacing w:before="60"/>
        <w:rPr>
          <w:szCs w:val="22"/>
          <w:lang w:val="en-GB"/>
        </w:rPr>
      </w:pPr>
      <w:r w:rsidRPr="00572F46">
        <w:rPr>
          <w:szCs w:val="22"/>
          <w:lang w:val="en-GB"/>
        </w:rPr>
        <w:t>• Standardization models</w:t>
      </w:r>
    </w:p>
    <w:p w:rsidR="00AE252E" w:rsidRPr="00572F46" w:rsidRDefault="00AE252E" w:rsidP="00E6318A">
      <w:pPr>
        <w:spacing w:before="60"/>
        <w:rPr>
          <w:szCs w:val="22"/>
          <w:lang w:val="en-GB"/>
        </w:rPr>
      </w:pPr>
      <w:r w:rsidRPr="00572F46">
        <w:rPr>
          <w:szCs w:val="22"/>
          <w:lang w:val="en-GB"/>
        </w:rPr>
        <w:t>• Network neutrality</w:t>
      </w:r>
    </w:p>
    <w:p w:rsidR="00AE252E" w:rsidRPr="00572F46" w:rsidRDefault="00AE252E" w:rsidP="00E6318A">
      <w:pPr>
        <w:spacing w:before="60"/>
        <w:rPr>
          <w:szCs w:val="22"/>
          <w:lang w:val="en-GB"/>
        </w:rPr>
      </w:pPr>
      <w:r w:rsidRPr="00572F46">
        <w:rPr>
          <w:szCs w:val="22"/>
          <w:lang w:val="en-GB"/>
        </w:rPr>
        <w:t>• Inclusiveness, affordability and equal access</w:t>
      </w:r>
    </w:p>
    <w:p w:rsidR="00AE252E" w:rsidRPr="00572F46" w:rsidRDefault="00AE252E" w:rsidP="00E6318A">
      <w:pPr>
        <w:spacing w:before="60"/>
        <w:rPr>
          <w:szCs w:val="22"/>
          <w:lang w:val="en-GB"/>
        </w:rPr>
      </w:pPr>
      <w:r w:rsidRPr="00572F46">
        <w:rPr>
          <w:szCs w:val="22"/>
          <w:lang w:val="en-GB"/>
        </w:rPr>
        <w:t>• Internationalization and localization</w:t>
      </w:r>
    </w:p>
    <w:p w:rsidR="00AE252E" w:rsidRPr="00572F46" w:rsidRDefault="00AE252E" w:rsidP="00E6318A">
      <w:pPr>
        <w:spacing w:before="60"/>
        <w:rPr>
          <w:szCs w:val="22"/>
          <w:lang w:val="en-GB"/>
        </w:rPr>
      </w:pPr>
      <w:r w:rsidRPr="00572F46">
        <w:rPr>
          <w:szCs w:val="22"/>
          <w:lang w:val="en-GB"/>
        </w:rPr>
        <w:t>• Environmental sustainability</w:t>
      </w:r>
    </w:p>
    <w:p w:rsidR="00AE252E" w:rsidRPr="00572F46" w:rsidRDefault="00AE252E" w:rsidP="00E6318A">
      <w:pPr>
        <w:spacing w:before="60"/>
        <w:rPr>
          <w:szCs w:val="22"/>
          <w:lang w:val="en-GB"/>
        </w:rPr>
      </w:pPr>
      <w:r w:rsidRPr="00572F46">
        <w:rPr>
          <w:szCs w:val="22"/>
          <w:lang w:val="en-GB"/>
        </w:rPr>
        <w:t>• Ethical issues</w:t>
      </w:r>
    </w:p>
    <w:p w:rsidR="00AE252E" w:rsidRPr="00572F46" w:rsidRDefault="00AE252E" w:rsidP="00E6318A">
      <w:pPr>
        <w:spacing w:before="60"/>
        <w:rPr>
          <w:szCs w:val="22"/>
          <w:lang w:val="en-GB"/>
        </w:rPr>
      </w:pPr>
      <w:r w:rsidRPr="00572F46">
        <w:rPr>
          <w:szCs w:val="22"/>
          <w:lang w:val="en-GB"/>
        </w:rPr>
        <w:t>• Regulation (for QoS, network sharing, etc.)</w:t>
      </w:r>
    </w:p>
    <w:p w:rsidR="00AE252E" w:rsidRPr="00572F46" w:rsidRDefault="00AE252E" w:rsidP="00E6318A">
      <w:pPr>
        <w:spacing w:before="60"/>
        <w:rPr>
          <w:szCs w:val="22"/>
          <w:lang w:val="en-GB"/>
        </w:rPr>
      </w:pPr>
      <w:r w:rsidRPr="00572F46">
        <w:rPr>
          <w:szCs w:val="22"/>
          <w:lang w:val="en-GB"/>
        </w:rPr>
        <w:t>• Standardization and innovation management</w:t>
      </w:r>
    </w:p>
    <w:p w:rsidR="00AE252E" w:rsidRPr="00572F46" w:rsidRDefault="00AE252E" w:rsidP="00E6318A">
      <w:pPr>
        <w:spacing w:before="60"/>
        <w:rPr>
          <w:szCs w:val="22"/>
          <w:lang w:val="en-GB"/>
        </w:rPr>
      </w:pPr>
      <w:r w:rsidRPr="00572F46">
        <w:rPr>
          <w:szCs w:val="22"/>
          <w:lang w:val="en-GB"/>
        </w:rPr>
        <w:t>• Stakeholder perceptions in standards</w:t>
      </w:r>
    </w:p>
    <w:p w:rsidR="00AE252E" w:rsidRPr="00572F46" w:rsidRDefault="00AE252E" w:rsidP="00E6318A">
      <w:pPr>
        <w:spacing w:before="60"/>
        <w:rPr>
          <w:szCs w:val="22"/>
          <w:lang w:val="en-GB"/>
        </w:rPr>
      </w:pPr>
      <w:r w:rsidRPr="00572F46">
        <w:rPr>
          <w:szCs w:val="22"/>
          <w:lang w:val="en-GB"/>
        </w:rPr>
        <w:t>• Standards in healthcare services</w:t>
      </w:r>
    </w:p>
    <w:p w:rsidR="00AE252E" w:rsidRPr="00572F46" w:rsidRDefault="00AE252E" w:rsidP="00E6318A">
      <w:pPr>
        <w:pStyle w:val="AnnexRef"/>
        <w:rPr>
          <w:sz w:val="22"/>
          <w:szCs w:val="22"/>
        </w:rPr>
        <w:sectPr w:rsidR="00AE252E" w:rsidRPr="00572F46" w:rsidSect="004F356D">
          <w:type w:val="continuous"/>
          <w:pgSz w:w="11907" w:h="16840" w:code="9"/>
          <w:pgMar w:top="1418" w:right="1089" w:bottom="1361" w:left="1089" w:header="567" w:footer="567" w:gutter="0"/>
          <w:cols w:num="2" w:space="1419"/>
          <w:titlePg/>
        </w:sectPr>
      </w:pPr>
    </w:p>
    <w:p w:rsidR="00444B73" w:rsidRPr="00572F46" w:rsidRDefault="00572F46" w:rsidP="00572F46">
      <w:pPr>
        <w:spacing w:before="720"/>
        <w:jc w:val="center"/>
        <w:rPr>
          <w:szCs w:val="22"/>
          <w:lang w:val="en-GB"/>
        </w:rPr>
      </w:pPr>
      <w:r w:rsidRPr="00572F46">
        <w:rPr>
          <w:szCs w:val="22"/>
          <w:lang w:val="en-GB"/>
        </w:rPr>
        <w:lastRenderedPageBreak/>
        <w:t>______________</w:t>
      </w:r>
    </w:p>
    <w:sectPr w:rsidR="00444B73" w:rsidRPr="00572F46" w:rsidSect="00E6318A">
      <w:type w:val="continuous"/>
      <w:pgSz w:w="11907" w:h="16840" w:code="9"/>
      <w:pgMar w:top="1418" w:right="1089" w:bottom="1361" w:left="1089"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B00" w:rsidRDefault="000E4B00">
      <w:r>
        <w:separator/>
      </w:r>
    </w:p>
  </w:endnote>
  <w:endnote w:type="continuationSeparator" w:id="0">
    <w:p w:rsidR="000E4B00" w:rsidRDefault="000E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00" w:rsidRPr="00A35A9B" w:rsidRDefault="00A35A9B" w:rsidP="00A35A9B">
    <w:pPr>
      <w:pStyle w:val="Footer"/>
      <w:rPr>
        <w:lang w:val="fr-CH"/>
      </w:rPr>
    </w:pPr>
    <w:r w:rsidRPr="00A35A9B">
      <w:rPr>
        <w:lang w:val="fr-CH"/>
      </w:rPr>
      <w:t>ITU-T\BUREAU\CIRC\276</w:t>
    </w:r>
    <w:r>
      <w:rPr>
        <w:lang w:val="fr-CH"/>
      </w:rPr>
      <w:t>R</w:t>
    </w:r>
    <w:r w:rsidRPr="00A35A9B">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0E4B00" w:rsidTr="00C60E38">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0E4B00" w:rsidRDefault="000E4B00" w:rsidP="00C60E38">
          <w:pPr>
            <w:tabs>
              <w:tab w:val="clear" w:pos="794"/>
              <w:tab w:val="left" w:pos="709"/>
              <w:tab w:val="left" w:pos="1134"/>
            </w:tabs>
            <w:spacing w:before="0"/>
            <w:rPr>
              <w:sz w:val="18"/>
              <w:szCs w:val="20"/>
              <w:lang w:val="fr-CH"/>
            </w:rPr>
          </w:pPr>
          <w:r>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0E4B00" w:rsidRDefault="000E4B00" w:rsidP="00C60E38">
          <w:pPr>
            <w:tabs>
              <w:tab w:val="clear" w:pos="794"/>
              <w:tab w:val="left" w:pos="709"/>
              <w:tab w:val="left" w:pos="1134"/>
            </w:tabs>
            <w:spacing w:before="0"/>
            <w:rPr>
              <w:sz w:val="18"/>
              <w:szCs w:val="20"/>
              <w:lang w:val="en-GB"/>
            </w:rPr>
          </w:pPr>
          <w:r>
            <w:rPr>
              <w:sz w:val="18"/>
              <w:szCs w:val="20"/>
              <w:lang w:val="en-GB"/>
            </w:rPr>
            <w:t>Telephone</w:t>
          </w:r>
          <w:r>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0E4B00" w:rsidRDefault="000E4B00" w:rsidP="00C60E38">
          <w:pPr>
            <w:tabs>
              <w:tab w:val="clear" w:pos="794"/>
              <w:tab w:val="left" w:pos="709"/>
              <w:tab w:val="left" w:pos="1134"/>
            </w:tabs>
            <w:spacing w:before="0"/>
            <w:rPr>
              <w:sz w:val="18"/>
              <w:szCs w:val="20"/>
              <w:lang w:val="en-GB"/>
            </w:rPr>
          </w:pPr>
          <w:r>
            <w:rPr>
              <w:sz w:val="18"/>
              <w:szCs w:val="20"/>
              <w:lang w:val="en-GB"/>
            </w:rPr>
            <w:t xml:space="preserve">Telex 421 000 </w:t>
          </w:r>
          <w:proofErr w:type="spellStart"/>
          <w:r>
            <w:rPr>
              <w:sz w:val="18"/>
              <w:szCs w:val="20"/>
              <w:lang w:val="en-GB"/>
            </w:rPr>
            <w:t>uit</w:t>
          </w:r>
          <w:proofErr w:type="spellEnd"/>
          <w:r>
            <w:rPr>
              <w:sz w:val="18"/>
              <w:szCs w:val="20"/>
              <w:lang w:val="en-GB"/>
            </w:rPr>
            <w:t xml:space="preserve"> </w:t>
          </w:r>
          <w:proofErr w:type="spellStart"/>
          <w:r>
            <w:rPr>
              <w:sz w:val="18"/>
              <w:szCs w:val="20"/>
              <w:lang w:val="en-GB"/>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0E4B00" w:rsidRDefault="000E4B00" w:rsidP="00C60E38">
          <w:pPr>
            <w:tabs>
              <w:tab w:val="left" w:pos="709"/>
            </w:tabs>
            <w:spacing w:before="0"/>
            <w:rPr>
              <w:sz w:val="18"/>
              <w:szCs w:val="20"/>
              <w:lang w:val="en-GB"/>
            </w:rPr>
          </w:pPr>
          <w:r>
            <w:rPr>
              <w:sz w:val="18"/>
              <w:szCs w:val="20"/>
              <w:lang w:val="en-GB"/>
            </w:rPr>
            <w:t>E-mail:</w:t>
          </w:r>
          <w:r>
            <w:rPr>
              <w:sz w:val="18"/>
              <w:szCs w:val="20"/>
              <w:lang w:val="en-GB"/>
            </w:rPr>
            <w:tab/>
          </w:r>
          <w:hyperlink r:id="rId1" w:history="1">
            <w:r>
              <w:rPr>
                <w:rStyle w:val="Hyperlink"/>
                <w:sz w:val="18"/>
                <w:szCs w:val="20"/>
                <w:lang w:val="en-GB"/>
              </w:rPr>
              <w:t>itumail@itu.int</w:t>
            </w:r>
          </w:hyperlink>
        </w:p>
      </w:tc>
    </w:tr>
    <w:tr w:rsidR="000E4B00" w:rsidTr="00C60E38">
      <w:trPr>
        <w:cantSplit/>
      </w:trPr>
      <w:tc>
        <w:tcPr>
          <w:tcW w:w="1062" w:type="pct"/>
          <w:hideMark/>
        </w:tcPr>
        <w:p w:rsidR="000E4B00" w:rsidRDefault="000E4B00" w:rsidP="00C60E38">
          <w:pPr>
            <w:tabs>
              <w:tab w:val="clear" w:pos="794"/>
              <w:tab w:val="left" w:pos="709"/>
              <w:tab w:val="left" w:pos="1134"/>
            </w:tabs>
            <w:spacing w:before="0"/>
            <w:rPr>
              <w:sz w:val="18"/>
              <w:szCs w:val="20"/>
              <w:lang w:val="en-GB"/>
            </w:rPr>
          </w:pPr>
          <w:r>
            <w:rPr>
              <w:sz w:val="18"/>
              <w:szCs w:val="20"/>
              <w:lang w:val="en-GB"/>
            </w:rPr>
            <w:t xml:space="preserve">CH-1211 </w:t>
          </w:r>
          <w:smartTag w:uri="urn:schemas-microsoft-com:office:smarttags" w:element="metricconverter">
            <w:smartTag w:uri="urn:schemas-microsoft-com:office:smarttags" w:element="City">
              <w:r>
                <w:rPr>
                  <w:sz w:val="18"/>
                  <w:szCs w:val="20"/>
                  <w:lang w:val="en-GB"/>
                </w:rPr>
                <w:t>Geneva</w:t>
              </w:r>
            </w:smartTag>
          </w:smartTag>
          <w:r>
            <w:rPr>
              <w:sz w:val="18"/>
              <w:szCs w:val="20"/>
              <w:lang w:val="en-GB"/>
            </w:rPr>
            <w:t xml:space="preserve"> 20</w:t>
          </w:r>
        </w:p>
      </w:tc>
      <w:tc>
        <w:tcPr>
          <w:tcW w:w="1583" w:type="pct"/>
          <w:hideMark/>
        </w:tcPr>
        <w:p w:rsidR="000E4B00" w:rsidRDefault="000E4B00" w:rsidP="00C60E38">
          <w:pPr>
            <w:tabs>
              <w:tab w:val="clear" w:pos="794"/>
              <w:tab w:val="left" w:pos="709"/>
              <w:tab w:val="left" w:pos="1134"/>
            </w:tabs>
            <w:spacing w:before="0"/>
            <w:rPr>
              <w:sz w:val="18"/>
              <w:szCs w:val="20"/>
              <w:lang w:val="en-GB"/>
            </w:rPr>
          </w:pPr>
          <w:r>
            <w:rPr>
              <w:sz w:val="18"/>
              <w:szCs w:val="20"/>
              <w:lang w:val="en-GB"/>
            </w:rPr>
            <w:t>Telefax</w:t>
          </w:r>
          <w:r>
            <w:rPr>
              <w:sz w:val="18"/>
              <w:szCs w:val="20"/>
              <w:lang w:val="en-GB"/>
            </w:rPr>
            <w:tab/>
            <w:t>Gr3:</w:t>
          </w:r>
          <w:r>
            <w:rPr>
              <w:sz w:val="18"/>
              <w:szCs w:val="20"/>
              <w:lang w:val="en-GB"/>
            </w:rPr>
            <w:tab/>
            <w:t>+41 22 733 72 56</w:t>
          </w:r>
        </w:p>
      </w:tc>
      <w:tc>
        <w:tcPr>
          <w:tcW w:w="1224" w:type="pct"/>
          <w:hideMark/>
        </w:tcPr>
        <w:p w:rsidR="000E4B00" w:rsidRDefault="000E4B00" w:rsidP="00C60E38">
          <w:pPr>
            <w:tabs>
              <w:tab w:val="clear" w:pos="794"/>
              <w:tab w:val="left" w:pos="709"/>
              <w:tab w:val="left" w:pos="1134"/>
            </w:tabs>
            <w:spacing w:before="0"/>
            <w:rPr>
              <w:sz w:val="18"/>
              <w:szCs w:val="20"/>
              <w:lang w:val="en-GB"/>
            </w:rPr>
          </w:pPr>
          <w:r>
            <w:rPr>
              <w:sz w:val="18"/>
              <w:szCs w:val="20"/>
              <w:lang w:val="en-GB"/>
            </w:rPr>
            <w:t>Telegram ITU GENEVE</w:t>
          </w:r>
        </w:p>
      </w:tc>
      <w:tc>
        <w:tcPr>
          <w:tcW w:w="1131" w:type="pct"/>
          <w:hideMark/>
        </w:tcPr>
        <w:p w:rsidR="000E4B00" w:rsidRDefault="000E4B00" w:rsidP="00C60E38">
          <w:pPr>
            <w:tabs>
              <w:tab w:val="left" w:pos="709"/>
            </w:tabs>
            <w:spacing w:before="0"/>
            <w:rPr>
              <w:sz w:val="18"/>
              <w:szCs w:val="20"/>
              <w:lang w:val="ru-RU"/>
            </w:rPr>
          </w:pPr>
          <w:r>
            <w:rPr>
              <w:sz w:val="18"/>
              <w:szCs w:val="20"/>
              <w:lang w:val="en-GB"/>
            </w:rPr>
            <w:tab/>
          </w:r>
          <w:hyperlink r:id="rId2" w:history="1">
            <w:r>
              <w:rPr>
                <w:rStyle w:val="Hyperlink"/>
                <w:sz w:val="18"/>
                <w:szCs w:val="20"/>
                <w:lang w:val="en-GB"/>
              </w:rPr>
              <w:t>www.itu.int</w:t>
            </w:r>
          </w:hyperlink>
        </w:p>
      </w:tc>
    </w:tr>
    <w:tr w:rsidR="000E4B00" w:rsidTr="00C60E38">
      <w:trPr>
        <w:cantSplit/>
      </w:trPr>
      <w:tc>
        <w:tcPr>
          <w:tcW w:w="1062" w:type="pct"/>
          <w:hideMark/>
        </w:tcPr>
        <w:p w:rsidR="000E4B00" w:rsidRDefault="000E4B00" w:rsidP="00C60E38">
          <w:pPr>
            <w:tabs>
              <w:tab w:val="clear" w:pos="794"/>
              <w:tab w:val="left" w:pos="709"/>
              <w:tab w:val="left" w:pos="1134"/>
            </w:tabs>
            <w:spacing w:before="0"/>
            <w:rPr>
              <w:sz w:val="18"/>
              <w:szCs w:val="20"/>
              <w:lang w:val="fr-CH"/>
            </w:rPr>
          </w:pPr>
          <w:proofErr w:type="spellStart"/>
          <w:r>
            <w:rPr>
              <w:sz w:val="18"/>
              <w:szCs w:val="20"/>
              <w:lang w:val="fr-CH"/>
            </w:rPr>
            <w:t>Switzerland</w:t>
          </w:r>
          <w:proofErr w:type="spellEnd"/>
        </w:p>
      </w:tc>
      <w:tc>
        <w:tcPr>
          <w:tcW w:w="1583" w:type="pct"/>
          <w:hideMark/>
        </w:tcPr>
        <w:p w:rsidR="000E4B00" w:rsidRDefault="000E4B00" w:rsidP="00C60E38">
          <w:pPr>
            <w:tabs>
              <w:tab w:val="clear" w:pos="794"/>
              <w:tab w:val="left" w:pos="709"/>
              <w:tab w:val="left" w:pos="1134"/>
            </w:tabs>
            <w:spacing w:before="0"/>
            <w:rPr>
              <w:sz w:val="18"/>
              <w:szCs w:val="20"/>
              <w:lang w:val="fr-CH"/>
            </w:rPr>
          </w:pPr>
          <w:r>
            <w:rPr>
              <w:sz w:val="18"/>
              <w:szCs w:val="20"/>
              <w:lang w:val="fr-CH"/>
            </w:rPr>
            <w:tab/>
            <w:t>Gr4:</w:t>
          </w:r>
          <w:r>
            <w:rPr>
              <w:sz w:val="18"/>
              <w:szCs w:val="20"/>
              <w:lang w:val="fr-CH"/>
            </w:rPr>
            <w:tab/>
            <w:t>+41 22 730 65 00</w:t>
          </w:r>
        </w:p>
      </w:tc>
      <w:tc>
        <w:tcPr>
          <w:tcW w:w="1224" w:type="pct"/>
        </w:tcPr>
        <w:p w:rsidR="000E4B00" w:rsidRDefault="000E4B00" w:rsidP="00C60E38">
          <w:pPr>
            <w:tabs>
              <w:tab w:val="clear" w:pos="794"/>
              <w:tab w:val="left" w:pos="709"/>
              <w:tab w:val="left" w:pos="1134"/>
            </w:tabs>
            <w:spacing w:before="0"/>
            <w:rPr>
              <w:sz w:val="18"/>
              <w:szCs w:val="20"/>
              <w:lang w:val="fr-CH"/>
            </w:rPr>
          </w:pPr>
        </w:p>
      </w:tc>
      <w:tc>
        <w:tcPr>
          <w:tcW w:w="1131" w:type="pct"/>
        </w:tcPr>
        <w:p w:rsidR="000E4B00" w:rsidRDefault="000E4B00" w:rsidP="00C60E38">
          <w:pPr>
            <w:tabs>
              <w:tab w:val="clear" w:pos="794"/>
              <w:tab w:val="left" w:pos="709"/>
              <w:tab w:val="left" w:pos="1134"/>
            </w:tabs>
            <w:spacing w:before="0"/>
            <w:rPr>
              <w:sz w:val="18"/>
              <w:szCs w:val="20"/>
              <w:lang w:val="fr-CH"/>
            </w:rPr>
          </w:pPr>
        </w:p>
      </w:tc>
    </w:tr>
  </w:tbl>
  <w:p w:rsidR="000E4B00" w:rsidRPr="0011167E" w:rsidRDefault="000E4B00" w:rsidP="0011167E">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00" w:rsidRPr="00A35A9B" w:rsidRDefault="00A35A9B" w:rsidP="00A35A9B">
    <w:pPr>
      <w:pStyle w:val="Footer"/>
      <w:rPr>
        <w:lang w:val="fr-CH"/>
      </w:rPr>
    </w:pPr>
    <w:r w:rsidRPr="00A35A9B">
      <w:rPr>
        <w:lang w:val="fr-CH"/>
      </w:rPr>
      <w:t>ITU-T\BUREAU\CIRC\276R.DOC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00" w:rsidRPr="00A35A9B" w:rsidRDefault="00A35A9B" w:rsidP="00A35A9B">
    <w:pPr>
      <w:pStyle w:val="Footer"/>
      <w:rPr>
        <w:lang w:val="fr-CH"/>
      </w:rPr>
    </w:pPr>
    <w:r w:rsidRPr="00A35A9B">
      <w:rPr>
        <w:lang w:val="fr-CH"/>
      </w:rPr>
      <w:t>ITU-T\BUREAU\CIRC\276R.DOC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B00" w:rsidRDefault="000E4B00">
      <w:r>
        <w:separator/>
      </w:r>
    </w:p>
  </w:footnote>
  <w:footnote w:type="continuationSeparator" w:id="0">
    <w:p w:rsidR="000E4B00" w:rsidRDefault="000E4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00" w:rsidRDefault="000E4B00">
    <w:pPr>
      <w:pStyle w:val="Header"/>
    </w:pPr>
    <w:r>
      <w:rPr>
        <w:lang w:val="ru-RU"/>
      </w:rPr>
      <w:t xml:space="preserve">- </w:t>
    </w:r>
    <w:sdt>
      <w:sdtPr>
        <w:id w:val="960683367"/>
        <w:docPartObj>
          <w:docPartGallery w:val="Page Numbers (Top of Page)"/>
          <w:docPartUnique/>
        </w:docPartObj>
      </w:sdtPr>
      <w:sdtEndPr>
        <w:rPr>
          <w:noProof/>
        </w:rPr>
      </w:sdtEndPr>
      <w:sdtContent>
        <w:r w:rsidR="00B37CAC">
          <w:fldChar w:fldCharType="begin"/>
        </w:r>
        <w:r w:rsidR="00B37CAC">
          <w:instrText xml:space="preserve"> PAGE   \* MERGEFORMAT </w:instrText>
        </w:r>
        <w:r w:rsidR="00B37CAC">
          <w:fldChar w:fldCharType="separate"/>
        </w:r>
        <w:r w:rsidR="009F4A39">
          <w:rPr>
            <w:noProof/>
          </w:rPr>
          <w:t>2</w:t>
        </w:r>
        <w:r w:rsidR="00B37CAC">
          <w:rPr>
            <w:noProof/>
          </w:rPr>
          <w:fldChar w:fldCharType="end"/>
        </w:r>
        <w:r>
          <w:rPr>
            <w:noProof/>
            <w:lang w:val="ru-RU"/>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B00" w:rsidRPr="00AE03C4" w:rsidRDefault="000E4B00" w:rsidP="00E6318A">
    <w:pPr>
      <w:pStyle w:val="Header"/>
    </w:pPr>
    <w:r>
      <w:t xml:space="preserve">- </w:t>
    </w:r>
    <w:r w:rsidR="00B37CAC">
      <w:fldChar w:fldCharType="begin"/>
    </w:r>
    <w:r w:rsidR="00B37CAC">
      <w:instrText>PAGE</w:instrText>
    </w:r>
    <w:r w:rsidR="00B37CAC">
      <w:fldChar w:fldCharType="separate"/>
    </w:r>
    <w:r w:rsidR="009F4A39">
      <w:rPr>
        <w:noProof/>
      </w:rPr>
      <w:t>5</w:t>
    </w:r>
    <w:r w:rsidR="00B37CAC">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8A" w:rsidRPr="00E6318A" w:rsidRDefault="00E6318A" w:rsidP="00E6318A">
    <w:pPr>
      <w:pStyle w:val="Header"/>
      <w:rPr>
        <w:lang w:val="ru-RU"/>
      </w:rPr>
    </w:pPr>
    <w:r>
      <w:t xml:space="preserve">- </w:t>
    </w:r>
    <w:r>
      <w:fldChar w:fldCharType="begin"/>
    </w:r>
    <w:r>
      <w:instrText>PAGE</w:instrText>
    </w:r>
    <w:r>
      <w:fldChar w:fldCharType="separate"/>
    </w:r>
    <w:r w:rsidR="009F4A39">
      <w:rPr>
        <w:noProof/>
      </w:rPr>
      <w:t>3</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24EAE2"/>
    <w:lvl w:ilvl="0">
      <w:start w:val="1"/>
      <w:numFmt w:val="decimal"/>
      <w:lvlText w:val="%1."/>
      <w:lvlJc w:val="left"/>
      <w:pPr>
        <w:tabs>
          <w:tab w:val="num" w:pos="1492"/>
        </w:tabs>
        <w:ind w:left="1492" w:hanging="360"/>
      </w:pPr>
    </w:lvl>
  </w:abstractNum>
  <w:abstractNum w:abstractNumId="1">
    <w:nsid w:val="FFFFFF7D"/>
    <w:multiLevelType w:val="singleLevel"/>
    <w:tmpl w:val="794614F8"/>
    <w:lvl w:ilvl="0">
      <w:start w:val="1"/>
      <w:numFmt w:val="decimal"/>
      <w:lvlText w:val="%1."/>
      <w:lvlJc w:val="left"/>
      <w:pPr>
        <w:tabs>
          <w:tab w:val="num" w:pos="1209"/>
        </w:tabs>
        <w:ind w:left="1209" w:hanging="360"/>
      </w:pPr>
    </w:lvl>
  </w:abstractNum>
  <w:abstractNum w:abstractNumId="2">
    <w:nsid w:val="FFFFFF7E"/>
    <w:multiLevelType w:val="singleLevel"/>
    <w:tmpl w:val="77E89E4E"/>
    <w:lvl w:ilvl="0">
      <w:start w:val="1"/>
      <w:numFmt w:val="decimal"/>
      <w:lvlText w:val="%1."/>
      <w:lvlJc w:val="left"/>
      <w:pPr>
        <w:tabs>
          <w:tab w:val="num" w:pos="926"/>
        </w:tabs>
        <w:ind w:left="926" w:hanging="360"/>
      </w:pPr>
    </w:lvl>
  </w:abstractNum>
  <w:abstractNum w:abstractNumId="3">
    <w:nsid w:val="FFFFFF7F"/>
    <w:multiLevelType w:val="singleLevel"/>
    <w:tmpl w:val="946673F2"/>
    <w:lvl w:ilvl="0">
      <w:start w:val="1"/>
      <w:numFmt w:val="decimal"/>
      <w:lvlText w:val="%1."/>
      <w:lvlJc w:val="left"/>
      <w:pPr>
        <w:tabs>
          <w:tab w:val="num" w:pos="643"/>
        </w:tabs>
        <w:ind w:left="643" w:hanging="360"/>
      </w:pPr>
    </w:lvl>
  </w:abstractNum>
  <w:abstractNum w:abstractNumId="4">
    <w:nsid w:val="FFFFFF80"/>
    <w:multiLevelType w:val="singleLevel"/>
    <w:tmpl w:val="EDCAE6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74D5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E4A0E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A47B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D6E54BE"/>
    <w:lvl w:ilvl="0">
      <w:start w:val="1"/>
      <w:numFmt w:val="decimal"/>
      <w:lvlText w:val="%1."/>
      <w:lvlJc w:val="left"/>
      <w:pPr>
        <w:tabs>
          <w:tab w:val="num" w:pos="360"/>
        </w:tabs>
        <w:ind w:left="360" w:hanging="360"/>
      </w:pPr>
    </w:lvl>
  </w:abstractNum>
  <w:abstractNum w:abstractNumId="9">
    <w:nsid w:val="FFFFFF89"/>
    <w:multiLevelType w:val="singleLevel"/>
    <w:tmpl w:val="E11213E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4807E9E"/>
    <w:multiLevelType w:val="hybridMultilevel"/>
    <w:tmpl w:val="956A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5"/>
  </w:num>
  <w:num w:numId="3">
    <w:abstractNumId w:val="27"/>
  </w:num>
  <w:num w:numId="4">
    <w:abstractNumId w:val="12"/>
  </w:num>
  <w:num w:numId="5">
    <w:abstractNumId w:val="22"/>
  </w:num>
  <w:num w:numId="6">
    <w:abstractNumId w:val="11"/>
  </w:num>
  <w:num w:numId="7">
    <w:abstractNumId w:val="24"/>
  </w:num>
  <w:num w:numId="8">
    <w:abstractNumId w:val="19"/>
  </w:num>
  <w:num w:numId="9">
    <w:abstractNumId w:val="20"/>
  </w:num>
  <w:num w:numId="10">
    <w:abstractNumId w:val="14"/>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activeWritingStyle w:appName="MSWord" w:lang="fr-FR"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24565"/>
    <w:rsid w:val="0003235D"/>
    <w:rsid w:val="00040719"/>
    <w:rsid w:val="00082B7B"/>
    <w:rsid w:val="00095EA0"/>
    <w:rsid w:val="000C2147"/>
    <w:rsid w:val="000C7D98"/>
    <w:rsid w:val="000E4B00"/>
    <w:rsid w:val="00103310"/>
    <w:rsid w:val="0011167E"/>
    <w:rsid w:val="00115B49"/>
    <w:rsid w:val="00122BD5"/>
    <w:rsid w:val="00135515"/>
    <w:rsid w:val="001629DC"/>
    <w:rsid w:val="0017673F"/>
    <w:rsid w:val="001B4A74"/>
    <w:rsid w:val="001D261C"/>
    <w:rsid w:val="001F0066"/>
    <w:rsid w:val="00205BEF"/>
    <w:rsid w:val="00207341"/>
    <w:rsid w:val="0025701E"/>
    <w:rsid w:val="0026232A"/>
    <w:rsid w:val="002B37F9"/>
    <w:rsid w:val="002D26FD"/>
    <w:rsid w:val="002E4C41"/>
    <w:rsid w:val="003269C9"/>
    <w:rsid w:val="0033434F"/>
    <w:rsid w:val="00340304"/>
    <w:rsid w:val="00372723"/>
    <w:rsid w:val="003D492D"/>
    <w:rsid w:val="003F5B77"/>
    <w:rsid w:val="004167E6"/>
    <w:rsid w:val="0041688E"/>
    <w:rsid w:val="00444B73"/>
    <w:rsid w:val="00455EFA"/>
    <w:rsid w:val="00475A27"/>
    <w:rsid w:val="00495F13"/>
    <w:rsid w:val="004A0D07"/>
    <w:rsid w:val="004A23EB"/>
    <w:rsid w:val="004A4E72"/>
    <w:rsid w:val="004C24E2"/>
    <w:rsid w:val="004C5268"/>
    <w:rsid w:val="004E01AE"/>
    <w:rsid w:val="004F356D"/>
    <w:rsid w:val="004F48F0"/>
    <w:rsid w:val="00514426"/>
    <w:rsid w:val="00556924"/>
    <w:rsid w:val="00572F46"/>
    <w:rsid w:val="005D044D"/>
    <w:rsid w:val="005D5C95"/>
    <w:rsid w:val="005D77F6"/>
    <w:rsid w:val="005E616E"/>
    <w:rsid w:val="006139B2"/>
    <w:rsid w:val="00625BAF"/>
    <w:rsid w:val="00636D90"/>
    <w:rsid w:val="006777D5"/>
    <w:rsid w:val="006C27B7"/>
    <w:rsid w:val="006D7FBC"/>
    <w:rsid w:val="006E6BD6"/>
    <w:rsid w:val="006F0C00"/>
    <w:rsid w:val="006F1984"/>
    <w:rsid w:val="00701561"/>
    <w:rsid w:val="0071361F"/>
    <w:rsid w:val="00717255"/>
    <w:rsid w:val="00741C5B"/>
    <w:rsid w:val="0074299E"/>
    <w:rsid w:val="00753F18"/>
    <w:rsid w:val="00763FF3"/>
    <w:rsid w:val="0076603E"/>
    <w:rsid w:val="007838EF"/>
    <w:rsid w:val="0079397B"/>
    <w:rsid w:val="007D0BFA"/>
    <w:rsid w:val="00826CB4"/>
    <w:rsid w:val="00831FDC"/>
    <w:rsid w:val="00832A5A"/>
    <w:rsid w:val="00860D1B"/>
    <w:rsid w:val="00871131"/>
    <w:rsid w:val="008C5C0E"/>
    <w:rsid w:val="008C7044"/>
    <w:rsid w:val="008E0925"/>
    <w:rsid w:val="009469D2"/>
    <w:rsid w:val="009979B5"/>
    <w:rsid w:val="009A2C9B"/>
    <w:rsid w:val="009B6144"/>
    <w:rsid w:val="009C42B5"/>
    <w:rsid w:val="009F4A39"/>
    <w:rsid w:val="00A21DD2"/>
    <w:rsid w:val="00A3021F"/>
    <w:rsid w:val="00A35A9B"/>
    <w:rsid w:val="00A563C7"/>
    <w:rsid w:val="00A57977"/>
    <w:rsid w:val="00A654CA"/>
    <w:rsid w:val="00A66C90"/>
    <w:rsid w:val="00A8170F"/>
    <w:rsid w:val="00A91EB5"/>
    <w:rsid w:val="00AD3D11"/>
    <w:rsid w:val="00AE252E"/>
    <w:rsid w:val="00AF2B53"/>
    <w:rsid w:val="00B02D39"/>
    <w:rsid w:val="00B05CB6"/>
    <w:rsid w:val="00B34D84"/>
    <w:rsid w:val="00B37CAC"/>
    <w:rsid w:val="00BC33B4"/>
    <w:rsid w:val="00C22D6C"/>
    <w:rsid w:val="00C44BC9"/>
    <w:rsid w:val="00C60E38"/>
    <w:rsid w:val="00C623F1"/>
    <w:rsid w:val="00D47122"/>
    <w:rsid w:val="00D83022"/>
    <w:rsid w:val="00D911F5"/>
    <w:rsid w:val="00DA09D7"/>
    <w:rsid w:val="00DA1127"/>
    <w:rsid w:val="00DB1A37"/>
    <w:rsid w:val="00DC6716"/>
    <w:rsid w:val="00DD25C1"/>
    <w:rsid w:val="00DD2CE8"/>
    <w:rsid w:val="00DF012B"/>
    <w:rsid w:val="00DF109B"/>
    <w:rsid w:val="00E07386"/>
    <w:rsid w:val="00E14A1A"/>
    <w:rsid w:val="00E17F1A"/>
    <w:rsid w:val="00E45C46"/>
    <w:rsid w:val="00E56FD7"/>
    <w:rsid w:val="00E6318A"/>
    <w:rsid w:val="00E645B4"/>
    <w:rsid w:val="00EF273F"/>
    <w:rsid w:val="00F15118"/>
    <w:rsid w:val="00F17022"/>
    <w:rsid w:val="00F205F5"/>
    <w:rsid w:val="00F21463"/>
    <w:rsid w:val="00F2526F"/>
    <w:rsid w:val="00F75A47"/>
    <w:rsid w:val="00F830DA"/>
    <w:rsid w:val="00F91D5B"/>
    <w:rsid w:val="00FC019B"/>
    <w:rsid w:val="00FD353E"/>
    <w:rsid w:val="00FE3F16"/>
    <w:rsid w:val="00FF10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8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
    <w:name w:val="Annex_#"/>
    <w:basedOn w:val="Normal"/>
    <w:next w:val="AnnexRef"/>
    <w:rsid w:val="00AE252E"/>
    <w:pPr>
      <w:keepNext/>
      <w:keepLines/>
      <w:spacing w:before="480" w:after="80"/>
      <w:jc w:val="center"/>
    </w:pPr>
    <w:rPr>
      <w:rFonts w:eastAsia="Times New Roman"/>
      <w:caps/>
      <w:sz w:val="24"/>
      <w:szCs w:val="20"/>
      <w:lang w:val="en-GB"/>
    </w:rPr>
  </w:style>
  <w:style w:type="paragraph" w:customStyle="1" w:styleId="AnnexRef">
    <w:name w:val="Annex_Ref"/>
    <w:basedOn w:val="Normal"/>
    <w:next w:val="AnnexTitle"/>
    <w:rsid w:val="00AE252E"/>
    <w:pPr>
      <w:keepNext/>
      <w:keepLines/>
      <w:jc w:val="center"/>
    </w:pPr>
    <w:rPr>
      <w:rFonts w:eastAsia="Times New Roman"/>
      <w:sz w:val="24"/>
      <w:szCs w:val="20"/>
      <w:lang w:val="en-GB"/>
    </w:rPr>
  </w:style>
  <w:style w:type="paragraph" w:styleId="ListParagraph">
    <w:name w:val="List Paragraph"/>
    <w:basedOn w:val="Normal"/>
    <w:uiPriority w:val="34"/>
    <w:qFormat/>
    <w:rsid w:val="00AE252E"/>
    <w:pPr>
      <w:ind w:left="720"/>
      <w:contextualSpacing/>
    </w:pPr>
    <w:rPr>
      <w:rFonts w:eastAsia="Times New Roman"/>
      <w:sz w:val="24"/>
      <w:szCs w:val="20"/>
      <w:lang w:val="en-GB"/>
    </w:rPr>
  </w:style>
  <w:style w:type="paragraph" w:customStyle="1" w:styleId="Reasons">
    <w:name w:val="Reasons"/>
    <w:basedOn w:val="Normal"/>
    <w:qFormat/>
    <w:rsid w:val="00572F46"/>
    <w:pPr>
      <w:tabs>
        <w:tab w:val="clear" w:pos="794"/>
        <w:tab w:val="clear" w:pos="1191"/>
        <w:tab w:val="clear" w:pos="1588"/>
        <w:tab w:val="clear" w:pos="1985"/>
      </w:tabs>
      <w:spacing w:before="0"/>
    </w:pPr>
    <w:rPr>
      <w:rFonts w:eastAsia="Times New Roman"/>
      <w:sz w:val="24"/>
      <w:szCs w:val="20"/>
    </w:rPr>
  </w:style>
  <w:style w:type="paragraph" w:styleId="BalloonText">
    <w:name w:val="Balloon Text"/>
    <w:basedOn w:val="Normal"/>
    <w:link w:val="BalloonTextChar"/>
    <w:rsid w:val="00A35A9B"/>
    <w:pPr>
      <w:spacing w:before="0"/>
    </w:pPr>
    <w:rPr>
      <w:rFonts w:ascii="Tahoma" w:hAnsi="Tahoma" w:cs="Tahoma"/>
      <w:sz w:val="16"/>
      <w:szCs w:val="16"/>
    </w:rPr>
  </w:style>
  <w:style w:type="character" w:customStyle="1" w:styleId="BalloonTextChar">
    <w:name w:val="Balloon Text Char"/>
    <w:basedOn w:val="DefaultParagraphFont"/>
    <w:link w:val="BalloonText"/>
    <w:rsid w:val="00A35A9B"/>
    <w:rPr>
      <w:rFonts w:ascii="Tahoma" w:hAnsi="Tahoma" w:cs="Tahoma"/>
      <w:sz w:val="16"/>
      <w:szCs w:val="16"/>
      <w:lang w:eastAsia="en-US"/>
    </w:rPr>
  </w:style>
  <w:style w:type="character" w:styleId="FollowedHyperlink">
    <w:name w:val="FollowedHyperlink"/>
    <w:basedOn w:val="DefaultParagraphFont"/>
    <w:rsid w:val="00A35A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8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14426"/>
    <w:pPr>
      <w:keepNext/>
      <w:keepLines/>
      <w:overflowPunct w:val="0"/>
      <w:autoSpaceDE w:val="0"/>
      <w:autoSpaceDN w:val="0"/>
      <w:adjustRightInd w:val="0"/>
      <w:spacing w:before="480" w:after="80"/>
      <w:jc w:val="center"/>
      <w:textAlignment w:val="baseline"/>
    </w:pPr>
    <w:rPr>
      <w:caps/>
      <w:sz w:val="28"/>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
    <w:name w:val="Annex_#"/>
    <w:basedOn w:val="Normal"/>
    <w:next w:val="AnnexRef"/>
    <w:rsid w:val="00AE252E"/>
    <w:pPr>
      <w:keepNext/>
      <w:keepLines/>
      <w:spacing w:before="480" w:after="80"/>
      <w:jc w:val="center"/>
    </w:pPr>
    <w:rPr>
      <w:rFonts w:eastAsia="Times New Roman"/>
      <w:caps/>
      <w:sz w:val="24"/>
      <w:szCs w:val="20"/>
      <w:lang w:val="en-GB"/>
    </w:rPr>
  </w:style>
  <w:style w:type="paragraph" w:customStyle="1" w:styleId="AnnexRef">
    <w:name w:val="Annex_Ref"/>
    <w:basedOn w:val="Normal"/>
    <w:next w:val="AnnexTitle"/>
    <w:rsid w:val="00AE252E"/>
    <w:pPr>
      <w:keepNext/>
      <w:keepLines/>
      <w:jc w:val="center"/>
    </w:pPr>
    <w:rPr>
      <w:rFonts w:eastAsia="Times New Roman"/>
      <w:sz w:val="24"/>
      <w:szCs w:val="20"/>
      <w:lang w:val="en-GB"/>
    </w:rPr>
  </w:style>
  <w:style w:type="paragraph" w:styleId="ListParagraph">
    <w:name w:val="List Paragraph"/>
    <w:basedOn w:val="Normal"/>
    <w:uiPriority w:val="34"/>
    <w:qFormat/>
    <w:rsid w:val="00AE252E"/>
    <w:pPr>
      <w:ind w:left="720"/>
      <w:contextualSpacing/>
    </w:pPr>
    <w:rPr>
      <w:rFonts w:eastAsia="Times New Roman"/>
      <w:sz w:val="24"/>
      <w:szCs w:val="20"/>
      <w:lang w:val="en-GB"/>
    </w:rPr>
  </w:style>
  <w:style w:type="paragraph" w:customStyle="1" w:styleId="Reasons">
    <w:name w:val="Reasons"/>
    <w:basedOn w:val="Normal"/>
    <w:qFormat/>
    <w:rsid w:val="00572F46"/>
    <w:pPr>
      <w:tabs>
        <w:tab w:val="clear" w:pos="794"/>
        <w:tab w:val="clear" w:pos="1191"/>
        <w:tab w:val="clear" w:pos="1588"/>
        <w:tab w:val="clear" w:pos="1985"/>
      </w:tabs>
      <w:spacing w:before="0"/>
    </w:pPr>
    <w:rPr>
      <w:rFonts w:eastAsia="Times New Roman"/>
      <w:sz w:val="24"/>
      <w:szCs w:val="20"/>
    </w:rPr>
  </w:style>
  <w:style w:type="paragraph" w:styleId="BalloonText">
    <w:name w:val="Balloon Text"/>
    <w:basedOn w:val="Normal"/>
    <w:link w:val="BalloonTextChar"/>
    <w:rsid w:val="00A35A9B"/>
    <w:pPr>
      <w:spacing w:before="0"/>
    </w:pPr>
    <w:rPr>
      <w:rFonts w:ascii="Tahoma" w:hAnsi="Tahoma" w:cs="Tahoma"/>
      <w:sz w:val="16"/>
      <w:szCs w:val="16"/>
    </w:rPr>
  </w:style>
  <w:style w:type="character" w:customStyle="1" w:styleId="BalloonTextChar">
    <w:name w:val="Balloon Text Char"/>
    <w:basedOn w:val="DefaultParagraphFont"/>
    <w:link w:val="BalloonText"/>
    <w:rsid w:val="00A35A9B"/>
    <w:rPr>
      <w:rFonts w:ascii="Tahoma" w:hAnsi="Tahoma" w:cs="Tahoma"/>
      <w:sz w:val="16"/>
      <w:szCs w:val="16"/>
      <w:lang w:eastAsia="en-US"/>
    </w:rPr>
  </w:style>
  <w:style w:type="character" w:styleId="FollowedHyperlink">
    <w:name w:val="FollowedHyperlink"/>
    <w:basedOn w:val="DefaultParagraphFont"/>
    <w:rsid w:val="00A35A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itu-kaleidoscope.org/2013"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kaleidoscope.org/2013" TargetMode="External"/><Relationship Id="rId17" Type="http://schemas.openxmlformats.org/officeDocument/2006/relationships/hyperlink" Target="http://www.itu.int/ITU-T/uni/kaleidoscope/2013/progcom.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kaleidoscope.org/201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kaleidoscope.org/201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kaleidoscope@itu.int" TargetMode="External"/><Relationship Id="rId19" Type="http://schemas.openxmlformats.org/officeDocument/2006/relationships/hyperlink" Target="mailto:kaleidoscope@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3BF59-0FAA-40F6-B26E-9C3A3B2F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1411</Words>
  <Characters>10390</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11778</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Papara, Marion</cp:lastModifiedBy>
  <cp:revision>2</cp:revision>
  <cp:lastPrinted>2012-06-15T11:30:00Z</cp:lastPrinted>
  <dcterms:created xsi:type="dcterms:W3CDTF">2012-06-15T12:50:00Z</dcterms:created>
  <dcterms:modified xsi:type="dcterms:W3CDTF">2012-06-15T12:50:00Z</dcterms:modified>
</cp:coreProperties>
</file>